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eastAsia="黑体" w:cs="黑体"/>
          <w:sz w:val="32"/>
          <w:szCs w:val="32"/>
        </w:rPr>
      </w:pPr>
      <w:r>
        <w:rPr>
          <w:rFonts w:hint="eastAsia" w:eastAsia="黑体" w:cs="黑体"/>
          <w:sz w:val="32"/>
          <w:szCs w:val="32"/>
        </w:rPr>
        <w:t>附件一</w:t>
      </w:r>
    </w:p>
    <w:p>
      <w:pPr>
        <w:spacing w:line="520" w:lineRule="exact"/>
        <w:jc w:val="center"/>
        <w:rPr>
          <w:rFonts w:ascii="方正小标宋简体" w:eastAsia="方正小标宋简体"/>
          <w:sz w:val="44"/>
          <w:szCs w:val="44"/>
        </w:rPr>
      </w:pPr>
      <w:r>
        <w:rPr>
          <w:rFonts w:ascii="方正小标宋简体" w:eastAsia="方正小标宋简体"/>
          <w:sz w:val="44"/>
          <w:szCs w:val="44"/>
        </w:rPr>
        <w:t>安全生产考核细则</w:t>
      </w:r>
    </w:p>
    <w:p>
      <w:pPr>
        <w:pStyle w:val="2"/>
      </w:pPr>
    </w:p>
    <w:p>
      <w:pPr>
        <w:spacing w:line="520" w:lineRule="exact"/>
        <w:rPr>
          <w:rFonts w:ascii="仿宋_GB2312" w:eastAsia="仿宋_GB2312"/>
          <w:sz w:val="32"/>
          <w:szCs w:val="32"/>
        </w:rPr>
      </w:pPr>
      <w:r>
        <w:rPr>
          <w:rFonts w:hint="eastAsia" w:ascii="黑体" w:hAnsi="黑体" w:eastAsia="黑体"/>
          <w:sz w:val="32"/>
          <w:szCs w:val="32"/>
        </w:rPr>
        <w:t>一、规范管理</w:t>
      </w:r>
      <w:r>
        <w:rPr>
          <w:rFonts w:hint="eastAsia" w:ascii="仿宋_GB2312" w:eastAsia="仿宋_GB2312"/>
          <w:sz w:val="32"/>
          <w:szCs w:val="32"/>
        </w:rPr>
        <w:t>（5分，不落实、不执行扣1分/条，不规范、不完善扣0.5分/条，直到扣完该项目全部分值）</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1、安全生产组织架构健全、工作制度完善并上墙、责任分工明晰。</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2、安全生产方面的教育培训（岗前开展区域性、季节性及恶劣天气下环卫作业）、车辆检查及维护保养、隐患排查、工作例会等安全生产台账规范齐全。</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3、应急预案可操作性强，应急队伍配备合理、应急演练开展经常，服从主管部门统一调度。</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4、办公场所、仓库、修理间等管理秩序正规：有明显防火、防电、禁烟标志；灭火器材配备齐全、能正常使用；电路安全规范；工具器材分类存放、标识标牌齐全、易燃易爆危险品按上级检查要求存放。</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5、配备环卫作业车辆专用停车场，专人管理，摆放有序，不影响交通出行和市民生产生活秩序。</w:t>
      </w:r>
    </w:p>
    <w:p>
      <w:pPr>
        <w:spacing w:line="520" w:lineRule="exact"/>
        <w:rPr>
          <w:rFonts w:ascii="仿宋_GB2312" w:eastAsia="仿宋_GB2312"/>
          <w:sz w:val="32"/>
          <w:szCs w:val="32"/>
        </w:rPr>
      </w:pPr>
      <w:r>
        <w:rPr>
          <w:rFonts w:hint="eastAsia" w:ascii="黑体" w:hAnsi="黑体" w:eastAsia="黑体"/>
          <w:sz w:val="32"/>
          <w:szCs w:val="32"/>
        </w:rPr>
        <w:t>二、安全作业</w:t>
      </w:r>
      <w:r>
        <w:rPr>
          <w:rFonts w:hint="eastAsia" w:ascii="仿宋_GB2312" w:eastAsia="仿宋_GB2312"/>
          <w:sz w:val="32"/>
          <w:szCs w:val="32"/>
        </w:rPr>
        <w:t>（10分，违反第1条扣1分，安全反光标识残缺或粘贴不规范扣0.5分/次，违反2-7条扣1分/条，违反第8-10条按相应分值进行扣分，直到扣完该项目全部分值）</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1、水车、垃圾车、机扫车、快速保洁车、环卫斗车等作业车辆按规定粘贴安全反光标识。</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2、人工抱管清洗路面时、车辆加水时距车后向30-50米摆放安全锥，特殊情况下合理摆放，必要时设置安全员。</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3、遵守交通规则，水车、垃圾车、机扫车、快速保洁车等作业车辆严禁闯红灯、逆行、违规停放。</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4、环卫作业人员作业时必须着带反光标识环卫工作服，严禁穿高跟鞋、拖鞋、裙子，快速保洁员需正确配戴安全头盔。</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5、作业中途休息时，必须在安全区域，严禁违反其他安全操作规程。</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6、作业人员严禁酒后上岗、疲劳驾驶、开霸道车，密切关注作业人员家庭状况及工作情况，严禁带情绪上岗等。</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7、水车作业时车速不超过20公里/小时，机扫车夜间清扫时速不超过15公里/小时，白天清扫时速微型机扫车不超过8公里/小时、中型机扫车不超过15公里/小时，严禁超速行驶或高速冲洗。</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8、发生重大财产损失责任安全事故或发生一起人员重伤责任安全事故扣10分，罚款20000元/次。</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9、发生一起人员死亡责任安全事故扣20分，罚款40000元/次。</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10、发生特大责任安全事故，造成死亡2人以上，启动退出机制。</w:t>
      </w:r>
    </w:p>
    <w:p>
      <w:pPr>
        <w:spacing w:line="520" w:lineRule="exact"/>
        <w:rPr>
          <w:rFonts w:ascii="仿宋_GB2312" w:eastAsia="仿宋_GB2312"/>
          <w:sz w:val="32"/>
          <w:szCs w:val="32"/>
        </w:rPr>
      </w:pPr>
      <w:r>
        <w:rPr>
          <w:rFonts w:hint="eastAsia" w:ascii="黑体" w:hAnsi="黑体" w:eastAsia="黑体"/>
          <w:sz w:val="32"/>
          <w:szCs w:val="32"/>
        </w:rPr>
        <w:t>三、设施管理</w:t>
      </w:r>
      <w:r>
        <w:rPr>
          <w:rFonts w:hint="eastAsia" w:ascii="仿宋_GB2312" w:eastAsia="仿宋_GB2312"/>
          <w:sz w:val="32"/>
          <w:szCs w:val="32"/>
        </w:rPr>
        <w:t>（5分，违反1-5条扣1分/次，直到扣完该项目全部分值）</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1、垃圾站、公厕实行定人、定岗、包站负责，严禁无关人员操作相关设施设备。</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2、垃圾站、公厕严禁私拉乱接、电线裸露等存在用电安全隐患。</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3、垃圾站设备锈死、维护保养不到位等存在安全隐患的。</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4、垃圾站、公厕、垃圾桶、果皮桶等冒烟、起火造成安全隐患的。</w:t>
      </w:r>
    </w:p>
    <w:p>
      <w:pPr>
        <w:spacing w:line="520" w:lineRule="exact"/>
        <w:ind w:firstLine="640" w:firstLineChars="200"/>
        <w:rPr>
          <w:rFonts w:hint="eastAsia" w:ascii="仿宋_GB2312" w:hAnsi="仿宋" w:eastAsia="仿宋_GB2312" w:cs="仿宋"/>
          <w:sz w:val="30"/>
          <w:szCs w:val="30"/>
        </w:rPr>
        <w:sectPr>
          <w:footerReference r:id="rId3" w:type="default"/>
          <w:pgSz w:w="11906" w:h="16838"/>
          <w:pgMar w:top="2098" w:right="1474" w:bottom="1417" w:left="1587" w:header="851" w:footer="992" w:gutter="0"/>
          <w:cols w:space="720" w:num="1"/>
          <w:docGrid w:type="lines" w:linePitch="312" w:charSpace="0"/>
        </w:sectPr>
      </w:pPr>
      <w:r>
        <w:rPr>
          <w:rFonts w:hint="eastAsia" w:ascii="仿宋_GB2312" w:eastAsia="仿宋_GB2312"/>
          <w:sz w:val="32"/>
          <w:szCs w:val="32"/>
        </w:rPr>
        <w:t>5、垃圾站、公厕设施设备操作或保洁维护时，需科学设置安全</w:t>
      </w:r>
      <w:bookmarkStart w:id="0" w:name="_GoBack"/>
      <w:bookmarkEnd w:id="0"/>
      <w:r>
        <w:rPr>
          <w:rFonts w:hint="eastAsia" w:ascii="仿宋_GB2312" w:eastAsia="仿宋_GB2312"/>
          <w:sz w:val="32"/>
          <w:szCs w:val="32"/>
        </w:rPr>
        <w:t>警示标语。</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1A5DB2"/>
    <w:rsid w:val="781A5D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hwj</Company>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2021-03-11T08:31:00Z</dcterms:created>
  <dc:creator>2017-0926</dc:creator>
  <cp:lastModifiedBy>2017-0926</cp:lastModifiedBy>
  <dcterms:modified xsi:type="dcterms:W3CDTF">2021-03-11T08:32:25Z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