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仿宋_GB2312" w:hAnsi="仿宋_GB2312" w:eastAsia="仿宋_GB2312" w:cs="仿宋_GB2312"/>
          <w:b/>
          <w:bCs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6"/>
          <w:szCs w:val="36"/>
          <w:u w:val="single"/>
        </w:rPr>
        <w:t>区</w:t>
      </w:r>
      <w:r>
        <w:rPr>
          <w:rFonts w:hint="eastAsia" w:ascii="仿宋_GB2312" w:hAnsi="仿宋_GB2312" w:eastAsia="仿宋_GB2312" w:cs="仿宋_GB2312"/>
          <w:b/>
          <w:bCs/>
          <w:kern w:val="0"/>
          <w:sz w:val="36"/>
          <w:szCs w:val="36"/>
          <w:u w:val="single"/>
          <w:lang w:eastAsia="zh-CN"/>
        </w:rPr>
        <w:t>市政</w:t>
      </w:r>
      <w:r>
        <w:rPr>
          <w:rFonts w:hint="eastAsia" w:ascii="仿宋_GB2312" w:hAnsi="仿宋_GB2312" w:eastAsia="仿宋_GB2312" w:cs="仿宋_GB2312"/>
          <w:b/>
          <w:bCs/>
          <w:kern w:val="0"/>
          <w:sz w:val="36"/>
          <w:szCs w:val="36"/>
          <w:u w:val="single"/>
        </w:rPr>
        <w:t>局</w:t>
      </w:r>
      <w:r>
        <w:rPr>
          <w:rFonts w:hint="eastAsia" w:ascii="仿宋_GB2312" w:hAnsi="仿宋_GB2312" w:eastAsia="仿宋_GB2312" w:cs="仿宋_GB2312"/>
          <w:b/>
          <w:bCs/>
          <w:kern w:val="0"/>
          <w:sz w:val="36"/>
          <w:szCs w:val="36"/>
        </w:rPr>
        <w:t>部门整体支出绩效评价基础数据表</w:t>
      </w:r>
    </w:p>
    <w:p>
      <w:pPr>
        <w:widowControl/>
        <w:jc w:val="both"/>
        <w:rPr>
          <w:rFonts w:hint="eastAsia"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填报单位：长沙市望城区</w:t>
      </w:r>
      <w:r>
        <w:rPr>
          <w:rFonts w:hint="eastAsia" w:ascii="仿宋_GB2312" w:hAnsi="仿宋_GB2312" w:eastAsia="仿宋_GB2312" w:cs="仿宋_GB2312"/>
          <w:kern w:val="0"/>
          <w:sz w:val="24"/>
          <w:lang w:eastAsia="zh-CN"/>
        </w:rPr>
        <w:t>市政</w:t>
      </w:r>
      <w:r>
        <w:rPr>
          <w:rFonts w:hint="eastAsia" w:ascii="仿宋_GB2312" w:hAnsi="仿宋_GB2312" w:eastAsia="仿宋_GB2312" w:cs="仿宋_GB2312"/>
          <w:kern w:val="0"/>
          <w:sz w:val="24"/>
        </w:rPr>
        <w:t>局</w:t>
      </w:r>
      <w:r>
        <w:rPr>
          <w:rFonts w:hint="eastAsia" w:ascii="仿宋_GB2312" w:hAnsi="仿宋_GB2312" w:eastAsia="仿宋_GB2312" w:cs="仿宋_GB2312"/>
          <w:kern w:val="0"/>
          <w:sz w:val="24"/>
        </w:rPr>
        <w:tab/>
      </w:r>
      <w:r>
        <w:rPr>
          <w:rFonts w:hint="eastAsia" w:ascii="仿宋_GB2312" w:hAnsi="仿宋_GB2312" w:eastAsia="仿宋_GB2312" w:cs="仿宋_GB2312"/>
          <w:kern w:val="0"/>
          <w:sz w:val="24"/>
        </w:rPr>
        <w:tab/>
      </w:r>
      <w:r>
        <w:rPr>
          <w:rFonts w:hint="eastAsia" w:ascii="仿宋_GB2312" w:hAnsi="仿宋_GB2312" w:eastAsia="仿宋_GB2312" w:cs="仿宋_GB2312"/>
          <w:kern w:val="0"/>
          <w:sz w:val="24"/>
        </w:rPr>
        <w:tab/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24"/>
        </w:rPr>
        <w:tab/>
      </w:r>
      <w:r>
        <w:rPr>
          <w:rFonts w:hint="eastAsia" w:ascii="仿宋_GB2312" w:hAnsi="仿宋_GB2312" w:eastAsia="仿宋_GB2312" w:cs="仿宋_GB2312"/>
          <w:kern w:val="0"/>
          <w:sz w:val="24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24"/>
          <w:lang w:eastAsia="zh-CN"/>
        </w:rPr>
        <w:t>金额：万元</w:t>
      </w:r>
      <w:r>
        <w:rPr>
          <w:rFonts w:hint="eastAsia" w:ascii="仿宋_GB2312" w:hAnsi="仿宋_GB2312" w:eastAsia="仿宋_GB2312" w:cs="仿宋_GB2312"/>
          <w:kern w:val="0"/>
          <w:sz w:val="24"/>
        </w:rPr>
        <w:tab/>
      </w:r>
    </w:p>
    <w:tbl>
      <w:tblPr>
        <w:tblStyle w:val="2"/>
        <w:tblW w:w="987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0"/>
        <w:gridCol w:w="936"/>
        <w:gridCol w:w="936"/>
        <w:gridCol w:w="987"/>
        <w:gridCol w:w="1217"/>
        <w:gridCol w:w="1187"/>
        <w:gridCol w:w="11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3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财政供养人员情况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编制数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201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年实际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在职人数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控制率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3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21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23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09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经费控制情况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201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年决算数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201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年预算数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201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年决算数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三公经费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7.58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18.00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7.39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3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1、公务用车购置和维护经费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5.68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10.00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7.27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其中：公车购置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公车运行维护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5.68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10.00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7.27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2、出国经费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3、公务接待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1.90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8.00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0.12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3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项目支出：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1654.20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2000.00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1405.97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1、业务工作专项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1535.00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2000.00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1246.99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2、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项目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119.20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　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158.98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3、……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　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公用经费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76.09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36.80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36.80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3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其中：办公经费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5.53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6.00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　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3.13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水费、电费、差旅费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4.71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3.20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　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4.82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会议费、培训费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2.23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1.2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　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政府采购金额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139.21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23.91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8.81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部门整体支出预算调整 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2473.35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2492.36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1945.63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34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楼堂馆所控制情况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（201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年完工项目）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批复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规模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（㎡）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实际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规模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（㎡）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规  模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控制率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预算投资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（万元）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实际投资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（万元）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-6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6"/>
                <w:kern w:val="0"/>
                <w:sz w:val="24"/>
              </w:rPr>
              <w:t>投资概算控制率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3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70C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70C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70C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70C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70C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70C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70C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3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厉行节约保障措施</w:t>
            </w:r>
          </w:p>
        </w:tc>
        <w:tc>
          <w:tcPr>
            <w:tcW w:w="639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制定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了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厉行节约制度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878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40" w:lineRule="exact"/>
              <w:ind w:left="653" w:hanging="653" w:hangingChars="297"/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说明：“项目支出”需要填报除专项资金和基本支出以外的所有项目情况，包括业务工作项目、运行维护项目等；“公用经费”填报基本支出中的一般商品和服务支出。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C75133"/>
    <w:rsid w:val="41C7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2019-06-03T08:17:00Z</dcterms:created>
  <dc:creator>悦悦</dc:creator>
  <cp:lastModifiedBy>悦悦</cp:lastModifiedBy>
  <dcterms:modified xsi:type="dcterms:W3CDTF">2019-06-03T08:17:48Z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