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hint="eastAsia" w:ascii="方正小标宋简体" w:hAnsi="宋体" w:eastAsia="方正小标宋简体" w:cs="宋体"/>
          <w:color w:val="auto"/>
          <w:kern w:val="0"/>
          <w:sz w:val="44"/>
          <w:szCs w:val="44"/>
          <w:lang w:eastAsia="zh-CN"/>
        </w:rPr>
      </w:pPr>
      <w:r>
        <w:rPr>
          <w:rFonts w:hint="eastAsia" w:ascii="方正小标宋简体" w:hAnsi="宋体" w:eastAsia="方正小标宋简体" w:cs="宋体"/>
          <w:color w:val="auto"/>
          <w:kern w:val="0"/>
          <w:sz w:val="44"/>
          <w:szCs w:val="44"/>
          <w:lang w:eastAsia="zh-CN"/>
        </w:rPr>
        <w:t>长沙市望城区应急管理局</w:t>
      </w:r>
      <w:bookmarkStart w:id="0" w:name="_GoBack"/>
      <w:bookmarkEnd w:id="0"/>
    </w:p>
    <w:p>
      <w:pPr>
        <w:widowControl/>
        <w:spacing w:line="560" w:lineRule="exact"/>
        <w:jc w:val="center"/>
        <w:rPr>
          <w:rFonts w:ascii="宋体"/>
          <w:color w:val="auto"/>
          <w:kern w:val="0"/>
          <w:sz w:val="44"/>
          <w:szCs w:val="44"/>
        </w:rPr>
      </w:pPr>
      <w:r>
        <w:rPr>
          <w:rFonts w:ascii="方正小标宋简体" w:hAnsi="宋体" w:eastAsia="方正小标宋简体" w:cs="宋体"/>
          <w:color w:val="auto"/>
          <w:kern w:val="0"/>
          <w:sz w:val="44"/>
          <w:szCs w:val="44"/>
        </w:rPr>
        <w:t>20</w:t>
      </w:r>
      <w:r>
        <w:rPr>
          <w:rFonts w:hint="eastAsia" w:ascii="方正小标宋简体" w:hAnsi="宋体" w:eastAsia="方正小标宋简体" w:cs="宋体"/>
          <w:color w:val="auto"/>
          <w:kern w:val="0"/>
          <w:sz w:val="44"/>
          <w:szCs w:val="44"/>
          <w:lang w:val="en-US" w:eastAsia="zh-CN"/>
        </w:rPr>
        <w:t>21</w:t>
      </w:r>
      <w:r>
        <w:rPr>
          <w:rFonts w:hint="eastAsia" w:ascii="方正小标宋简体" w:hAnsi="宋体" w:eastAsia="方正小标宋简体" w:cs="宋体"/>
          <w:color w:val="auto"/>
          <w:kern w:val="0"/>
          <w:sz w:val="44"/>
          <w:szCs w:val="44"/>
        </w:rPr>
        <w:t>年度安全生产</w:t>
      </w:r>
      <w:r>
        <w:rPr>
          <w:rFonts w:hint="eastAsia" w:ascii="方正小标宋简体" w:hAnsi="宋体" w:eastAsia="方正小标宋简体" w:cs="宋体"/>
          <w:color w:val="auto"/>
          <w:kern w:val="0"/>
          <w:sz w:val="44"/>
          <w:szCs w:val="44"/>
          <w:lang w:eastAsia="zh-CN"/>
        </w:rPr>
        <w:t>监督检查</w:t>
      </w:r>
      <w:r>
        <w:rPr>
          <w:rFonts w:hint="eastAsia" w:ascii="方正小标宋简体" w:hAnsi="宋体" w:eastAsia="方正小标宋简体" w:cs="宋体"/>
          <w:color w:val="auto"/>
          <w:kern w:val="0"/>
          <w:sz w:val="44"/>
          <w:szCs w:val="44"/>
        </w:rPr>
        <w:t>计划</w:t>
      </w:r>
    </w:p>
    <w:p>
      <w:pPr>
        <w:spacing w:line="560" w:lineRule="exact"/>
        <w:ind w:firstLine="640" w:firstLineChars="200"/>
        <w:rPr>
          <w:rFonts w:ascii="仿宋_GB2312" w:hAnsi="仿宋" w:eastAsia="仿宋_GB2312"/>
          <w:color w:val="auto"/>
          <w:kern w:val="0"/>
          <w:sz w:val="32"/>
          <w:szCs w:val="32"/>
        </w:rPr>
      </w:pPr>
    </w:p>
    <w:p>
      <w:pPr>
        <w:keepNext w:val="0"/>
        <w:keepLines w:val="0"/>
        <w:pageBreakBefore w:val="0"/>
        <w:widowControl w:val="0"/>
        <w:kinsoku/>
        <w:wordWrap/>
        <w:overflowPunct/>
        <w:topLinePunct w:val="0"/>
        <w:autoSpaceDE/>
        <w:autoSpaceDN/>
        <w:bidi w:val="0"/>
        <w:spacing w:line="600" w:lineRule="exact"/>
        <w:ind w:firstLine="640" w:firstLineChars="200"/>
        <w:jc w:val="left"/>
        <w:textAlignment w:val="auto"/>
        <w:rPr>
          <w:rFonts w:ascii="仿宋_GB2312" w:hAnsi="仿宋" w:eastAsia="仿宋_GB2312" w:cs="宋体"/>
          <w:color w:val="auto"/>
          <w:kern w:val="0"/>
          <w:sz w:val="32"/>
          <w:szCs w:val="32"/>
        </w:rPr>
      </w:pPr>
      <w:r>
        <w:rPr>
          <w:rFonts w:hint="eastAsia" w:ascii="仿宋_GB2312" w:hAnsi="仿宋_GB2312" w:eastAsia="仿宋_GB2312" w:cs="仿宋_GB2312"/>
          <w:color w:val="auto"/>
          <w:kern w:val="0"/>
          <w:sz w:val="32"/>
          <w:szCs w:val="32"/>
        </w:rPr>
        <w:t>为进一步加强安全生产依法行政工作，落实安全生产监督检查责任，规范安全生产监督检查行为，根据《</w:t>
      </w:r>
      <w:r>
        <w:rPr>
          <w:rFonts w:hint="eastAsia" w:ascii="仿宋_GB2312" w:hAnsi="仿宋_GB2312" w:eastAsia="仿宋_GB2312" w:cs="仿宋_GB2312"/>
          <w:color w:val="auto"/>
          <w:kern w:val="0"/>
          <w:sz w:val="32"/>
          <w:szCs w:val="32"/>
          <w:lang w:eastAsia="zh-CN"/>
        </w:rPr>
        <w:t>中华人民共和国</w:t>
      </w:r>
      <w:r>
        <w:rPr>
          <w:rFonts w:hint="eastAsia" w:ascii="仿宋_GB2312" w:hAnsi="仿宋_GB2312" w:eastAsia="仿宋_GB2312" w:cs="仿宋_GB2312"/>
          <w:color w:val="auto"/>
          <w:kern w:val="0"/>
          <w:sz w:val="32"/>
          <w:szCs w:val="32"/>
        </w:rPr>
        <w:t>安全生产法》、《安全生产监管监察职责和行政执法责任追究的暂行规定》（</w:t>
      </w:r>
      <w:r>
        <w:rPr>
          <w:rFonts w:hint="eastAsia" w:ascii="仿宋_GB2312" w:hAnsi="仿宋_GB2312" w:eastAsia="仿宋_GB2312" w:cs="仿宋_GB2312"/>
          <w:color w:val="auto"/>
          <w:kern w:val="0"/>
          <w:sz w:val="32"/>
          <w:szCs w:val="32"/>
          <w:lang w:eastAsia="zh-CN"/>
        </w:rPr>
        <w:t>原</w:t>
      </w:r>
      <w:r>
        <w:rPr>
          <w:rFonts w:hint="eastAsia" w:ascii="仿宋_GB2312" w:hAnsi="仿宋_GB2312" w:eastAsia="仿宋_GB2312" w:cs="仿宋_GB2312"/>
          <w:color w:val="auto"/>
          <w:kern w:val="0"/>
          <w:sz w:val="32"/>
          <w:szCs w:val="32"/>
        </w:rPr>
        <w:t>国家安全监管总局令第24号）</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《国家安全监管总局关于印发安全生产年度</w:t>
      </w:r>
      <w:r>
        <w:rPr>
          <w:rFonts w:hint="eastAsia" w:ascii="仿宋_GB2312" w:hAnsi="仿宋_GB2312" w:eastAsia="仿宋_GB2312" w:cs="仿宋_GB2312"/>
          <w:color w:val="auto"/>
          <w:sz w:val="32"/>
          <w:szCs w:val="32"/>
        </w:rPr>
        <w:t>监督检查计划编制办法</w:t>
      </w:r>
      <w:r>
        <w:rPr>
          <w:rFonts w:hint="eastAsia" w:ascii="仿宋_GB2312" w:hAnsi="仿宋_GB2312" w:eastAsia="仿宋_GB2312" w:cs="仿宋_GB2312"/>
          <w:color w:val="auto"/>
          <w:kern w:val="0"/>
          <w:sz w:val="32"/>
          <w:szCs w:val="32"/>
        </w:rPr>
        <w:t>的通知》</w:t>
      </w:r>
      <w:r>
        <w:rPr>
          <w:rFonts w:hint="eastAsia" w:ascii="仿宋_GB2312" w:hAnsi="仿宋_GB2312" w:eastAsia="仿宋_GB2312" w:cs="仿宋_GB2312"/>
          <w:color w:val="auto"/>
          <w:sz w:val="32"/>
          <w:szCs w:val="32"/>
        </w:rPr>
        <w:t>（安监总政法〔2017〕150号）</w:t>
      </w:r>
      <w:r>
        <w:rPr>
          <w:rFonts w:hint="eastAsia" w:ascii="仿宋_GB2312" w:hAnsi="仿宋_GB2312" w:eastAsia="仿宋_GB2312" w:cs="仿宋_GB2312"/>
          <w:color w:val="auto"/>
          <w:kern w:val="0"/>
          <w:sz w:val="32"/>
          <w:szCs w:val="32"/>
          <w:lang w:eastAsia="zh-CN"/>
        </w:rPr>
        <w:t>、《湖南省应急管理厅关于推进安全生产分类分级监管执法的指导意见》和《长沙市应急管理系统“安全生产行政执法质量提升年”行动方案》的</w:t>
      </w:r>
      <w:r>
        <w:rPr>
          <w:rFonts w:hint="eastAsia" w:ascii="仿宋_GB2312" w:hAnsi="仿宋_GB2312" w:eastAsia="仿宋_GB2312" w:cs="仿宋_GB2312"/>
          <w:color w:val="auto"/>
          <w:kern w:val="0"/>
          <w:sz w:val="32"/>
          <w:szCs w:val="32"/>
        </w:rPr>
        <w:t>要求，</w:t>
      </w:r>
      <w:r>
        <w:rPr>
          <w:rFonts w:hint="eastAsia" w:ascii="仿宋_GB2312" w:hAnsi="仿宋_GB2312" w:eastAsia="仿宋_GB2312" w:cs="仿宋_GB2312"/>
          <w:color w:val="auto"/>
          <w:sz w:val="32"/>
          <w:szCs w:val="32"/>
        </w:rPr>
        <w:t>按照区委、区政府总体部署及区安委会《20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年长沙市望城区安全生产工作要点》，</w:t>
      </w:r>
      <w:r>
        <w:rPr>
          <w:rFonts w:hint="eastAsia" w:ascii="仿宋_GB2312" w:hAnsi="仿宋_GB2312" w:eastAsia="仿宋_GB2312" w:cs="仿宋_GB2312"/>
          <w:color w:val="auto"/>
          <w:kern w:val="0"/>
          <w:sz w:val="32"/>
          <w:szCs w:val="32"/>
        </w:rPr>
        <w:t>坚持按照统筹兼顾、分类分级、突出重点、提高效能、留有余地的原则。制定20</w:t>
      </w:r>
      <w:r>
        <w:rPr>
          <w:rFonts w:hint="eastAsia" w:ascii="仿宋_GB2312" w:hAnsi="仿宋_GB2312" w:eastAsia="仿宋_GB2312" w:cs="仿宋_GB2312"/>
          <w:color w:val="auto"/>
          <w:kern w:val="0"/>
          <w:sz w:val="32"/>
          <w:szCs w:val="32"/>
          <w:lang w:val="en-US" w:eastAsia="zh-CN"/>
        </w:rPr>
        <w:t>21</w:t>
      </w:r>
      <w:r>
        <w:rPr>
          <w:rFonts w:hint="eastAsia" w:ascii="仿宋_GB2312" w:hAnsi="仿宋_GB2312" w:eastAsia="仿宋_GB2312" w:cs="仿宋_GB2312"/>
          <w:color w:val="auto"/>
          <w:kern w:val="0"/>
          <w:sz w:val="32"/>
          <w:szCs w:val="32"/>
        </w:rPr>
        <w:t>年度安全生产</w:t>
      </w:r>
      <w:r>
        <w:rPr>
          <w:rFonts w:hint="eastAsia" w:ascii="仿宋_GB2312" w:hAnsi="仿宋_GB2312" w:eastAsia="仿宋_GB2312" w:cs="仿宋_GB2312"/>
          <w:color w:val="auto"/>
          <w:kern w:val="0"/>
          <w:sz w:val="32"/>
          <w:szCs w:val="32"/>
          <w:lang w:eastAsia="zh-CN"/>
        </w:rPr>
        <w:t>监督检查</w:t>
      </w:r>
      <w:r>
        <w:rPr>
          <w:rFonts w:hint="eastAsia" w:ascii="仿宋_GB2312" w:hAnsi="仿宋_GB2312" w:eastAsia="仿宋_GB2312" w:cs="仿宋_GB2312"/>
          <w:color w:val="auto"/>
          <w:kern w:val="0"/>
          <w:sz w:val="32"/>
          <w:szCs w:val="32"/>
        </w:rPr>
        <w:t>计划。</w:t>
      </w:r>
    </w:p>
    <w:p>
      <w:pPr>
        <w:pStyle w:val="13"/>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firstLine="640" w:firstLineChars="200"/>
        <w:jc w:val="both"/>
        <w:rPr>
          <w:rFonts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一、指导思想</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深入贯彻</w:t>
      </w:r>
      <w:r>
        <w:rPr>
          <w:rFonts w:hint="eastAsia" w:ascii="仿宋_GB2312" w:hAnsi="仿宋_GB2312" w:eastAsia="仿宋_GB2312" w:cs="仿宋_GB2312"/>
          <w:color w:val="auto"/>
          <w:kern w:val="0"/>
          <w:sz w:val="32"/>
          <w:szCs w:val="32"/>
          <w:lang w:eastAsia="zh-CN"/>
        </w:rPr>
        <w:t>落实党中央、国务院关于安全生产的重要决策部署</w:t>
      </w:r>
      <w:r>
        <w:rPr>
          <w:rFonts w:hint="eastAsia" w:ascii="仿宋_GB2312" w:hAnsi="仿宋_GB2312" w:eastAsia="仿宋_GB2312" w:cs="仿宋_GB2312"/>
          <w:color w:val="auto"/>
          <w:kern w:val="0"/>
          <w:sz w:val="32"/>
          <w:szCs w:val="32"/>
        </w:rPr>
        <w:t>，以习近平新时代中国特色社会主义思想为指导，牢固树立安全发展理念，切实履行监管职责，强化监督检查力度，深化重点行业（领域）安全专项整治，严厉打击安全生产非法违法行为，督促企业全面履行安全生产主体责任，防范和化解重大安全风险，</w:t>
      </w:r>
      <w:r>
        <w:rPr>
          <w:rFonts w:hint="eastAsia" w:ascii="仿宋_GB2312" w:hAnsi="仿宋_GB2312" w:eastAsia="仿宋_GB2312" w:cs="仿宋_GB2312"/>
          <w:color w:val="auto"/>
          <w:kern w:val="0"/>
          <w:sz w:val="32"/>
          <w:szCs w:val="32"/>
          <w:lang w:eastAsia="zh-CN"/>
        </w:rPr>
        <w:t>压减</w:t>
      </w:r>
      <w:r>
        <w:rPr>
          <w:rFonts w:hint="eastAsia" w:ascii="仿宋_GB2312" w:hAnsi="仿宋_GB2312" w:eastAsia="仿宋_GB2312" w:cs="仿宋_GB2312"/>
          <w:color w:val="auto"/>
          <w:kern w:val="0"/>
          <w:sz w:val="32"/>
          <w:szCs w:val="32"/>
        </w:rPr>
        <w:t>一般事故，坚决杜绝较大</w:t>
      </w:r>
      <w:r>
        <w:rPr>
          <w:rFonts w:hint="eastAsia" w:ascii="仿宋_GB2312" w:hAnsi="仿宋_GB2312" w:eastAsia="仿宋_GB2312" w:cs="仿宋_GB2312"/>
          <w:color w:val="auto"/>
          <w:kern w:val="0"/>
          <w:sz w:val="32"/>
          <w:szCs w:val="32"/>
          <w:lang w:eastAsia="zh-CN"/>
        </w:rPr>
        <w:t>及</w:t>
      </w:r>
      <w:r>
        <w:rPr>
          <w:rFonts w:hint="eastAsia" w:ascii="仿宋_GB2312" w:hAnsi="仿宋_GB2312" w:eastAsia="仿宋_GB2312" w:cs="仿宋_GB2312"/>
          <w:color w:val="auto"/>
          <w:kern w:val="0"/>
          <w:sz w:val="32"/>
          <w:szCs w:val="32"/>
        </w:rPr>
        <w:t>以上生产安全事故，为建设美丽强盛幸福的现代化新望城提供有力的安全保障。</w:t>
      </w:r>
    </w:p>
    <w:p>
      <w:pPr>
        <w:pStyle w:val="13"/>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firstLine="640" w:firstLineChars="200"/>
        <w:jc w:val="both"/>
        <w:rPr>
          <w:rFonts w:ascii="Times New Roman" w:hAnsi="Times New Roman" w:cs="Times New Roman"/>
          <w:color w:val="auto"/>
          <w:sz w:val="32"/>
          <w:szCs w:val="32"/>
        </w:rPr>
      </w:pPr>
      <w:r>
        <w:rPr>
          <w:rFonts w:hint="eastAsia" w:ascii="Times New Roman" w:hAnsi="Times New Roman" w:eastAsia="黑体" w:cs="Times New Roman"/>
          <w:color w:val="auto"/>
          <w:sz w:val="32"/>
          <w:szCs w:val="32"/>
        </w:rPr>
        <w:t>二、工作目标和主要任务</w:t>
      </w:r>
    </w:p>
    <w:p>
      <w:pPr>
        <w:pStyle w:val="8"/>
        <w:keepNext w:val="0"/>
        <w:keepLines w:val="0"/>
        <w:pageBreakBefore w:val="0"/>
        <w:widowControl w:val="0"/>
        <w:kinsoku/>
        <w:wordWrap/>
        <w:overflowPunct/>
        <w:topLinePunct w:val="0"/>
        <w:autoSpaceDE/>
        <w:bidi w:val="0"/>
        <w:adjustRightInd w:val="0"/>
        <w:snapToGrid w:val="0"/>
        <w:spacing w:before="0" w:beforeAutospacing="0" w:after="0" w:afterAutospacing="0" w:line="600" w:lineRule="exact"/>
        <w:ind w:firstLine="643" w:firstLineChars="200"/>
        <w:jc w:val="both"/>
        <w:rPr>
          <w:rFonts w:hint="eastAsia" w:ascii="仿宋_GB2312" w:hAnsi="仿宋_GB2312" w:eastAsia="仿宋_GB2312" w:cs="仿宋_GB2312"/>
          <w:color w:val="auto"/>
          <w:kern w:val="0"/>
          <w:sz w:val="32"/>
          <w:szCs w:val="32"/>
          <w:lang w:val="en-US" w:eastAsia="zh-CN" w:bidi="ar-SA"/>
        </w:rPr>
      </w:pPr>
      <w:r>
        <w:rPr>
          <w:rFonts w:hint="eastAsia" w:ascii="Times New Roman" w:hAnsi="Times New Roman" w:eastAsia="楷体_GB2312"/>
          <w:b/>
          <w:color w:val="auto"/>
          <w:sz w:val="32"/>
          <w:szCs w:val="32"/>
        </w:rPr>
        <w:t>（一）工作目标。</w:t>
      </w:r>
      <w:r>
        <w:rPr>
          <w:rFonts w:hint="eastAsia" w:ascii="仿宋_GB2312" w:hAnsi="仿宋_GB2312" w:eastAsia="仿宋_GB2312" w:cs="仿宋_GB2312"/>
          <w:color w:val="auto"/>
          <w:kern w:val="0"/>
          <w:sz w:val="32"/>
          <w:szCs w:val="32"/>
          <w:lang w:val="en-US" w:eastAsia="zh-CN" w:bidi="ar-SA"/>
        </w:rPr>
        <w:t>通过实施安全生产监督检查计划，强化安全生产监督检查，督促各级各部门进一步落实安全生产监管责任、各生产经营单位全面落实安全生产主体责任，全区生产安全事故起数和死亡人数持续下降，安全生产形势持续稳定好转。</w:t>
      </w:r>
    </w:p>
    <w:p>
      <w:pPr>
        <w:keepNext w:val="0"/>
        <w:keepLines w:val="0"/>
        <w:pageBreakBefore w:val="0"/>
        <w:kinsoku/>
        <w:wordWrap/>
        <w:overflowPunct/>
        <w:topLinePunct w:val="0"/>
        <w:autoSpaceDE/>
        <w:autoSpaceDN w:val="0"/>
        <w:bidi w:val="0"/>
        <w:adjustRightInd w:val="0"/>
        <w:snapToGrid w:val="0"/>
        <w:spacing w:line="600" w:lineRule="exact"/>
        <w:ind w:firstLine="643" w:firstLineChars="200"/>
        <w:rPr>
          <w:rFonts w:hint="eastAsia" w:ascii="仿宋_GB2312" w:hAnsi="仿宋_GB2312" w:eastAsia="仿宋_GB2312" w:cs="仿宋_GB2312"/>
          <w:color w:val="auto"/>
          <w:kern w:val="0"/>
          <w:sz w:val="32"/>
          <w:szCs w:val="32"/>
        </w:rPr>
      </w:pPr>
      <w:r>
        <w:rPr>
          <w:rFonts w:hint="eastAsia" w:eastAsia="楷体_GB2312"/>
          <w:b/>
          <w:color w:val="auto"/>
          <w:kern w:val="0"/>
          <w:sz w:val="32"/>
          <w:szCs w:val="32"/>
        </w:rPr>
        <w:t>（二）主要任务。</w:t>
      </w:r>
      <w:r>
        <w:rPr>
          <w:rFonts w:hint="eastAsia" w:ascii="仿宋_GB2312" w:hAnsi="仿宋_GB2312" w:eastAsia="仿宋_GB2312" w:cs="仿宋_GB2312"/>
          <w:color w:val="auto"/>
          <w:kern w:val="0"/>
          <w:sz w:val="32"/>
          <w:szCs w:val="32"/>
        </w:rPr>
        <w:t>深入开展安全生产监督检查和事故隐患大排查</w:t>
      </w:r>
      <w:r>
        <w:rPr>
          <w:rFonts w:hint="eastAsia" w:ascii="仿宋_GB2312" w:hAnsi="仿宋_GB2312" w:eastAsia="仿宋_GB2312" w:cs="仿宋_GB2312"/>
          <w:color w:val="auto"/>
          <w:kern w:val="0"/>
          <w:sz w:val="32"/>
          <w:szCs w:val="32"/>
          <w:lang w:eastAsia="zh-CN"/>
        </w:rPr>
        <w:t>大体检</w:t>
      </w:r>
      <w:r>
        <w:rPr>
          <w:rFonts w:hint="eastAsia" w:ascii="仿宋_GB2312" w:hAnsi="仿宋_GB2312" w:eastAsia="仿宋_GB2312" w:cs="仿宋_GB2312"/>
          <w:color w:val="auto"/>
          <w:kern w:val="0"/>
          <w:sz w:val="32"/>
          <w:szCs w:val="32"/>
        </w:rPr>
        <w:t>大整治攻坚行动，督促各级各部门各单位全面排查和及时消除各类安全隐患，提升生产经营单位本质安全水平；持续抓好重点行业（领域）安全监管，深入推进安全生产专项整治，严厉打击各类违法违章生产经营行为，强化治本攻坚；着力夯实安全生产基层基础建设，不断提升安全保障能力和安全监管能力。</w:t>
      </w:r>
    </w:p>
    <w:p>
      <w:pPr>
        <w:keepNext w:val="0"/>
        <w:keepLines w:val="0"/>
        <w:pageBreakBefore w:val="0"/>
        <w:kinsoku/>
        <w:wordWrap/>
        <w:overflowPunct/>
        <w:topLinePunct w:val="0"/>
        <w:autoSpaceDE/>
        <w:bidi w:val="0"/>
        <w:adjustRightInd w:val="0"/>
        <w:snapToGrid w:val="0"/>
        <w:spacing w:line="600" w:lineRule="exact"/>
        <w:ind w:firstLine="640" w:firstLineChars="200"/>
        <w:rPr>
          <w:rFonts w:hint="eastAsia" w:eastAsia="黑体"/>
          <w:color w:val="auto"/>
          <w:kern w:val="0"/>
          <w:sz w:val="32"/>
          <w:szCs w:val="32"/>
          <w:lang w:eastAsia="zh-CN"/>
        </w:rPr>
      </w:pPr>
      <w:r>
        <w:rPr>
          <w:rFonts w:hint="eastAsia" w:eastAsia="黑体"/>
          <w:color w:val="auto"/>
          <w:kern w:val="0"/>
          <w:sz w:val="32"/>
          <w:szCs w:val="32"/>
        </w:rPr>
        <w:t>三、重点</w:t>
      </w:r>
      <w:r>
        <w:rPr>
          <w:rFonts w:hint="eastAsia" w:eastAsia="黑体"/>
          <w:color w:val="auto"/>
          <w:kern w:val="0"/>
          <w:sz w:val="32"/>
          <w:szCs w:val="32"/>
          <w:lang w:eastAsia="zh-CN"/>
        </w:rPr>
        <w:t>检查范围和内容</w:t>
      </w:r>
    </w:p>
    <w:p>
      <w:pPr>
        <w:keepNext w:val="0"/>
        <w:keepLines w:val="0"/>
        <w:pageBreakBefore w:val="0"/>
        <w:kinsoku/>
        <w:wordWrap/>
        <w:overflowPunct/>
        <w:topLinePunct w:val="0"/>
        <w:autoSpaceDE/>
        <w:bidi w:val="0"/>
        <w:adjustRightInd w:val="0"/>
        <w:snapToGrid w:val="0"/>
        <w:spacing w:line="600" w:lineRule="exact"/>
        <w:ind w:firstLine="643" w:firstLineChars="200"/>
        <w:rPr>
          <w:rFonts w:eastAsia="楷体_GB2312"/>
          <w:b/>
          <w:color w:val="auto"/>
          <w:kern w:val="0"/>
          <w:sz w:val="32"/>
          <w:szCs w:val="32"/>
        </w:rPr>
      </w:pPr>
      <w:r>
        <w:rPr>
          <w:rFonts w:hint="eastAsia" w:eastAsia="楷体_GB2312"/>
          <w:b/>
          <w:color w:val="auto"/>
          <w:kern w:val="0"/>
          <w:sz w:val="32"/>
          <w:szCs w:val="32"/>
        </w:rPr>
        <w:t>（一）重点检查单位范围。</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根据《国家安全监管总局关于印发安全生产年度监督检查计划编制办法的通知》（安监总政法〔2017〕150号）要求，重点检查单位范围为：</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1.安全生产风险等级较高的生产经营单位：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（1）采场或者排土场边坡高度200米以上的露天矿山，建设在大型工矿生产经营单位、大型水源地、重要铁路和公路、水产基地；</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（2）涉及重点监管危险化学品、重点监管危险化工工艺和危险化学品重大危险源的生产经营单位；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（3）烟花爆竹批发单位；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（4）金属冶炼生产经营单位；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（5）涉爆粉尘生产经营单位；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（6）安全生产标准化未达标的生产经营单位，安全生产风险分级管控和事故隐患排查治理落实不到位的生产经营单位。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2.近三年发生过造成人员死亡的生产安全事故的生产经营单位；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3.纳入安全生产失信行为联合惩戒对象的生产经营单位；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4.发现存在重大生产安全事故隐患的生产经营单位；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5.试生产或者复工复产的生产经营单位；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.其他应当纳入重点检查安排的生产经营单位。</w:t>
      </w:r>
    </w:p>
    <w:p>
      <w:pPr>
        <w:keepNext w:val="0"/>
        <w:keepLines w:val="0"/>
        <w:pageBreakBefore w:val="0"/>
        <w:kinsoku/>
        <w:wordWrap/>
        <w:overflowPunct/>
        <w:topLinePunct w:val="0"/>
        <w:autoSpaceDE/>
        <w:bidi w:val="0"/>
        <w:adjustRightInd w:val="0"/>
        <w:snapToGrid w:val="0"/>
        <w:spacing w:line="600" w:lineRule="exact"/>
        <w:ind w:firstLine="643" w:firstLineChars="200"/>
        <w:rPr>
          <w:rFonts w:eastAsia="楷体_GB2312"/>
          <w:b/>
          <w:color w:val="auto"/>
          <w:kern w:val="0"/>
          <w:sz w:val="32"/>
          <w:szCs w:val="32"/>
        </w:rPr>
      </w:pPr>
      <w:r>
        <w:rPr>
          <w:rFonts w:hint="eastAsia" w:eastAsia="楷体_GB2312"/>
          <w:b/>
          <w:color w:val="auto"/>
          <w:kern w:val="0"/>
          <w:sz w:val="32"/>
          <w:szCs w:val="32"/>
        </w:rPr>
        <w:t>（</w:t>
      </w:r>
      <w:r>
        <w:rPr>
          <w:rFonts w:hint="eastAsia" w:eastAsia="楷体_GB2312"/>
          <w:b/>
          <w:color w:val="auto"/>
          <w:kern w:val="0"/>
          <w:sz w:val="32"/>
          <w:szCs w:val="32"/>
          <w:lang w:eastAsia="zh-CN"/>
        </w:rPr>
        <w:t>二</w:t>
      </w:r>
      <w:r>
        <w:rPr>
          <w:rFonts w:hint="eastAsia" w:eastAsia="楷体_GB2312"/>
          <w:b/>
          <w:color w:val="auto"/>
          <w:kern w:val="0"/>
          <w:sz w:val="32"/>
          <w:szCs w:val="32"/>
        </w:rPr>
        <w:t>）重点检查内容。</w:t>
      </w:r>
    </w:p>
    <w:p>
      <w:pPr>
        <w:keepNext w:val="0"/>
        <w:keepLines w:val="0"/>
        <w:pageBreakBefore w:val="0"/>
        <w:kinsoku/>
        <w:wordWrap/>
        <w:overflowPunct/>
        <w:topLinePunct w:val="0"/>
        <w:autoSpaceDE/>
        <w:autoSpaceDN w:val="0"/>
        <w:bidi w:val="0"/>
        <w:adjustRightInd w:val="0"/>
        <w:snapToGrid w:val="0"/>
        <w:spacing w:line="600" w:lineRule="exact"/>
        <w:ind w:firstLine="643"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一是</w:t>
      </w:r>
      <w:r>
        <w:rPr>
          <w:rFonts w:hint="eastAsia" w:ascii="仿宋_GB2312" w:hAnsi="仿宋_GB2312" w:eastAsia="仿宋_GB2312" w:cs="仿宋_GB2312"/>
          <w:color w:val="auto"/>
          <w:kern w:val="0"/>
          <w:sz w:val="32"/>
          <w:szCs w:val="32"/>
        </w:rPr>
        <w:t>安全生产责任制落实情况。</w:t>
      </w:r>
      <w:r>
        <w:rPr>
          <w:rFonts w:hint="eastAsia" w:ascii="仿宋_GB2312" w:hAnsi="仿宋_GB2312" w:eastAsia="仿宋_GB2312" w:cs="仿宋_GB2312"/>
          <w:b/>
          <w:bCs/>
          <w:color w:val="auto"/>
          <w:kern w:val="0"/>
          <w:sz w:val="32"/>
          <w:szCs w:val="32"/>
        </w:rPr>
        <w:t>二是</w:t>
      </w:r>
      <w:r>
        <w:rPr>
          <w:rFonts w:hint="eastAsia" w:ascii="仿宋_GB2312" w:hAnsi="仿宋_GB2312" w:eastAsia="仿宋_GB2312" w:cs="仿宋_GB2312"/>
          <w:color w:val="auto"/>
          <w:kern w:val="0"/>
          <w:sz w:val="32"/>
          <w:szCs w:val="32"/>
        </w:rPr>
        <w:t>安全生产源头防范落实情况。</w:t>
      </w:r>
      <w:r>
        <w:rPr>
          <w:rFonts w:hint="eastAsia" w:ascii="仿宋_GB2312" w:hAnsi="仿宋_GB2312" w:eastAsia="仿宋_GB2312" w:cs="仿宋_GB2312"/>
          <w:b/>
          <w:bCs/>
          <w:color w:val="auto"/>
          <w:kern w:val="0"/>
          <w:sz w:val="32"/>
          <w:szCs w:val="32"/>
        </w:rPr>
        <w:t>三是</w:t>
      </w:r>
      <w:r>
        <w:rPr>
          <w:rFonts w:hint="eastAsia" w:ascii="仿宋_GB2312" w:hAnsi="仿宋_GB2312" w:eastAsia="仿宋_GB2312" w:cs="仿宋_GB2312"/>
          <w:color w:val="auto"/>
          <w:kern w:val="0"/>
          <w:sz w:val="32"/>
          <w:szCs w:val="32"/>
        </w:rPr>
        <w:t>事故隐患排查治理落实情况。</w:t>
      </w:r>
      <w:r>
        <w:rPr>
          <w:rFonts w:hint="eastAsia" w:ascii="仿宋_GB2312" w:hAnsi="仿宋_GB2312" w:eastAsia="仿宋_GB2312" w:cs="仿宋_GB2312"/>
          <w:b/>
          <w:bCs/>
          <w:color w:val="auto"/>
          <w:kern w:val="0"/>
          <w:sz w:val="32"/>
          <w:szCs w:val="32"/>
        </w:rPr>
        <w:t>四是</w:t>
      </w:r>
      <w:r>
        <w:rPr>
          <w:rFonts w:hint="eastAsia" w:ascii="仿宋_GB2312" w:hAnsi="仿宋_GB2312" w:eastAsia="仿宋_GB2312" w:cs="仿宋_GB2312"/>
          <w:color w:val="auto"/>
          <w:kern w:val="0"/>
          <w:sz w:val="32"/>
          <w:szCs w:val="32"/>
        </w:rPr>
        <w:t>安全生产教育培训落实情况。</w:t>
      </w:r>
      <w:r>
        <w:rPr>
          <w:rFonts w:hint="eastAsia" w:ascii="仿宋_GB2312" w:hAnsi="仿宋_GB2312" w:eastAsia="仿宋_GB2312" w:cs="仿宋_GB2312"/>
          <w:b/>
          <w:bCs/>
          <w:color w:val="auto"/>
          <w:kern w:val="0"/>
          <w:sz w:val="32"/>
          <w:szCs w:val="32"/>
        </w:rPr>
        <w:t>五是</w:t>
      </w:r>
      <w:r>
        <w:rPr>
          <w:rFonts w:hint="eastAsia" w:ascii="仿宋_GB2312" w:hAnsi="仿宋_GB2312" w:eastAsia="仿宋_GB2312" w:cs="仿宋_GB2312"/>
          <w:color w:val="auto"/>
          <w:kern w:val="0"/>
          <w:sz w:val="32"/>
          <w:szCs w:val="32"/>
        </w:rPr>
        <w:t>现场作业安全管理落实情况。</w:t>
      </w:r>
      <w:r>
        <w:rPr>
          <w:rFonts w:hint="eastAsia" w:ascii="仿宋_GB2312" w:hAnsi="仿宋_GB2312" w:eastAsia="仿宋_GB2312" w:cs="仿宋_GB2312"/>
          <w:b/>
          <w:bCs/>
          <w:color w:val="auto"/>
          <w:kern w:val="0"/>
          <w:sz w:val="32"/>
          <w:szCs w:val="32"/>
        </w:rPr>
        <w:t>六是</w:t>
      </w:r>
      <w:r>
        <w:rPr>
          <w:rFonts w:hint="eastAsia" w:ascii="仿宋_GB2312" w:hAnsi="仿宋_GB2312" w:eastAsia="仿宋_GB2312" w:cs="仿宋_GB2312"/>
          <w:color w:val="auto"/>
          <w:kern w:val="0"/>
          <w:sz w:val="32"/>
          <w:szCs w:val="32"/>
        </w:rPr>
        <w:t>安全生产应急管理建设落实情况。</w:t>
      </w:r>
      <w:r>
        <w:rPr>
          <w:rFonts w:hint="eastAsia" w:ascii="仿宋_GB2312" w:hAnsi="仿宋_GB2312" w:eastAsia="仿宋_GB2312" w:cs="仿宋_GB2312"/>
          <w:b/>
          <w:bCs/>
          <w:color w:val="auto"/>
          <w:kern w:val="0"/>
          <w:sz w:val="32"/>
          <w:szCs w:val="32"/>
        </w:rPr>
        <w:t>七是</w:t>
      </w:r>
      <w:r>
        <w:rPr>
          <w:rFonts w:hint="eastAsia" w:ascii="仿宋_GB2312" w:hAnsi="仿宋_GB2312" w:eastAsia="仿宋_GB2312" w:cs="仿宋_GB2312"/>
          <w:color w:val="auto"/>
          <w:kern w:val="0"/>
          <w:sz w:val="32"/>
          <w:szCs w:val="32"/>
        </w:rPr>
        <w:t>企业取得安全生产许可后的保持安全生产条件的情况。</w:t>
      </w:r>
    </w:p>
    <w:p>
      <w:pPr>
        <w:keepNext w:val="0"/>
        <w:keepLines w:val="0"/>
        <w:pageBreakBefore w:val="0"/>
        <w:kinsoku/>
        <w:wordWrap/>
        <w:overflowPunct/>
        <w:topLinePunct w:val="0"/>
        <w:autoSpaceDE/>
        <w:autoSpaceDN w:val="0"/>
        <w:bidi w:val="0"/>
        <w:adjustRightInd w:val="0"/>
        <w:snapToGrid w:val="0"/>
        <w:spacing w:line="600" w:lineRule="exact"/>
        <w:ind w:firstLine="640" w:firstLineChars="200"/>
        <w:rPr>
          <w:rFonts w:eastAsia="黑体"/>
          <w:color w:val="auto"/>
          <w:kern w:val="0"/>
          <w:sz w:val="32"/>
          <w:szCs w:val="32"/>
        </w:rPr>
      </w:pPr>
      <w:r>
        <w:rPr>
          <w:rFonts w:hint="eastAsia" w:eastAsia="黑体"/>
          <w:color w:val="auto"/>
          <w:kern w:val="0"/>
          <w:sz w:val="32"/>
          <w:szCs w:val="32"/>
          <w:lang w:eastAsia="zh-CN"/>
        </w:rPr>
        <w:t>四</w:t>
      </w:r>
      <w:r>
        <w:rPr>
          <w:rFonts w:hint="eastAsia" w:eastAsia="黑体"/>
          <w:color w:val="auto"/>
          <w:kern w:val="0"/>
          <w:sz w:val="32"/>
          <w:szCs w:val="32"/>
        </w:rPr>
        <w:t>、一般检查安排</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根据《国家安全监管总局关于印发安全生产年度监督检查计划编制办法的通知》（安监总政法〔2017〕150号）要求，一般检查单位范围为：</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1.本部门负责监督检查的重点检查单位以外的生产经营单位；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2.对镇街、园区负责监督检查的生产经营单位进行抽查所涉及的生产经营单位；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3.其他应当纳入一般检查安排的生产经营单位。</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对以上生产经营单位的监督检查，由相关科室采取“双随机”抽查方式实施。</w:t>
      </w:r>
    </w:p>
    <w:p>
      <w:pPr>
        <w:keepNext w:val="0"/>
        <w:keepLines w:val="0"/>
        <w:pageBreakBefore w:val="0"/>
        <w:kinsoku/>
        <w:wordWrap/>
        <w:overflowPunct/>
        <w:topLinePunct w:val="0"/>
        <w:autoSpaceDE/>
        <w:bidi w:val="0"/>
        <w:adjustRightInd w:val="0"/>
        <w:snapToGrid w:val="0"/>
        <w:spacing w:line="600" w:lineRule="exact"/>
        <w:ind w:firstLine="640" w:firstLineChars="200"/>
        <w:rPr>
          <w:rFonts w:eastAsia="黑体"/>
          <w:color w:val="auto"/>
          <w:sz w:val="32"/>
          <w:szCs w:val="32"/>
        </w:rPr>
      </w:pPr>
      <w:r>
        <w:rPr>
          <w:rFonts w:hint="eastAsia" w:eastAsia="黑体"/>
          <w:color w:val="auto"/>
          <w:sz w:val="32"/>
          <w:szCs w:val="32"/>
          <w:lang w:eastAsia="zh-CN"/>
        </w:rPr>
        <w:t>五</w:t>
      </w:r>
      <w:r>
        <w:rPr>
          <w:rFonts w:hint="eastAsia" w:eastAsia="黑体"/>
          <w:color w:val="auto"/>
          <w:sz w:val="32"/>
          <w:szCs w:val="32"/>
        </w:rPr>
        <w:t>、监督检查有关要求</w:t>
      </w:r>
    </w:p>
    <w:p>
      <w:pPr>
        <w:keepNext w:val="0"/>
        <w:keepLines w:val="0"/>
        <w:pageBreakBefore w:val="0"/>
        <w:kinsoku/>
        <w:wordWrap/>
        <w:overflowPunct/>
        <w:topLinePunct w:val="0"/>
        <w:autoSpaceDE/>
        <w:bidi w:val="0"/>
        <w:adjustRightInd w:val="0"/>
        <w:snapToGrid w:val="0"/>
        <w:spacing w:line="600" w:lineRule="exact"/>
        <w:ind w:firstLine="643" w:firstLineChars="200"/>
        <w:rPr>
          <w:rFonts w:eastAsia="楷体_GB2312"/>
          <w:b/>
          <w:color w:val="auto"/>
          <w:kern w:val="0"/>
          <w:sz w:val="32"/>
          <w:szCs w:val="32"/>
        </w:rPr>
      </w:pPr>
      <w:r>
        <w:rPr>
          <w:rFonts w:hint="eastAsia" w:eastAsia="楷体_GB2312"/>
          <w:b/>
          <w:color w:val="auto"/>
          <w:kern w:val="0"/>
          <w:sz w:val="32"/>
          <w:szCs w:val="32"/>
        </w:rPr>
        <w:t>（一）监督检查前的准备工作。</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各承担监督检查任务的科室应根据区政府批准的年度监督检查计划，统筹考虑监督检查工作日数量、专业技术力量、执法检查装备力量等实际情况，以及分管行业（领域）阶段性安全生产特点规律，编制本科室的年度监督检查计划。</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2.各承担监督检查任务的科室应当明确每次具体监督检查任务，编制现场检查方案，明确被监督检查单位基本信息、检查内容及检查方式等内容。</w:t>
      </w:r>
    </w:p>
    <w:p>
      <w:pPr>
        <w:keepNext w:val="0"/>
        <w:keepLines w:val="0"/>
        <w:pageBreakBefore w:val="0"/>
        <w:kinsoku/>
        <w:wordWrap/>
        <w:overflowPunct/>
        <w:topLinePunct w:val="0"/>
        <w:autoSpaceDE/>
        <w:bidi w:val="0"/>
        <w:adjustRightInd w:val="0"/>
        <w:snapToGrid w:val="0"/>
        <w:spacing w:line="600" w:lineRule="exact"/>
        <w:ind w:firstLine="643" w:firstLineChars="200"/>
        <w:rPr>
          <w:rFonts w:eastAsia="楷体_GB2312"/>
          <w:b/>
          <w:color w:val="auto"/>
          <w:kern w:val="0"/>
          <w:sz w:val="32"/>
          <w:szCs w:val="32"/>
        </w:rPr>
      </w:pPr>
      <w:r>
        <w:rPr>
          <w:rFonts w:hint="eastAsia" w:eastAsia="楷体_GB2312"/>
          <w:b/>
          <w:color w:val="auto"/>
          <w:kern w:val="0"/>
          <w:sz w:val="32"/>
          <w:szCs w:val="32"/>
        </w:rPr>
        <w:t>（二）现场检查、现场处理和处罚。</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（1）监督检查人员应当按照现场检查方案，开展监督检查活动。根据有关法律法规，对监督检查中发现的安全生产违法行为或隐患，应当依法</w:t>
      </w:r>
      <w:r>
        <w:rPr>
          <w:rFonts w:hint="eastAsia" w:ascii="仿宋_GB2312" w:hAnsi="仿宋_GB2312" w:eastAsia="仿宋_GB2312" w:cs="仿宋_GB2312"/>
          <w:color w:val="auto"/>
          <w:kern w:val="0"/>
          <w:sz w:val="32"/>
          <w:szCs w:val="32"/>
          <w:lang w:eastAsia="zh-CN"/>
        </w:rPr>
        <w:t>作</w:t>
      </w:r>
      <w:r>
        <w:rPr>
          <w:rFonts w:hint="eastAsia" w:ascii="仿宋_GB2312" w:hAnsi="仿宋_GB2312" w:eastAsia="仿宋_GB2312" w:cs="仿宋_GB2312"/>
          <w:color w:val="auto"/>
          <w:kern w:val="0"/>
          <w:sz w:val="32"/>
          <w:szCs w:val="32"/>
        </w:rPr>
        <w:t>出现场处理决定。</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（2）对监督检查中发现的安全隐患，按照“谁检查、谁负责”的原则，在规定的时间内对整改情况进行复查。</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（3）对监督检查中发现的违法行为需要进行处罚的，应当依法实施行政处罚。</w:t>
      </w:r>
    </w:p>
    <w:p>
      <w:pPr>
        <w:keepNext w:val="0"/>
        <w:keepLines w:val="0"/>
        <w:pageBreakBefore w:val="0"/>
        <w:kinsoku/>
        <w:wordWrap/>
        <w:overflowPunct/>
        <w:topLinePunct w:val="0"/>
        <w:autoSpaceDE/>
        <w:bidi w:val="0"/>
        <w:adjustRightInd w:val="0"/>
        <w:snapToGrid w:val="0"/>
        <w:spacing w:line="600" w:lineRule="exact"/>
        <w:ind w:firstLine="643" w:firstLineChars="200"/>
        <w:rPr>
          <w:rFonts w:eastAsia="楷体_GB2312"/>
          <w:b/>
          <w:color w:val="auto"/>
          <w:kern w:val="0"/>
          <w:sz w:val="32"/>
          <w:szCs w:val="32"/>
        </w:rPr>
      </w:pPr>
      <w:r>
        <w:rPr>
          <w:rFonts w:hint="eastAsia" w:eastAsia="楷体_GB2312"/>
          <w:b/>
          <w:color w:val="auto"/>
          <w:kern w:val="0"/>
          <w:sz w:val="32"/>
          <w:szCs w:val="32"/>
        </w:rPr>
        <w:t>（三）归档。</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监督检查结束后，承办人应当将现场检查方案、现场检查记录、现场处理文书等一并归档；对于立案调查，需要实施行政处罚的，还应当将行政处罚告知书、行政处罚决定书、送达回执、处罚落实情况等一并归档。</w:t>
      </w:r>
    </w:p>
    <w:p>
      <w:pPr>
        <w:keepNext w:val="0"/>
        <w:keepLines w:val="0"/>
        <w:pageBreakBefore w:val="0"/>
        <w:kinsoku/>
        <w:wordWrap/>
        <w:overflowPunct/>
        <w:topLinePunct w:val="0"/>
        <w:autoSpaceDE/>
        <w:bidi w:val="0"/>
        <w:adjustRightInd w:val="0"/>
        <w:snapToGrid w:val="0"/>
        <w:spacing w:line="600" w:lineRule="exact"/>
        <w:ind w:firstLine="643" w:firstLineChars="200"/>
        <w:rPr>
          <w:rFonts w:eastAsia="楷体_GB2312"/>
          <w:b/>
          <w:color w:val="auto"/>
          <w:kern w:val="0"/>
          <w:sz w:val="32"/>
          <w:szCs w:val="32"/>
        </w:rPr>
      </w:pPr>
      <w:r>
        <w:rPr>
          <w:rFonts w:hint="eastAsia" w:eastAsia="楷体_GB2312"/>
          <w:b/>
          <w:color w:val="auto"/>
          <w:kern w:val="0"/>
          <w:sz w:val="32"/>
          <w:szCs w:val="32"/>
        </w:rPr>
        <w:t>（四）备案、督办。</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法规</w:t>
      </w:r>
      <w:r>
        <w:rPr>
          <w:rFonts w:hint="eastAsia" w:ascii="仿宋_GB2312" w:hAnsi="仿宋_GB2312" w:eastAsia="仿宋_GB2312" w:cs="仿宋_GB2312"/>
          <w:color w:val="auto"/>
          <w:kern w:val="0"/>
          <w:sz w:val="32"/>
          <w:szCs w:val="32"/>
          <w:lang w:eastAsia="zh-CN"/>
        </w:rPr>
        <w:t>审批</w:t>
      </w:r>
      <w:r>
        <w:rPr>
          <w:rFonts w:hint="eastAsia" w:ascii="仿宋_GB2312" w:hAnsi="仿宋_GB2312" w:eastAsia="仿宋_GB2312" w:cs="仿宋_GB2312"/>
          <w:color w:val="auto"/>
          <w:kern w:val="0"/>
          <w:sz w:val="32"/>
          <w:szCs w:val="32"/>
        </w:rPr>
        <w:t>科负责审核编制我局年度监督检查计划。各承担监督检查任务的科室应当严格执行既定的年度监督检查计划，并由监督检查人员将本科室检查情况</w:t>
      </w:r>
      <w:r>
        <w:rPr>
          <w:rFonts w:hint="eastAsia" w:ascii="仿宋_GB2312" w:hAnsi="仿宋_GB2312" w:eastAsia="仿宋_GB2312" w:cs="仿宋_GB2312"/>
          <w:color w:val="auto"/>
          <w:kern w:val="0"/>
          <w:sz w:val="32"/>
          <w:szCs w:val="32"/>
          <w:lang w:eastAsia="zh-CN"/>
        </w:rPr>
        <w:t>依法</w:t>
      </w:r>
      <w:r>
        <w:rPr>
          <w:rFonts w:hint="eastAsia" w:ascii="仿宋_GB2312" w:hAnsi="仿宋_GB2312" w:eastAsia="仿宋_GB2312" w:cs="仿宋_GB2312"/>
          <w:color w:val="auto"/>
          <w:kern w:val="0"/>
          <w:sz w:val="32"/>
          <w:szCs w:val="32"/>
        </w:rPr>
        <w:t>进行公示。法规</w:t>
      </w:r>
      <w:r>
        <w:rPr>
          <w:rFonts w:hint="eastAsia" w:ascii="仿宋_GB2312" w:hAnsi="仿宋_GB2312" w:eastAsia="仿宋_GB2312" w:cs="仿宋_GB2312"/>
          <w:color w:val="auto"/>
          <w:kern w:val="0"/>
          <w:sz w:val="32"/>
          <w:szCs w:val="32"/>
          <w:lang w:eastAsia="zh-CN"/>
        </w:rPr>
        <w:t>审批</w:t>
      </w:r>
      <w:r>
        <w:rPr>
          <w:rFonts w:hint="eastAsia" w:ascii="仿宋_GB2312" w:hAnsi="仿宋_GB2312" w:eastAsia="仿宋_GB2312" w:cs="仿宋_GB2312"/>
          <w:color w:val="auto"/>
          <w:kern w:val="0"/>
          <w:sz w:val="32"/>
          <w:szCs w:val="32"/>
        </w:rPr>
        <w:t>科应当按照经区政府批准的年度监督检查计划及时督办，并做好局年度监督检查计划实施情况考核、总结工作。</w:t>
      </w:r>
    </w:p>
    <w:p>
      <w:pPr>
        <w:keepNext w:val="0"/>
        <w:keepLines w:val="0"/>
        <w:pageBreakBefore w:val="0"/>
        <w:kinsoku/>
        <w:wordWrap/>
        <w:overflowPunct/>
        <w:topLinePunct w:val="0"/>
        <w:autoSpaceDE/>
        <w:bidi w:val="0"/>
        <w:adjustRightInd w:val="0"/>
        <w:snapToGrid w:val="0"/>
        <w:spacing w:line="600" w:lineRule="exact"/>
        <w:ind w:firstLine="643" w:firstLineChars="200"/>
        <w:rPr>
          <w:rFonts w:eastAsia="楷体_GB2312"/>
          <w:b/>
          <w:color w:val="auto"/>
          <w:kern w:val="0"/>
          <w:sz w:val="32"/>
          <w:szCs w:val="32"/>
        </w:rPr>
      </w:pPr>
      <w:r>
        <w:rPr>
          <w:rFonts w:hint="eastAsia" w:eastAsia="楷体_GB2312"/>
          <w:b/>
          <w:color w:val="auto"/>
          <w:kern w:val="0"/>
          <w:sz w:val="32"/>
          <w:szCs w:val="32"/>
        </w:rPr>
        <w:t>（五）调整、报批程序。</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经区政府批准的年度监督检查计划，因工作需要进行部分调整或者变更的，由相关科室书面提出具体调整或者变更意见，经主管局领导同意，报请局主要领导批准后施行，并形成正式文件。</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年度监督检查计划重点检查单位的数量减少幅度超过计划10%，或者监督检查单位的数量减少幅度超过计划20%，以及重点检查单位的范围做出变更的，应当重新核定相应工作量，并经局主要领导批准后，由法规</w:t>
      </w:r>
      <w:r>
        <w:rPr>
          <w:rFonts w:hint="eastAsia" w:ascii="仿宋_GB2312" w:hAnsi="仿宋_GB2312" w:eastAsia="仿宋_GB2312" w:cs="仿宋_GB2312"/>
          <w:color w:val="auto"/>
          <w:kern w:val="0"/>
          <w:sz w:val="32"/>
          <w:szCs w:val="32"/>
          <w:lang w:eastAsia="zh-CN"/>
        </w:rPr>
        <w:t>审批</w:t>
      </w:r>
      <w:r>
        <w:rPr>
          <w:rFonts w:hint="eastAsia" w:ascii="仿宋_GB2312" w:hAnsi="仿宋_GB2312" w:eastAsia="仿宋_GB2312" w:cs="仿宋_GB2312"/>
          <w:color w:val="auto"/>
          <w:kern w:val="0"/>
          <w:sz w:val="32"/>
          <w:szCs w:val="32"/>
        </w:rPr>
        <w:t>科重新报区政府批准后向市</w:t>
      </w:r>
      <w:r>
        <w:rPr>
          <w:rFonts w:hint="eastAsia" w:ascii="仿宋_GB2312" w:hAnsi="仿宋_GB2312" w:eastAsia="仿宋_GB2312" w:cs="仿宋_GB2312"/>
          <w:color w:val="auto"/>
          <w:kern w:val="0"/>
          <w:sz w:val="32"/>
          <w:szCs w:val="32"/>
          <w:lang w:eastAsia="zh-CN"/>
        </w:rPr>
        <w:t>应急管理</w:t>
      </w:r>
      <w:r>
        <w:rPr>
          <w:rFonts w:hint="eastAsia" w:ascii="仿宋_GB2312" w:hAnsi="仿宋_GB2312" w:eastAsia="仿宋_GB2312" w:cs="仿宋_GB2312"/>
          <w:color w:val="auto"/>
          <w:kern w:val="0"/>
          <w:sz w:val="32"/>
          <w:szCs w:val="32"/>
        </w:rPr>
        <w:t>局备案。</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line="600" w:lineRule="exact"/>
        <w:ind w:left="1918" w:leftChars="304" w:hanging="1280" w:hangingChars="400"/>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eastAsia="zh-CN"/>
        </w:rPr>
        <w:t>附件：</w:t>
      </w:r>
      <w:r>
        <w:rPr>
          <w:rFonts w:hint="eastAsia" w:ascii="仿宋_GB2312" w:hAnsi="仿宋_GB2312" w:eastAsia="仿宋_GB2312" w:cs="仿宋_GB2312"/>
          <w:color w:val="auto"/>
          <w:kern w:val="0"/>
          <w:sz w:val="32"/>
          <w:szCs w:val="32"/>
          <w:lang w:val="en-US" w:eastAsia="zh-CN" w:bidi="ar-SA"/>
        </w:rPr>
        <w:t>1.2021年危险化学品和烟花爆竹行业安全监管执法计划</w:t>
      </w:r>
    </w:p>
    <w:p>
      <w:pPr>
        <w:numPr>
          <w:ilvl w:val="0"/>
          <w:numId w:val="0"/>
        </w:numPr>
        <w:spacing w:line="570" w:lineRule="exact"/>
        <w:ind w:left="1916" w:leftChars="760" w:hanging="320" w:hangingChars="100"/>
        <w:jc w:val="both"/>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2.危险化学品和烟花爆竹行业领域计划执法企业基本信息表</w:t>
      </w:r>
    </w:p>
    <w:p>
      <w:pPr>
        <w:keepNext w:val="0"/>
        <w:keepLines w:val="0"/>
        <w:pageBreakBefore w:val="0"/>
        <w:widowControl/>
        <w:kinsoku/>
        <w:wordWrap/>
        <w:overflowPunct/>
        <w:topLinePunct w:val="0"/>
        <w:autoSpaceDE/>
        <w:autoSpaceDN/>
        <w:bidi w:val="0"/>
        <w:spacing w:line="600" w:lineRule="exact"/>
        <w:ind w:firstLine="1600" w:firstLineChars="500"/>
        <w:jc w:val="left"/>
        <w:textAlignment w:val="auto"/>
        <w:outlineLvl w:val="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lang w:val="en-US" w:eastAsia="zh-CN" w:bidi="ar-SA"/>
        </w:rPr>
        <w:t>2021年工贸和非煤矿山行业监管执法计划</w:t>
      </w:r>
    </w:p>
    <w:p>
      <w:pPr>
        <w:keepNext w:val="0"/>
        <w:keepLines w:val="0"/>
        <w:pageBreakBefore w:val="0"/>
        <w:widowControl/>
        <w:kinsoku/>
        <w:wordWrap/>
        <w:overflowPunct/>
        <w:topLinePunct w:val="0"/>
        <w:autoSpaceDE/>
        <w:autoSpaceDN/>
        <w:bidi w:val="0"/>
        <w:spacing w:line="600" w:lineRule="exact"/>
        <w:ind w:firstLine="1600" w:firstLineChars="500"/>
        <w:jc w:val="left"/>
        <w:textAlignment w:val="auto"/>
        <w:outlineLvl w:val="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4.工贸和非煤矿山行业</w:t>
      </w:r>
      <w:r>
        <w:rPr>
          <w:rFonts w:hint="eastAsia" w:ascii="仿宋_GB2312" w:hAnsi="仿宋_GB2312" w:eastAsia="仿宋_GB2312" w:cs="仿宋_GB2312"/>
          <w:color w:val="auto"/>
          <w:kern w:val="0"/>
          <w:sz w:val="32"/>
          <w:szCs w:val="32"/>
          <w:lang w:val="en-US" w:eastAsia="zh-CN" w:bidi="ar-SA"/>
        </w:rPr>
        <w:t>领域计划执法企业基本信息表</w:t>
      </w:r>
    </w:p>
    <w:p>
      <w:pPr>
        <w:keepNext w:val="0"/>
        <w:keepLines w:val="0"/>
        <w:pageBreakBefore w:val="0"/>
        <w:widowControl/>
        <w:kinsoku/>
        <w:wordWrap/>
        <w:overflowPunct/>
        <w:topLinePunct w:val="0"/>
        <w:autoSpaceDE/>
        <w:autoSpaceDN/>
        <w:bidi w:val="0"/>
        <w:spacing w:line="600" w:lineRule="exact"/>
        <w:ind w:firstLine="1920" w:firstLineChars="600"/>
        <w:jc w:val="left"/>
        <w:textAlignment w:val="auto"/>
        <w:outlineLvl w:val="0"/>
        <w:rPr>
          <w:rFonts w:hint="eastAsia" w:ascii="仿宋_GB2312" w:hAnsi="仿宋_GB2312" w:eastAsia="仿宋_GB2312" w:cs="仿宋_GB2312"/>
          <w:color w:val="auto"/>
          <w:kern w:val="0"/>
          <w:sz w:val="32"/>
          <w:szCs w:val="32"/>
          <w:lang w:val="en-US" w:eastAsia="zh-CN"/>
        </w:rPr>
      </w:pPr>
    </w:p>
    <w:p>
      <w:pPr>
        <w:keepNext w:val="0"/>
        <w:keepLines w:val="0"/>
        <w:pageBreakBefore w:val="0"/>
        <w:kinsoku/>
        <w:wordWrap/>
        <w:overflowPunct/>
        <w:topLinePunct w:val="0"/>
        <w:autoSpaceDE/>
        <w:bidi w:val="0"/>
        <w:spacing w:line="600" w:lineRule="exact"/>
        <w:ind w:firstLine="640" w:firstLineChars="200"/>
        <w:rPr>
          <w:rFonts w:hint="default" w:ascii="仿宋_GB2312" w:hAnsi="仿宋_GB2312" w:eastAsia="仿宋_GB2312" w:cs="仿宋_GB2312"/>
          <w:color w:val="auto"/>
          <w:kern w:val="0"/>
          <w:sz w:val="32"/>
          <w:szCs w:val="32"/>
          <w:lang w:val="en-US" w:eastAsia="zh-CN"/>
        </w:rPr>
      </w:pPr>
    </w:p>
    <w:p>
      <w:pPr>
        <w:rPr>
          <w:rFonts w:hint="eastAsia" w:ascii="黑体" w:hAnsi="黑体" w:eastAsia="黑体" w:cs="黑体"/>
          <w:bCs/>
          <w:color w:val="auto"/>
          <w:sz w:val="32"/>
          <w:szCs w:val="32"/>
        </w:rPr>
      </w:pPr>
      <w:r>
        <w:rPr>
          <w:rFonts w:hint="eastAsia" w:ascii="黑体" w:hAnsi="黑体" w:eastAsia="黑体" w:cs="黑体"/>
          <w:bCs/>
          <w:color w:val="auto"/>
          <w:sz w:val="32"/>
          <w:szCs w:val="32"/>
        </w:rPr>
        <w:br w:type="page"/>
      </w:r>
    </w:p>
    <w:p>
      <w:pPr>
        <w:pStyle w:val="8"/>
        <w:keepNext w:val="0"/>
        <w:keepLines w:val="0"/>
        <w:pageBreakBefore w:val="0"/>
        <w:widowControl w:val="0"/>
        <w:kinsoku/>
        <w:wordWrap/>
        <w:overflowPunct/>
        <w:topLinePunct w:val="0"/>
        <w:autoSpaceDE/>
        <w:bidi w:val="0"/>
        <w:adjustRightInd w:val="0"/>
        <w:snapToGrid w:val="0"/>
        <w:spacing w:before="0" w:beforeAutospacing="0" w:after="0" w:afterAutospacing="0" w:line="600" w:lineRule="exact"/>
        <w:jc w:val="both"/>
        <w:rPr>
          <w:rFonts w:hint="eastAsia" w:ascii="黑体" w:hAnsi="黑体" w:eastAsia="黑体" w:cs="黑体"/>
          <w:bCs/>
          <w:color w:val="auto"/>
          <w:sz w:val="32"/>
          <w:szCs w:val="32"/>
        </w:rPr>
      </w:pPr>
      <w:r>
        <w:rPr>
          <w:rFonts w:hint="eastAsia" w:ascii="黑体" w:hAnsi="黑体" w:eastAsia="黑体" w:cs="黑体"/>
          <w:bCs/>
          <w:color w:val="auto"/>
          <w:sz w:val="32"/>
          <w:szCs w:val="32"/>
        </w:rPr>
        <w:t>附件1</w:t>
      </w:r>
    </w:p>
    <w:p>
      <w:pPr>
        <w:pStyle w:val="8"/>
        <w:keepNext w:val="0"/>
        <w:keepLines w:val="0"/>
        <w:pageBreakBefore w:val="0"/>
        <w:widowControl w:val="0"/>
        <w:kinsoku/>
        <w:wordWrap/>
        <w:overflowPunct/>
        <w:topLinePunct w:val="0"/>
        <w:autoSpaceDE/>
        <w:bidi w:val="0"/>
        <w:adjustRightInd w:val="0"/>
        <w:snapToGrid w:val="0"/>
        <w:spacing w:before="0" w:beforeAutospacing="0" w:after="0" w:afterAutospacing="0" w:line="600" w:lineRule="exact"/>
        <w:jc w:val="both"/>
        <w:rPr>
          <w:rFonts w:hint="eastAsia" w:ascii="黑体" w:hAnsi="黑体" w:eastAsia="黑体" w:cs="黑体"/>
          <w:bCs/>
          <w:color w:val="auto"/>
          <w:sz w:val="32"/>
          <w:szCs w:val="32"/>
        </w:rPr>
      </w:pPr>
    </w:p>
    <w:p>
      <w:pPr>
        <w:pStyle w:val="4"/>
        <w:keepNext w:val="0"/>
        <w:keepLines w:val="0"/>
        <w:pageBreakBefore w:val="0"/>
        <w:widowControl w:val="0"/>
        <w:kinsoku/>
        <w:wordWrap/>
        <w:overflowPunct/>
        <w:topLinePunct w:val="0"/>
        <w:autoSpaceDE w:val="0"/>
        <w:autoSpaceDN w:val="0"/>
        <w:bidi w:val="0"/>
        <w:adjustRightInd/>
        <w:snapToGrid/>
        <w:spacing w:before="0" w:line="600" w:lineRule="exact"/>
        <w:ind w:left="0" w:leftChars="0" w:firstLine="0" w:firstLineChars="0"/>
        <w:jc w:val="center"/>
        <w:textAlignment w:val="auto"/>
        <w:rPr>
          <w:rFonts w:hint="eastAsia" w:ascii="方正小标宋简体" w:hAnsi="方正小标宋简体" w:eastAsia="方正小标宋简体" w:cs="方正小标宋简体"/>
          <w:lang w:val="en-US" w:eastAsia="zh-CN"/>
        </w:rPr>
      </w:pPr>
      <w:r>
        <w:rPr>
          <w:rFonts w:hint="eastAsia" w:ascii="方正小标宋简体" w:hAnsi="方正小标宋简体" w:eastAsia="方正小标宋简体" w:cs="方正小标宋简体"/>
          <w:lang w:val="en-US" w:eastAsia="zh-CN"/>
        </w:rPr>
        <w:t>2021年危险化学品和烟花爆竹行业</w:t>
      </w:r>
    </w:p>
    <w:p>
      <w:pPr>
        <w:pStyle w:val="4"/>
        <w:keepNext w:val="0"/>
        <w:keepLines w:val="0"/>
        <w:pageBreakBefore w:val="0"/>
        <w:widowControl w:val="0"/>
        <w:kinsoku/>
        <w:wordWrap/>
        <w:overflowPunct/>
        <w:topLinePunct w:val="0"/>
        <w:autoSpaceDE w:val="0"/>
        <w:autoSpaceDN w:val="0"/>
        <w:bidi w:val="0"/>
        <w:adjustRightInd/>
        <w:snapToGrid/>
        <w:spacing w:before="0" w:line="600" w:lineRule="exact"/>
        <w:ind w:left="0" w:leftChars="0" w:firstLine="0" w:firstLineChars="0"/>
        <w:jc w:val="center"/>
        <w:textAlignment w:val="auto"/>
        <w:rPr>
          <w:rFonts w:hint="eastAsia" w:ascii="黑体" w:hAnsi="黑体" w:eastAsia="黑体" w:cs="黑体"/>
        </w:rPr>
      </w:pPr>
      <w:r>
        <w:rPr>
          <w:rFonts w:hint="eastAsia" w:ascii="方正小标宋简体" w:hAnsi="方正小标宋简体" w:eastAsia="方正小标宋简体" w:cs="方正小标宋简体"/>
          <w:lang w:val="en-US" w:eastAsia="zh-CN"/>
        </w:rPr>
        <w:t>安全监管执法计划</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textAlignment w:val="auto"/>
        <w:rPr>
          <w:sz w:val="70"/>
        </w:rPr>
      </w:pP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747"/>
        <w:textAlignment w:val="auto"/>
        <w:rPr>
          <w:rFonts w:hint="eastAsia" w:ascii="黑体" w:eastAsia="黑体"/>
        </w:rPr>
      </w:pPr>
      <w:r>
        <w:rPr>
          <w:rFonts w:hint="eastAsia" w:ascii="黑体" w:eastAsia="黑体"/>
        </w:rPr>
        <w:t>一、全</w:t>
      </w:r>
      <w:r>
        <w:rPr>
          <w:rFonts w:hint="eastAsia" w:ascii="黑体" w:eastAsia="黑体"/>
          <w:lang w:eastAsia="zh-CN"/>
        </w:rPr>
        <w:t>区</w:t>
      </w:r>
      <w:r>
        <w:rPr>
          <w:rFonts w:hint="eastAsia" w:ascii="黑体" w:eastAsia="黑体"/>
        </w:rPr>
        <w:t>危险化学品</w:t>
      </w:r>
      <w:r>
        <w:rPr>
          <w:rFonts w:hint="eastAsia" w:ascii="黑体" w:eastAsia="黑体"/>
          <w:lang w:eastAsia="zh-CN"/>
        </w:rPr>
        <w:t>和烟花爆竹</w:t>
      </w:r>
      <w:r>
        <w:rPr>
          <w:rFonts w:hint="eastAsia" w:ascii="黑体" w:eastAsia="黑体"/>
        </w:rPr>
        <w:t>基本情况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_GB2312" w:hAnsi="仿宋_GB2312" w:eastAsia="仿宋_GB2312" w:cs="仿宋_GB2312"/>
          <w:color w:val="auto"/>
          <w:kern w:val="0"/>
          <w:sz w:val="32"/>
          <w:szCs w:val="32"/>
          <w:lang w:val="en-US" w:eastAsia="zh-CN" w:bidi="ar-SA"/>
        </w:rPr>
        <w:t>望城区目前共有危险化学品生产企业8家，其中，正常生产企业4家、停产企业1家、试生产还未取证企业3家，危险化学品经营企业（带储存）9家，加油站51家，危险化学品经营企业（纯贸易）346家，化工企业4家，医药化工企业8家；全区构成重大危险源的危化企业共计17家，合计存在重大危险源33处；涉及重点监管的危险化工工艺企业6家，涉及8种危险工艺。经安全风险综合研判，目前存在重大风险的危险化学品企业3家，较大风险企业21家。望城区目前共有烟花爆竹经营批发企业1家，烟花爆竹经营零售门店50家。</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747"/>
        <w:textAlignment w:val="auto"/>
        <w:rPr>
          <w:rFonts w:hint="eastAsia" w:ascii="黑体" w:eastAsia="黑体"/>
        </w:rPr>
      </w:pPr>
      <w:r>
        <w:rPr>
          <w:rFonts w:hint="eastAsia" w:ascii="黑体" w:eastAsia="黑体"/>
        </w:rPr>
        <w:t>二、主要执法依据</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（一）《安全生产法》《行政处罚法》《危险化学品安全管理条例》《烟花爆竹安全管理条例》《安全生产许可证条例》《生产安全事故应急条例》《湖南省安全生产条例》；</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安全生产事故隐患排查治理暂行规定》《危险化学品生产企业安全生产许可证实施办法》《烟花爆竹生产经营安全规定》《烟花爆竹经营许可实施办法》《危险化学品重大危险源监督管理暂行规定》《危险化学品输送管道安全管理办法》《危险化学品建设项目安全监督管理办法》《危险化学品登记管理办法》《危险化学品经营许可证管理办法》《化学品物理危险性鉴定与分类管理办法》《危险化学品安全使用许可证实施办法》《安全生 产监管监察职责和行政执法责任追究的规定》《湖南省生产经营单位安全生产主体责任规定》；</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（三）《化工（危险化学品）企业安全检查重点指导目录》《化工和危险化学品生产经营单位重大生产安全事故隐患判定标准（试行）》《危险化学品生产储存企业安全风险评估诊断分级 指南（试行）》；</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（四）其他相关法律法规和标准规范及法规性规范性文件。</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747"/>
        <w:textAlignment w:val="auto"/>
        <w:rPr>
          <w:rFonts w:hint="eastAsia" w:ascii="黑体" w:eastAsia="黑体"/>
        </w:rPr>
      </w:pPr>
      <w:r>
        <w:rPr>
          <w:rFonts w:hint="eastAsia" w:ascii="黑体" w:eastAsia="黑体"/>
        </w:rPr>
        <w:t>三、重点检查内容</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抓住危险化学品企业重大风险管控和重大事故隐患排查治理开展执法检查，督促企业加大安全投入、加快安全技术改造、强化安全风险管控、切实整治事故隐患，提高事故防范能力。对危险化学品直接执法对象重点检查以下内容:</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（一）依法取得有关安全生产行政许可证照的情况；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（二）生产、储存和使用危险化学品从事化工生产的企业依法每三年进行一次安全评价的情况；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（三）建立和落实安全生产责任制、安全生产规章制度和操</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作规程、作业规程的情况；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（四）按照国家规定提取和使用安全生产费用，以及其他安全生产投入的情况；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（五）依法设置安全生产管理机构和配备安全生产管理人员的情况；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（六）从业人员受到安全生产教育、培训，取得有关安全培训合格证书的情况；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（七）新建、改建、扩建危险化学品项目的安全设施与主体工程同时设计、同时施工、同时投入生产和使用，以及按规定办理设计审查和自主实施竣工验收的情况；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（八）在有较大危险因素的生产经营场所和有关设施、设备上，设置安全警示标志的情况；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（九）对安全设备设施的维护、保养、定期检测的情况；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（十）重大危险源登记建档、定期检测、评估、监控和制定应急预案的情况；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（十一）教育和督促从业人员严格执行本单位的安全生产规章制度和安全操作规程，并向从业人员如实告知作业场所和工作岗位存在的危险因素、防范措施以及事故应急措施的情况；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（十二）为从业人员提供符合国家标准或者行业标准的劳动防护用品，并监督、教育从业人员按照使用规则正确佩戴和使用的情况；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（十三）在同一作业区域内进行生产经营活动，可能危及对</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方生产安全的，与对方签订安全生产管理协议，明确各自的安全生产管理职责和应当采取的安全措施，并指定专职安全生产管理人员进行安全检查与协调的情况；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（十四）对承包单位、承租单位的安全生产工作实行统一协调、管理的情况；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（十五）组织安全生产检查，及时排查治理生产安全事故隐患的情况；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（十六）制定、实施生产安全事故应急预案，以及有关应急预案备案的情况；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（十七）建立应急救援组织或者兼职救援队伍、签订应急救援协议，以及应急救援器材、设备的配备、维护、保养的情况；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（十八）按照规定报告本单位生产安全事故的情况；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（十九）依法应当监督检查的其他情况。</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对烟花爆竹重点检查内容为：</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（一）无证、证照不全或证照逾期经营单位；</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（二）发现存在重大安全事故隐患的经营单位；</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（三）申请退出或关闭取缔后擅自从事生产经营的；</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（四）批发企业违反“六严禁”、零售店违反“三严禁”经营储存的。</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747"/>
        <w:textAlignment w:val="auto"/>
        <w:rPr>
          <w:rFonts w:hint="eastAsia" w:ascii="黑体" w:eastAsia="黑体"/>
        </w:rPr>
      </w:pPr>
      <w:r>
        <w:rPr>
          <w:rFonts w:hint="eastAsia" w:ascii="黑体" w:eastAsia="黑体"/>
        </w:rPr>
        <w:t>四、重点监管执法对象</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按照分类分级实施安全监管执法的要求，区应急管理局负责全区危险化学品和烟花爆竹企业的安全监管执法工作，并对下列执法对象进行重点监管执法。</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273" w:firstLine="640"/>
        <w:jc w:val="both"/>
        <w:textAlignment w:val="auto"/>
        <w:rPr>
          <w:rFonts w:hint="eastAsia" w:ascii="仿宋_GB2312" w:hAnsi="仿宋_GB2312" w:eastAsia="仿宋_GB2312" w:cs="仿宋_GB2312"/>
          <w:spacing w:val="-6"/>
          <w:lang w:val="en-US" w:eastAsia="zh-CN"/>
        </w:rPr>
      </w:pPr>
      <w:r>
        <w:rPr>
          <w:rFonts w:hint="eastAsia" w:ascii="仿宋_GB2312" w:hAnsi="仿宋_GB2312" w:eastAsia="仿宋_GB2312" w:cs="仿宋_GB2312"/>
          <w:b/>
          <w:bCs/>
          <w:spacing w:val="-4"/>
          <w:lang w:eastAsia="zh-CN"/>
        </w:rPr>
        <w:t>（一）</w:t>
      </w:r>
      <w:r>
        <w:rPr>
          <w:rFonts w:hint="eastAsia" w:ascii="仿宋_GB2312" w:hAnsi="仿宋_GB2312" w:eastAsia="仿宋_GB2312" w:cs="仿宋_GB2312"/>
          <w:b/>
          <w:bCs/>
          <w:spacing w:val="-4"/>
        </w:rPr>
        <w:t>直接</w:t>
      </w:r>
      <w:r>
        <w:rPr>
          <w:rFonts w:hint="eastAsia" w:ascii="仿宋_GB2312" w:hAnsi="仿宋_GB2312" w:eastAsia="仿宋_GB2312" w:cs="仿宋_GB2312"/>
          <w:b/>
          <w:bCs/>
          <w:spacing w:val="-4"/>
          <w:lang w:eastAsia="zh-CN"/>
        </w:rPr>
        <w:t>对除省、市执法计划以外的央企、省属企业、市属企业及分支机构</w:t>
      </w:r>
      <w:r>
        <w:rPr>
          <w:rFonts w:hint="eastAsia" w:ascii="仿宋_GB2312" w:hAnsi="仿宋_GB2312" w:eastAsia="仿宋_GB2312" w:cs="仿宋_GB2312"/>
          <w:b/>
          <w:bCs/>
          <w:spacing w:val="-6"/>
          <w:sz w:val="32"/>
        </w:rPr>
        <w:t>实施安全监管执法</w:t>
      </w:r>
      <w:r>
        <w:rPr>
          <w:rFonts w:hint="eastAsia" w:ascii="仿宋_GB2312" w:hAnsi="仿宋_GB2312" w:eastAsia="仿宋_GB2312" w:cs="仿宋_GB2312"/>
          <w:b/>
          <w:spacing w:val="-6"/>
          <w:sz w:val="32"/>
        </w:rPr>
        <w:t>。</w:t>
      </w:r>
      <w:r>
        <w:rPr>
          <w:rFonts w:hint="eastAsia" w:ascii="仿宋_GB2312" w:hAnsi="仿宋_GB2312" w:eastAsia="仿宋_GB2312" w:cs="仿宋_GB2312"/>
          <w:spacing w:val="-6"/>
          <w:lang w:eastAsia="zh-CN"/>
        </w:rPr>
        <w:t>具体对象为：辖区内中国石油天然气股份有限公司湖南销售分公司加油站</w:t>
      </w:r>
      <w:r>
        <w:rPr>
          <w:rFonts w:hint="eastAsia" w:ascii="仿宋_GB2312" w:hAnsi="仿宋_GB2312" w:eastAsia="仿宋_GB2312" w:cs="仿宋_GB2312"/>
          <w:spacing w:val="-6"/>
          <w:lang w:val="en-US" w:eastAsia="zh-CN"/>
        </w:rPr>
        <w:t>、中国石油化工股份有限公司湖南销售分公司加油站、中海油加油站、中化石油加油站。</w:t>
      </w:r>
    </w:p>
    <w:p>
      <w:pPr>
        <w:pStyle w:val="19"/>
        <w:keepNext w:val="0"/>
        <w:keepLines w:val="0"/>
        <w:pageBreakBefore w:val="0"/>
        <w:widowControl w:val="0"/>
        <w:kinsoku/>
        <w:wordWrap/>
        <w:overflowPunct/>
        <w:topLinePunct w:val="0"/>
        <w:autoSpaceDE w:val="0"/>
        <w:autoSpaceDN w:val="0"/>
        <w:bidi w:val="0"/>
        <w:adjustRightInd/>
        <w:snapToGrid/>
        <w:spacing w:line="600" w:lineRule="exact"/>
        <w:ind w:left="0"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sz w:val="32"/>
        </w:rPr>
        <w:t>（二</w:t>
      </w:r>
      <w:r>
        <w:rPr>
          <w:rFonts w:hint="eastAsia" w:ascii="仿宋_GB2312" w:hAnsi="仿宋_GB2312" w:eastAsia="仿宋_GB2312" w:cs="仿宋_GB2312"/>
          <w:b/>
          <w:spacing w:val="-65"/>
          <w:sz w:val="32"/>
        </w:rPr>
        <w:t>）</w:t>
      </w:r>
      <w:r>
        <w:rPr>
          <w:rFonts w:hint="eastAsia" w:ascii="仿宋_GB2312" w:hAnsi="仿宋_GB2312" w:eastAsia="仿宋_GB2312" w:cs="仿宋_GB2312"/>
          <w:b/>
          <w:spacing w:val="-5"/>
          <w:sz w:val="32"/>
        </w:rPr>
        <w:t>组织对</w:t>
      </w:r>
      <w:r>
        <w:rPr>
          <w:rFonts w:hint="eastAsia" w:ascii="仿宋_GB2312" w:hAnsi="仿宋_GB2312" w:eastAsia="仿宋_GB2312" w:cs="仿宋_GB2312"/>
          <w:b/>
          <w:spacing w:val="-5"/>
          <w:sz w:val="32"/>
          <w:lang w:eastAsia="zh-CN"/>
        </w:rPr>
        <w:t>重点</w:t>
      </w:r>
      <w:r>
        <w:rPr>
          <w:rFonts w:hint="eastAsia" w:ascii="仿宋_GB2312" w:hAnsi="仿宋_GB2312" w:eastAsia="仿宋_GB2312" w:cs="仿宋_GB2312"/>
          <w:b/>
          <w:spacing w:val="-5"/>
          <w:sz w:val="32"/>
        </w:rPr>
        <w:t>企业进行</w:t>
      </w:r>
      <w:r>
        <w:rPr>
          <w:rFonts w:hint="eastAsia" w:ascii="仿宋_GB2312" w:hAnsi="仿宋_GB2312" w:eastAsia="仿宋_GB2312" w:cs="仿宋_GB2312"/>
          <w:b/>
          <w:spacing w:val="-5"/>
          <w:sz w:val="32"/>
          <w:lang w:eastAsia="zh-CN"/>
        </w:rPr>
        <w:t>全覆盖检查</w:t>
      </w:r>
      <w:r>
        <w:rPr>
          <w:rFonts w:hint="eastAsia" w:ascii="仿宋_GB2312" w:hAnsi="仿宋_GB2312" w:eastAsia="仿宋_GB2312" w:cs="仿宋_GB2312"/>
          <w:b/>
          <w:spacing w:val="-5"/>
          <w:sz w:val="32"/>
        </w:rPr>
        <w:t>。</w:t>
      </w:r>
      <w:r>
        <w:rPr>
          <w:rFonts w:hint="eastAsia" w:ascii="仿宋_GB2312" w:hAnsi="仿宋_GB2312" w:eastAsia="仿宋_GB2312" w:cs="仿宋_GB2312"/>
          <w:b w:val="0"/>
          <w:bCs w:val="0"/>
          <w:spacing w:val="-6"/>
          <w:kern w:val="0"/>
          <w:sz w:val="32"/>
          <w:szCs w:val="32"/>
          <w:lang w:val="zh-CN" w:eastAsia="zh-CN" w:bidi="zh-CN"/>
        </w:rPr>
        <w:t>对除市应急管理局执法计划内的全区危险化学品生产企业、专业储存危险化学品仓库、带仓储经营的危险化学品企业和加油站、烟花爆竹经营批发单位实施安全监管执法，企业具体信息见附表。</w:t>
      </w:r>
    </w:p>
    <w:p>
      <w:pPr>
        <w:pStyle w:val="3"/>
        <w:keepNext w:val="0"/>
        <w:keepLines w:val="0"/>
        <w:pageBreakBefore w:val="0"/>
        <w:widowControl w:val="0"/>
        <w:kinsoku/>
        <w:wordWrap/>
        <w:overflowPunct/>
        <w:topLinePunct w:val="0"/>
        <w:autoSpaceDE w:val="0"/>
        <w:autoSpaceDN w:val="0"/>
        <w:bidi w:val="0"/>
        <w:adjustRightInd/>
        <w:snapToGrid/>
        <w:spacing w:before="0" w:line="600" w:lineRule="exact"/>
        <w:ind w:right="273" w:firstLine="643" w:firstLineChars="200"/>
        <w:jc w:val="both"/>
        <w:textAlignment w:val="auto"/>
        <w:rPr>
          <w:rFonts w:hint="eastAsia" w:ascii="仿宋_GB2312" w:hAnsi="仿宋_GB2312" w:eastAsia="仿宋_GB2312" w:cs="仿宋_GB2312"/>
          <w:spacing w:val="-6"/>
          <w:lang w:val="en-US" w:eastAsia="zh-CN"/>
        </w:rPr>
      </w:pPr>
      <w:r>
        <w:rPr>
          <w:rFonts w:hint="eastAsia" w:ascii="仿宋_GB2312" w:hAnsi="仿宋_GB2312" w:eastAsia="仿宋_GB2312" w:cs="仿宋_GB2312"/>
          <w:b/>
          <w:sz w:val="32"/>
        </w:rPr>
        <w:t>（三</w:t>
      </w:r>
      <w:r>
        <w:rPr>
          <w:rFonts w:hint="eastAsia" w:ascii="仿宋_GB2312" w:hAnsi="仿宋_GB2312" w:eastAsia="仿宋_GB2312" w:cs="仿宋_GB2312"/>
          <w:b/>
          <w:spacing w:val="-65"/>
          <w:sz w:val="32"/>
        </w:rPr>
        <w:t>）</w:t>
      </w:r>
      <w:r>
        <w:rPr>
          <w:rFonts w:hint="eastAsia" w:ascii="仿宋_GB2312" w:hAnsi="仿宋_GB2312" w:eastAsia="仿宋_GB2312" w:cs="仿宋_GB2312"/>
          <w:b/>
          <w:spacing w:val="-5"/>
          <w:sz w:val="32"/>
        </w:rPr>
        <w:t>组织对</w:t>
      </w:r>
      <w:r>
        <w:rPr>
          <w:rFonts w:hint="eastAsia" w:ascii="仿宋_GB2312" w:hAnsi="仿宋_GB2312" w:eastAsia="仿宋_GB2312" w:cs="仿宋_GB2312"/>
          <w:b/>
          <w:spacing w:val="-5"/>
          <w:sz w:val="32"/>
          <w:lang w:eastAsia="zh-CN"/>
        </w:rPr>
        <w:t>危险化学品经营（纯贸易）企业和烟花爆竹门店进行抽查</w:t>
      </w:r>
      <w:r>
        <w:rPr>
          <w:rFonts w:hint="eastAsia" w:ascii="仿宋_GB2312" w:hAnsi="仿宋_GB2312" w:eastAsia="仿宋_GB2312" w:cs="仿宋_GB2312"/>
          <w:b/>
          <w:spacing w:val="-5"/>
          <w:sz w:val="32"/>
        </w:rPr>
        <w:t>。</w:t>
      </w:r>
      <w:r>
        <w:rPr>
          <w:rFonts w:hint="eastAsia" w:ascii="仿宋_GB2312" w:hAnsi="仿宋_GB2312" w:eastAsia="仿宋_GB2312" w:cs="仿宋_GB2312"/>
          <w:spacing w:val="-6"/>
          <w:lang w:eastAsia="zh-CN"/>
        </w:rPr>
        <w:t>重点对湾田化工市场危险化学品经营企业和全区烟花爆竹门店进行抽查。纯贸易单位依据</w:t>
      </w:r>
      <w:r>
        <w:rPr>
          <w:rFonts w:hint="eastAsia" w:ascii="仿宋_GB2312" w:hAnsi="仿宋_GB2312" w:eastAsia="仿宋_GB2312" w:cs="仿宋_GB2312"/>
          <w:spacing w:val="-6"/>
          <w:lang w:val="en-US" w:eastAsia="zh-CN"/>
        </w:rPr>
        <w:t>长沙市望城区危险化学品领域应急综合管理平台使用情况的通报，每季度集中抽查一次，每次抽查企业不少于5家。</w:t>
      </w: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lang w:val="en-US" w:eastAsia="zh-CN"/>
        </w:rPr>
      </w:pPr>
    </w:p>
    <w:p>
      <w:pPr>
        <w:keepNext w:val="0"/>
        <w:keepLines w:val="0"/>
        <w:pageBreakBefore w:val="0"/>
        <w:kinsoku/>
        <w:wordWrap/>
        <w:overflowPunct/>
        <w:topLinePunct w:val="0"/>
        <w:autoSpaceDE/>
        <w:bidi w:val="0"/>
        <w:spacing w:line="600" w:lineRule="exact"/>
        <w:ind w:firstLine="640" w:firstLineChars="200"/>
        <w:rPr>
          <w:rFonts w:hint="eastAsia" w:ascii="仿宋_GB2312" w:hAnsi="仿宋_GB2312" w:eastAsia="仿宋_GB2312" w:cs="仿宋_GB2312"/>
          <w:color w:val="auto"/>
          <w:kern w:val="0"/>
          <w:sz w:val="32"/>
          <w:szCs w:val="32"/>
          <w:lang w:val="en-US" w:eastAsia="zh-CN"/>
        </w:rPr>
      </w:pPr>
    </w:p>
    <w:p>
      <w:pPr>
        <w:spacing w:line="600" w:lineRule="exact"/>
        <w:ind w:left="630" w:leftChars="300"/>
        <w:rPr>
          <w:rFonts w:hint="eastAsia" w:ascii="仿宋_GB2312" w:hAnsi="宋体" w:eastAsia="仿宋_GB2312" w:cs="宋体"/>
          <w:color w:val="auto"/>
          <w:kern w:val="0"/>
          <w:sz w:val="32"/>
          <w:szCs w:val="32"/>
        </w:rPr>
      </w:pPr>
    </w:p>
    <w:p>
      <w:pPr>
        <w:adjustRightInd w:val="0"/>
        <w:snapToGrid w:val="0"/>
        <w:spacing w:line="592" w:lineRule="exact"/>
        <w:ind w:firstLine="640" w:firstLineChars="200"/>
        <w:rPr>
          <w:rFonts w:eastAsia="仿宋_GB2312"/>
          <w:color w:val="auto"/>
          <w:kern w:val="0"/>
          <w:sz w:val="32"/>
          <w:szCs w:val="32"/>
        </w:rPr>
        <w:sectPr>
          <w:headerReference r:id="rId3" w:type="default"/>
          <w:footerReference r:id="rId4" w:type="default"/>
          <w:pgSz w:w="11906" w:h="16838"/>
          <w:pgMar w:top="1985" w:right="1418" w:bottom="1814" w:left="1418" w:header="907" w:footer="1304" w:gutter="0"/>
          <w:pgBorders>
            <w:top w:val="none" w:sz="0" w:space="0"/>
            <w:left w:val="none" w:sz="0" w:space="0"/>
            <w:bottom w:val="none" w:sz="0" w:space="0"/>
            <w:right w:val="none" w:sz="0" w:space="0"/>
          </w:pgBorders>
          <w:pgNumType w:fmt="numberInDash"/>
          <w:cols w:space="720" w:num="1"/>
          <w:docGrid w:type="lines" w:linePitch="312" w:charSpace="0"/>
        </w:sectPr>
      </w:pPr>
    </w:p>
    <w:p>
      <w:pPr>
        <w:spacing w:line="592" w:lineRule="exact"/>
        <w:rPr>
          <w:rFonts w:eastAsia="黑体"/>
          <w:color w:val="auto"/>
          <w:sz w:val="32"/>
          <w:szCs w:val="32"/>
        </w:rPr>
      </w:pPr>
      <w:r>
        <w:rPr>
          <w:rFonts w:hint="eastAsia" w:eastAsia="黑体"/>
          <w:color w:val="auto"/>
          <w:sz w:val="32"/>
          <w:szCs w:val="32"/>
        </w:rPr>
        <w:t>附件</w:t>
      </w:r>
      <w:r>
        <w:rPr>
          <w:rFonts w:eastAsia="黑体"/>
          <w:color w:val="auto"/>
          <w:sz w:val="32"/>
          <w:szCs w:val="32"/>
        </w:rPr>
        <w:t>2</w:t>
      </w:r>
    </w:p>
    <w:p>
      <w:pPr>
        <w:spacing w:line="570" w:lineRule="exact"/>
        <w:jc w:val="center"/>
        <w:rPr>
          <w:rFonts w:hint="eastAsia" w:ascii="方正小标宋简体" w:eastAsia="方正小标宋简体"/>
          <w:snapToGrid w:val="0"/>
          <w:kern w:val="0"/>
          <w:sz w:val="36"/>
          <w:szCs w:val="36"/>
        </w:rPr>
      </w:pPr>
      <w:r>
        <w:rPr>
          <w:rFonts w:hint="eastAsia" w:ascii="方正小标宋简体" w:hAnsi="宋体" w:eastAsia="方正小标宋简体"/>
          <w:snapToGrid w:val="0"/>
          <w:kern w:val="0"/>
          <w:sz w:val="36"/>
          <w:szCs w:val="36"/>
        </w:rPr>
        <w:t>危险化学品</w:t>
      </w:r>
      <w:r>
        <w:rPr>
          <w:rFonts w:hint="eastAsia" w:ascii="方正小标宋简体" w:hAnsi="宋体" w:eastAsia="方正小标宋简体"/>
          <w:snapToGrid w:val="0"/>
          <w:kern w:val="0"/>
          <w:sz w:val="36"/>
          <w:szCs w:val="36"/>
          <w:lang w:eastAsia="zh-CN"/>
        </w:rPr>
        <w:t>和烟花爆竹</w:t>
      </w:r>
      <w:r>
        <w:rPr>
          <w:rFonts w:hint="eastAsia" w:ascii="方正小标宋简体" w:eastAsia="方正小标宋简体"/>
          <w:snapToGrid w:val="0"/>
          <w:kern w:val="0"/>
          <w:sz w:val="36"/>
          <w:szCs w:val="36"/>
        </w:rPr>
        <w:t>行业领域计划执法企业基本信息表</w:t>
      </w:r>
    </w:p>
    <w:p>
      <w:pPr>
        <w:spacing w:line="200" w:lineRule="exact"/>
        <w:jc w:val="center"/>
        <w:rPr>
          <w:rFonts w:hint="eastAsia" w:ascii="仿宋_GB2312" w:eastAsia="仿宋_GB2312"/>
          <w:snapToGrid w:val="0"/>
          <w:kern w:val="0"/>
          <w:sz w:val="32"/>
          <w:szCs w:val="32"/>
        </w:rPr>
      </w:pPr>
    </w:p>
    <w:tbl>
      <w:tblPr>
        <w:tblStyle w:val="12"/>
        <w:tblW w:w="14220" w:type="dxa"/>
        <w:jc w:val="center"/>
        <w:tblInd w:w="0" w:type="dxa"/>
        <w:tblLayout w:type="fixed"/>
        <w:tblCellMar>
          <w:top w:w="0" w:type="dxa"/>
          <w:left w:w="108" w:type="dxa"/>
          <w:bottom w:w="0" w:type="dxa"/>
          <w:right w:w="108" w:type="dxa"/>
        </w:tblCellMar>
      </w:tblPr>
      <w:tblGrid>
        <w:gridCol w:w="720"/>
        <w:gridCol w:w="4190"/>
        <w:gridCol w:w="1030"/>
        <w:gridCol w:w="3600"/>
        <w:gridCol w:w="1080"/>
        <w:gridCol w:w="1620"/>
        <w:gridCol w:w="1080"/>
        <w:gridCol w:w="900"/>
      </w:tblGrid>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snapToGrid w:val="0"/>
                <w:kern w:val="0"/>
                <w:sz w:val="24"/>
              </w:rPr>
            </w:pPr>
            <w:r>
              <w:rPr>
                <w:rFonts w:hint="eastAsia" w:ascii="宋体" w:hAnsi="宋体" w:cs="宋体"/>
                <w:b/>
                <w:snapToGrid w:val="0"/>
                <w:kern w:val="0"/>
                <w:sz w:val="24"/>
              </w:rPr>
              <w:t>序号</w:t>
            </w: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snapToGrid w:val="0"/>
                <w:kern w:val="0"/>
                <w:sz w:val="24"/>
              </w:rPr>
            </w:pPr>
            <w:r>
              <w:rPr>
                <w:rFonts w:hint="eastAsia" w:ascii="宋体" w:hAnsi="宋体" w:cs="宋体"/>
                <w:b/>
                <w:snapToGrid w:val="0"/>
                <w:kern w:val="0"/>
                <w:sz w:val="24"/>
              </w:rPr>
              <w:t>单位名称</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宋体" w:hAnsi="宋体"/>
                <w:b/>
                <w:snapToGrid w:val="0"/>
                <w:kern w:val="0"/>
                <w:sz w:val="24"/>
              </w:rPr>
            </w:pPr>
            <w:r>
              <w:rPr>
                <w:rFonts w:hint="eastAsia" w:ascii="宋体" w:hAnsi="宋体"/>
                <w:b/>
                <w:snapToGrid w:val="0"/>
                <w:kern w:val="0"/>
                <w:sz w:val="24"/>
              </w:rPr>
              <w:t>法　定</w:t>
            </w:r>
          </w:p>
          <w:p>
            <w:pPr>
              <w:widowControl/>
              <w:spacing w:line="400" w:lineRule="exact"/>
              <w:jc w:val="center"/>
              <w:rPr>
                <w:rFonts w:ascii="宋体" w:hAnsi="宋体" w:cs="宋体"/>
                <w:b/>
                <w:snapToGrid w:val="0"/>
                <w:kern w:val="0"/>
                <w:sz w:val="24"/>
              </w:rPr>
            </w:pPr>
            <w:r>
              <w:rPr>
                <w:rFonts w:hint="eastAsia" w:ascii="宋体" w:hAnsi="宋体"/>
                <w:b/>
                <w:snapToGrid w:val="0"/>
                <w:kern w:val="0"/>
                <w:sz w:val="24"/>
              </w:rPr>
              <w:t>代表人</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snapToGrid w:val="0"/>
                <w:kern w:val="0"/>
                <w:sz w:val="24"/>
              </w:rPr>
            </w:pPr>
            <w:r>
              <w:rPr>
                <w:rFonts w:hint="eastAsia" w:ascii="宋体" w:hAnsi="宋体" w:cs="宋体"/>
                <w:b/>
                <w:snapToGrid w:val="0"/>
                <w:kern w:val="0"/>
                <w:sz w:val="24"/>
              </w:rPr>
              <w:t>详细地址</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snapToGrid w:val="0"/>
                <w:kern w:val="0"/>
                <w:sz w:val="24"/>
              </w:rPr>
            </w:pPr>
            <w:r>
              <w:rPr>
                <w:rFonts w:hint="eastAsia" w:ascii="宋体" w:hAnsi="宋体" w:cs="宋体"/>
                <w:b/>
                <w:snapToGrid w:val="0"/>
                <w:kern w:val="0"/>
                <w:sz w:val="24"/>
              </w:rPr>
              <w:t>联系人</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snapToGrid w:val="0"/>
                <w:kern w:val="0"/>
                <w:sz w:val="24"/>
              </w:rPr>
            </w:pPr>
            <w:r>
              <w:rPr>
                <w:rFonts w:hint="eastAsia" w:ascii="宋体" w:hAnsi="宋体" w:cs="宋体"/>
                <w:b/>
                <w:snapToGrid w:val="0"/>
                <w:kern w:val="0"/>
                <w:sz w:val="24"/>
              </w:rPr>
              <w:t>联系电话</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宋体" w:hAnsi="宋体"/>
                <w:b/>
                <w:snapToGrid w:val="0"/>
                <w:kern w:val="0"/>
                <w:sz w:val="24"/>
              </w:rPr>
            </w:pPr>
            <w:r>
              <w:rPr>
                <w:rFonts w:hint="eastAsia" w:ascii="宋体" w:hAnsi="宋体"/>
                <w:b/>
                <w:snapToGrid w:val="0"/>
                <w:kern w:val="0"/>
                <w:sz w:val="24"/>
              </w:rPr>
              <w:t>产权</w:t>
            </w:r>
          </w:p>
          <w:p>
            <w:pPr>
              <w:widowControl/>
              <w:spacing w:line="400" w:lineRule="exact"/>
              <w:jc w:val="center"/>
              <w:rPr>
                <w:rFonts w:hint="eastAsia" w:ascii="宋体" w:hAnsi="宋体" w:cs="宋体"/>
                <w:b/>
                <w:snapToGrid w:val="0"/>
                <w:kern w:val="0"/>
                <w:sz w:val="24"/>
              </w:rPr>
            </w:pPr>
            <w:r>
              <w:rPr>
                <w:rFonts w:hint="eastAsia" w:ascii="宋体" w:hAnsi="宋体"/>
                <w:b/>
                <w:snapToGrid w:val="0"/>
                <w:kern w:val="0"/>
                <w:sz w:val="24"/>
              </w:rPr>
              <w:t>归属</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宋体" w:hAnsi="宋体" w:cs="宋体"/>
                <w:b/>
                <w:snapToGrid w:val="0"/>
                <w:kern w:val="0"/>
                <w:sz w:val="24"/>
              </w:rPr>
            </w:pPr>
            <w:r>
              <w:rPr>
                <w:rFonts w:hint="eastAsia" w:ascii="宋体" w:hAnsi="宋体"/>
                <w:b/>
                <w:snapToGrid w:val="0"/>
                <w:kern w:val="0"/>
                <w:sz w:val="24"/>
              </w:rPr>
              <w:t>备注</w:t>
            </w: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4"/>
                <w:szCs w:val="24"/>
                <w:u w:val="none"/>
                <w:lang w:val="en-US" w:eastAsia="zh-CN" w:bidi="ar"/>
              </w:rPr>
              <w:t>艾维富虹（湖南）锌业有限公司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4"/>
                <w:szCs w:val="24"/>
                <w:u w:val="none"/>
                <w:lang w:val="en-US" w:eastAsia="zh-CN" w:bidi="ar"/>
              </w:rPr>
              <w:t>Koen Demesmaeker</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4"/>
                <w:szCs w:val="24"/>
                <w:u w:val="none"/>
                <w:lang w:val="en-US" w:eastAsia="zh-CN" w:bidi="ar"/>
              </w:rPr>
              <w:t>望城区经开区</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仿宋"/>
                <w:snapToGrid w:val="0"/>
                <w:kern w:val="0"/>
                <w:sz w:val="24"/>
                <w:lang w:eastAsia="zh-CN"/>
              </w:rPr>
            </w:pPr>
            <w:r>
              <w:rPr>
                <w:rFonts w:hint="eastAsia" w:ascii="仿宋" w:hAnsi="仿宋" w:eastAsia="仿宋" w:cs="仿宋"/>
                <w:snapToGrid w:val="0"/>
                <w:kern w:val="0"/>
                <w:sz w:val="24"/>
                <w:lang w:eastAsia="zh-CN"/>
              </w:rPr>
              <w:t>田兴松</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sz w:val="24"/>
                <w:szCs w:val="24"/>
                <w:u w:val="none"/>
                <w:lang w:val="zh-CN" w:eastAsia="zh-CN" w:bidi="zh-CN"/>
              </w:rPr>
            </w:pPr>
            <w:r>
              <w:rPr>
                <w:rFonts w:hint="eastAsia" w:ascii="仿宋" w:hAnsi="仿宋" w:eastAsia="仿宋" w:cs="仿宋"/>
                <w:i w:val="0"/>
                <w:color w:val="000000"/>
                <w:kern w:val="0"/>
                <w:sz w:val="24"/>
                <w:szCs w:val="24"/>
                <w:u w:val="none"/>
                <w:lang w:val="en-US" w:eastAsia="zh-CN" w:bidi="ar"/>
              </w:rPr>
              <w:t>13507482797</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湘江关西涂料（长沙）有限公司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许愔</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铜官化工园铜官大道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黄良荣</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18974876656</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湖南松源生物科技有限公司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李先平</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铜官化工园</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申泽文</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15116328056</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湖南华腾制药有限公司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邓泽平</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铜官化工园</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宋涛</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13617482833</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4"/>
                <w:szCs w:val="24"/>
                <w:u w:val="none"/>
                <w:lang w:val="en-US" w:eastAsia="zh-CN" w:bidi="ar"/>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4"/>
                <w:szCs w:val="24"/>
                <w:u w:val="none"/>
                <w:lang w:val="en-US" w:eastAsia="zh-CN" w:bidi="ar"/>
              </w:rPr>
              <w:t>湖南湘江涂料集团有限公司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4"/>
                <w:szCs w:val="24"/>
                <w:u w:val="none"/>
                <w:lang w:val="en-US" w:eastAsia="zh-CN" w:bidi="ar"/>
              </w:rPr>
              <w:t>许愔</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4"/>
                <w:szCs w:val="24"/>
                <w:u w:val="none"/>
                <w:lang w:val="en-US" w:eastAsia="zh-CN" w:bidi="ar"/>
              </w:rPr>
              <w:t>望城区经开区赤岗路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仿宋"/>
                <w:snapToGrid w:val="0"/>
                <w:kern w:val="0"/>
                <w:sz w:val="24"/>
                <w:lang w:eastAsia="zh-CN"/>
              </w:rPr>
            </w:pPr>
            <w:r>
              <w:rPr>
                <w:rFonts w:hint="eastAsia" w:ascii="仿宋" w:hAnsi="仿宋" w:eastAsia="仿宋" w:cs="仿宋"/>
                <w:snapToGrid w:val="0"/>
                <w:kern w:val="0"/>
                <w:sz w:val="24"/>
                <w:lang w:eastAsia="zh-CN"/>
              </w:rPr>
              <w:t>张振华</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sz w:val="24"/>
                <w:szCs w:val="24"/>
                <w:u w:val="none"/>
                <w:lang w:val="zh-CN" w:eastAsia="zh-CN" w:bidi="zh-CN"/>
              </w:rPr>
            </w:pPr>
            <w:r>
              <w:rPr>
                <w:rFonts w:hint="eastAsia" w:ascii="仿宋" w:hAnsi="仿宋" w:eastAsia="仿宋" w:cs="仿宋"/>
                <w:i w:val="0"/>
                <w:color w:val="000000"/>
                <w:kern w:val="0"/>
                <w:sz w:val="24"/>
                <w:szCs w:val="24"/>
                <w:u w:val="none"/>
                <w:lang w:val="en-US" w:eastAsia="zh-CN" w:bidi="ar"/>
              </w:rPr>
              <w:t>13873112566</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湖南新鸿胜化工有限公司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戴飞红</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铜官循环工业园</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仿宋"/>
                <w:snapToGrid w:val="0"/>
                <w:kern w:val="0"/>
                <w:sz w:val="24"/>
                <w:lang w:eastAsia="zh-CN"/>
              </w:rPr>
            </w:pPr>
            <w:r>
              <w:rPr>
                <w:rFonts w:hint="eastAsia" w:ascii="仿宋" w:hAnsi="仿宋" w:eastAsia="仿宋" w:cs="仿宋"/>
                <w:snapToGrid w:val="0"/>
                <w:kern w:val="0"/>
                <w:sz w:val="24"/>
                <w:lang w:eastAsia="zh-CN"/>
              </w:rPr>
              <w:t>戴小苗</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13808452596</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长沙益华气体有限公司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江涛</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望城区白箬铺镇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0"/>
                <w:szCs w:val="20"/>
                <w:u w:val="none"/>
                <w:lang w:val="en-US" w:eastAsia="zh-CN" w:bidi="ar"/>
              </w:rPr>
              <w:t>臧志慧</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13787101033</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长沙中望气体有限公司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刘畅</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望城区高塘岭街道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0"/>
                <w:szCs w:val="20"/>
                <w:u w:val="none"/>
                <w:lang w:val="en-US" w:eastAsia="zh-CN" w:bidi="ar"/>
              </w:rPr>
              <w:t>谭双武</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15111444171</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长沙中帆气体有限公司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周丹</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乌山镇双丰村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0"/>
                <w:szCs w:val="20"/>
                <w:u w:val="none"/>
                <w:lang w:val="en-US" w:eastAsia="zh-CN" w:bidi="ar"/>
              </w:rPr>
              <w:t>余金华</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13574835238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长沙丁字油库有限公司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颜建</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望城区书堂山街道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0"/>
                <w:szCs w:val="20"/>
                <w:u w:val="none"/>
                <w:lang w:val="en-US" w:eastAsia="zh-CN" w:bidi="ar"/>
              </w:rPr>
              <w:t>朱彪</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 xml:space="preserve">13875929218 </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湘隆仓储物流有限公司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杨晓峰</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长沙市望城区铜官街道何桥村064县道东50米</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刘立晨</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15921219277</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湖南汇虹试剂有限公司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朱立新</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铜官循环工业园</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0"/>
                <w:szCs w:val="20"/>
                <w:u w:val="none"/>
                <w:lang w:val="en-US" w:eastAsia="zh-CN" w:bidi="ar"/>
              </w:rPr>
              <w:t>朱立新</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2"/>
                <w:szCs w:val="22"/>
                <w:u w:val="none"/>
                <w:lang w:val="en-US" w:eastAsia="zh-CN" w:bidi="ar"/>
              </w:rPr>
              <w:t>13908467748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snapToGrid w:val="0"/>
                <w:kern w:val="0"/>
                <w:sz w:val="24"/>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湖南高速百通中油投资有限责任公司望城丰发加油站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张帆</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望城区金山桥街道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童慧</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15873190092</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51"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中国石油天然气股份有限公司湖南销售分公司望城大湖加油站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陈赛</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望城区金山桥街道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张操</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15211008555</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90"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中国石油天然气股份有限公司湖南长沙销售分公司望城县湘杰加油站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陈赛</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望城区桥驿镇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肖琨</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13975117844</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中国石油天然气股份有限公司湖南望城县梅花岭加油站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谭宇斌</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望城区茶亭镇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杨咏</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13574826865</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中国石油天然气股份有限公司湖南销售分公司望城区枫林路加油站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陈赛</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望城区白箬铺镇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杨建伟</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13467739660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中国石油天然气股份有限公司湖南望城县白若加油站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陈赛</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望城区白箬铺镇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杨建伟</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13467739660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中国石油天然气股份有限公司湖南销售分公司望城梅花岭戴公桥加油站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谭宇斌</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望城区茶亭镇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杨咏</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13574826865</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中国石油天然气股份有限公司湖南销售分公司黄月加油站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杨新梅</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望城区黄金园街道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刘小茜</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17373752550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中国石化销售股份有限公司湖南长沙望城丁字加油站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肖剑</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长沙市望城县丁字镇桃花村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李燕军</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13467639665</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中国石化销售股份有限公司湖南望城茶亭加油站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肖剑</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湖南省长沙市望城区茶亭梅花岭</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周金国</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15974282879</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中国石化销售股份有限公司湖南望城乌山加油站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肖剑</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湖南省长沙市望城区乌山镇双丰村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严智</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13875922588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中国石化销售股份有限公司湖南长沙望城黄金加油站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肖剑</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望城区金山桥街道金山桥社区</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吕欧翔</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13467692917</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中国石化销售股份有限公司湖南长沙望城如意加油站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肖剑</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长沙市望城区丁字镇长湘公路东侧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陈军</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13787277339</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中国石化销售股份有限公司湖南长沙普瑞银杉加油站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肖剑</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长沙市望城区月亮岛街道普瑞大道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付文华</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13507403703</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中国石化销售股份有限公司湖南长沙望雷加油加气站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朱建红</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长沙市望城经开区银星路与望城大道交叉口东南角</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黄清</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13787091909</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湖南和顺石油股份有限公司长沙市望城区乌山加油站有限公司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周建伟</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望城区乌山镇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杨佳琪</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13036731168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新化湘中石油化工销售有限责任公司靖港三角坪加油站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魏少云</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望城区靖港镇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陈淑清</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15367381123</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长沙市中溧石化能源有限公司丁字湾加油站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连龙飞</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望城区丁字街道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史国松</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15260016666</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长沙市振兴加油站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周朝晖</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望城区高塘岭街道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唐瑶</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13974909888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长沙市望城区畅盛石油制品有限公司燕子山加油加气站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杜湘龙</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开区马桥河路二段801</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汤喆</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18508488281</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湖南创驰石化有限公司长沙滨江加油站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鲍卓达</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长沙市望城区丁字湾街道湘江北路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屈海波</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13755131107</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中海油湖南销售有限公司望城区旭宏加油站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姜宏伟</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长沙市望城区铜官街道花实村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姚广</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18975199947</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湖南和顺铜官石油有限公司长沙滨水新城加油站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胡灿明</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长沙市望城区月亮岛街道银星社区潇湘北路二段8号</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申金亮</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18890151823</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中石化湖南石油高速分公司光明加油站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谢德辉</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白箬铺镇金州大道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林泳瑾</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13787036205</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中石化湖南石油高速分公司齐天庙加油站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夏光焰</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白箬铺镇金州大道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苏  科</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18273134068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望城诚信低碳能源有限公司黄金加油站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朱海燕</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乌山街道黄桥大道</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燕子</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18973183345</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湖南和顺石油股份有限公司望城同福加油站</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胡灿明</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高塘岭街道潇湘北路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戴利专</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17708446214</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长沙望城石油化工有限公司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李布尔</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望城区铜官循环经济工业园白杨路123号</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廖智</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13808413333</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湖南三环颜料有限公司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张德明</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铜官循环工业园</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阳建明</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13707483950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湖南康寿制药有限公司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谈发金</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湖南省望城经济技术开发区旺旺东路8号</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 xml:space="preserve"> 王建军</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default" w:ascii="仿宋" w:hAnsi="仿宋" w:eastAsia="仿宋" w:cs="仿宋"/>
                <w:i w:val="0"/>
                <w:color w:val="000000"/>
                <w:kern w:val="0"/>
                <w:sz w:val="22"/>
                <w:szCs w:val="22"/>
                <w:u w:val="none"/>
                <w:lang w:val="en-US" w:eastAsia="zh-CN" w:bidi="ar"/>
              </w:rPr>
              <w:t>13507428738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湖南新汇制药有限公司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何承东</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长沙望城经济开发区唯罗克路18号</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徐上柏</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default" w:ascii="仿宋" w:hAnsi="仿宋" w:eastAsia="仿宋" w:cs="仿宋"/>
                <w:i w:val="0"/>
                <w:color w:val="000000"/>
                <w:kern w:val="0"/>
                <w:sz w:val="22"/>
                <w:szCs w:val="22"/>
                <w:u w:val="none"/>
                <w:lang w:val="en-US" w:eastAsia="zh-CN" w:bidi="ar"/>
              </w:rPr>
              <w:t>13874965263</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湖南伟达科技有限公司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刘志宏</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湖南省望城经济开发区</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李朝霞</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default" w:ascii="仿宋" w:hAnsi="仿宋" w:eastAsia="仿宋" w:cs="仿宋"/>
                <w:i w:val="0"/>
                <w:color w:val="000000"/>
                <w:kern w:val="0"/>
                <w:sz w:val="22"/>
                <w:szCs w:val="22"/>
                <w:u w:val="none"/>
                <w:lang w:val="en-US" w:eastAsia="zh-CN" w:bidi="ar"/>
              </w:rPr>
              <w:t>13117316002</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湖南天龙制药有限公司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曾彦</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湖南望城经济开发区望城大道228号</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龙朴伟</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default" w:ascii="仿宋" w:hAnsi="仿宋" w:eastAsia="仿宋" w:cs="仿宋"/>
                <w:i w:val="0"/>
                <w:color w:val="000000"/>
                <w:kern w:val="0"/>
                <w:sz w:val="22"/>
                <w:szCs w:val="22"/>
                <w:u w:val="none"/>
                <w:lang w:val="en-US" w:eastAsia="zh-CN" w:bidi="ar"/>
              </w:rPr>
              <w:t>88072098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湖南省丽拓生物科技有限公司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雍学安</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长沙市望城区唯罗克路129号</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郑明平</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default" w:ascii="仿宋" w:hAnsi="仿宋" w:eastAsia="仿宋" w:cs="仿宋"/>
                <w:i w:val="0"/>
                <w:color w:val="000000"/>
                <w:kern w:val="0"/>
                <w:sz w:val="22"/>
                <w:szCs w:val="22"/>
                <w:u w:val="none"/>
                <w:lang w:val="en-US" w:eastAsia="zh-CN" w:bidi="ar"/>
              </w:rPr>
              <w:t>15874271723</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湖南华纳大药厂手性药物有限公司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蔡国贤</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望城区铜官循环经济工业基地铜官大道139号</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姚会鹏</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default" w:ascii="仿宋" w:hAnsi="仿宋" w:eastAsia="仿宋" w:cs="仿宋"/>
                <w:i w:val="0"/>
                <w:color w:val="000000"/>
                <w:kern w:val="0"/>
                <w:sz w:val="22"/>
                <w:szCs w:val="22"/>
                <w:u w:val="none"/>
                <w:lang w:val="en-US" w:eastAsia="zh-CN" w:bidi="ar"/>
              </w:rPr>
              <w:t>13575529628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湖南丹维生物科技有限公司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曾梦良</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望城区唯罗克路28号</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史高松</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default" w:ascii="仿宋" w:hAnsi="仿宋" w:eastAsia="仿宋" w:cs="仿宋"/>
                <w:i w:val="0"/>
                <w:color w:val="000000"/>
                <w:kern w:val="0"/>
                <w:sz w:val="22"/>
                <w:szCs w:val="22"/>
                <w:u w:val="none"/>
                <w:lang w:val="en-US" w:eastAsia="zh-CN" w:bidi="ar"/>
              </w:rPr>
              <w:t>18973139588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湖南九典宏阳制药有限公司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郑霞辉</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zh-CN" w:eastAsia="zh-CN" w:bidi="ar"/>
              </w:rPr>
            </w:pPr>
            <w:r>
              <w:rPr>
                <w:rFonts w:hint="eastAsia" w:ascii="仿宋" w:hAnsi="仿宋" w:eastAsia="仿宋" w:cs="仿宋"/>
                <w:i w:val="0"/>
                <w:color w:val="000000"/>
                <w:kern w:val="0"/>
                <w:sz w:val="22"/>
                <w:szCs w:val="22"/>
                <w:u w:val="none"/>
                <w:lang w:val="en-US" w:eastAsia="zh-CN" w:bidi="ar"/>
              </w:rPr>
              <w:t>铜官园区</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周卫平</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15898537027</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r>
        <w:tblPrEx>
          <w:tblLayout w:type="fixed"/>
          <w:tblCellMar>
            <w:top w:w="0" w:type="dxa"/>
            <w:left w:w="108" w:type="dxa"/>
            <w:bottom w:w="0" w:type="dxa"/>
            <w:right w:w="108" w:type="dxa"/>
          </w:tblCellMar>
        </w:tblPrEx>
        <w:trPr>
          <w:trHeight w:val="864"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
              </w:numPr>
              <w:spacing w:line="400" w:lineRule="exact"/>
              <w:ind w:left="425" w:leftChars="0" w:hanging="425" w:firstLineChars="0"/>
              <w:jc w:val="center"/>
              <w:rPr>
                <w:rFonts w:hint="eastAsia" w:ascii="仿宋" w:hAnsi="仿宋" w:eastAsia="仿宋" w:cs="仿宋"/>
                <w:snapToGrid w:val="0"/>
                <w:kern w:val="0"/>
                <w:sz w:val="24"/>
              </w:rPr>
            </w:pPr>
          </w:p>
        </w:tc>
        <w:tc>
          <w:tcPr>
            <w:tcW w:w="41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长沙市望城区兴平烟花鞭炮有限公司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朱建平</w:t>
            </w:r>
          </w:p>
        </w:tc>
        <w:tc>
          <w:tcPr>
            <w:tcW w:w="3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望城区靖港镇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谭鹊舞</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13975822237</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1"/>
                <w:szCs w:val="21"/>
                <w:u w:val="none"/>
                <w:lang w:val="en-US" w:eastAsia="zh-CN" w:bidi="ar"/>
              </w:rPr>
              <w:t>其他</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仿宋" w:hAnsi="仿宋" w:eastAsia="仿宋" w:cs="仿宋"/>
                <w:snapToGrid w:val="0"/>
                <w:kern w:val="0"/>
                <w:sz w:val="24"/>
              </w:rPr>
            </w:pPr>
          </w:p>
        </w:tc>
      </w:tr>
    </w:tbl>
    <w:p>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747"/>
        <w:textAlignment w:val="auto"/>
        <w:rPr>
          <w:rFonts w:hint="eastAsia" w:ascii="仿宋" w:hAnsi="仿宋" w:eastAsia="仿宋" w:cs="仿宋"/>
        </w:rPr>
        <w:sectPr>
          <w:headerReference r:id="rId6" w:type="first"/>
          <w:footerReference r:id="rId8" w:type="first"/>
          <w:headerReference r:id="rId5" w:type="default"/>
          <w:footerReference r:id="rId7" w:type="default"/>
          <w:pgSz w:w="16838" w:h="11906" w:orient="landscape"/>
          <w:pgMar w:top="1474" w:right="1985" w:bottom="1588" w:left="2098"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keepNext w:val="0"/>
        <w:keepLines w:val="0"/>
        <w:pageBreakBefore w:val="0"/>
        <w:widowControl/>
        <w:kinsoku/>
        <w:wordWrap/>
        <w:overflowPunct/>
        <w:topLinePunct w:val="0"/>
        <w:autoSpaceDE/>
        <w:autoSpaceDN/>
        <w:bidi w:val="0"/>
        <w:spacing w:line="600" w:lineRule="exact"/>
        <w:jc w:val="both"/>
        <w:textAlignment w:val="auto"/>
        <w:outlineLvl w:val="0"/>
        <w:rPr>
          <w:rFonts w:hint="default" w:ascii="黑体" w:hAnsi="黑体" w:eastAsia="黑体" w:cs="黑体"/>
          <w:color w:val="000000"/>
          <w:spacing w:val="-20"/>
          <w:kern w:val="0"/>
          <w:sz w:val="32"/>
          <w:szCs w:val="32"/>
          <w:lang w:val="en-US" w:eastAsia="zh-CN"/>
        </w:rPr>
      </w:pPr>
      <w:r>
        <w:rPr>
          <w:rFonts w:hint="eastAsia" w:ascii="黑体" w:hAnsi="黑体" w:eastAsia="黑体" w:cs="黑体"/>
          <w:color w:val="000000"/>
          <w:spacing w:val="-20"/>
          <w:kern w:val="0"/>
          <w:sz w:val="32"/>
          <w:szCs w:val="32"/>
          <w:lang w:eastAsia="zh-CN"/>
        </w:rPr>
        <w:t>附件</w:t>
      </w:r>
      <w:r>
        <w:rPr>
          <w:rFonts w:hint="eastAsia" w:ascii="黑体" w:hAnsi="黑体" w:eastAsia="黑体" w:cs="黑体"/>
          <w:color w:val="000000"/>
          <w:spacing w:val="-20"/>
          <w:kern w:val="0"/>
          <w:sz w:val="32"/>
          <w:szCs w:val="32"/>
          <w:lang w:val="en-US" w:eastAsia="zh-CN"/>
        </w:rPr>
        <w:t>:3</w:t>
      </w:r>
    </w:p>
    <w:p>
      <w:pPr>
        <w:keepNext w:val="0"/>
        <w:keepLines w:val="0"/>
        <w:pageBreakBefore w:val="0"/>
        <w:widowControl/>
        <w:kinsoku/>
        <w:wordWrap/>
        <w:overflowPunct/>
        <w:topLinePunct w:val="0"/>
        <w:autoSpaceDE/>
        <w:autoSpaceDN/>
        <w:bidi w:val="0"/>
        <w:spacing w:line="600" w:lineRule="exact"/>
        <w:jc w:val="both"/>
        <w:textAlignment w:val="auto"/>
        <w:outlineLvl w:val="0"/>
        <w:rPr>
          <w:rFonts w:hint="eastAsia" w:ascii="黑体" w:hAnsi="黑体" w:eastAsia="黑体" w:cs="黑体"/>
          <w:color w:val="000000"/>
          <w:spacing w:val="-20"/>
          <w:kern w:val="0"/>
          <w:sz w:val="32"/>
          <w:szCs w:val="32"/>
          <w:lang w:val="en-US" w:eastAsia="zh-CN"/>
        </w:rPr>
      </w:pPr>
    </w:p>
    <w:p>
      <w:pPr>
        <w:keepNext w:val="0"/>
        <w:keepLines w:val="0"/>
        <w:pageBreakBefore w:val="0"/>
        <w:widowControl/>
        <w:kinsoku/>
        <w:wordWrap/>
        <w:overflowPunct/>
        <w:topLinePunct w:val="0"/>
        <w:autoSpaceDE/>
        <w:autoSpaceDN/>
        <w:bidi w:val="0"/>
        <w:spacing w:line="600" w:lineRule="exact"/>
        <w:jc w:val="center"/>
        <w:textAlignment w:val="auto"/>
        <w:outlineLvl w:val="0"/>
        <w:rPr>
          <w:rFonts w:hint="eastAsia" w:ascii="方正小标宋简体" w:hAnsi="方正小标宋简体" w:eastAsia="方正小标宋简体" w:cs="方正小标宋简体"/>
          <w:color w:val="000000"/>
          <w:spacing w:val="-20"/>
          <w:kern w:val="0"/>
          <w:sz w:val="44"/>
          <w:szCs w:val="44"/>
        </w:rPr>
      </w:pPr>
      <w:r>
        <w:rPr>
          <w:rFonts w:hint="eastAsia" w:ascii="方正小标宋简体" w:hAnsi="方正小标宋简体" w:eastAsia="方正小标宋简体" w:cs="方正小标宋简体"/>
          <w:color w:val="000000"/>
          <w:spacing w:val="-20"/>
          <w:kern w:val="0"/>
          <w:sz w:val="44"/>
          <w:szCs w:val="44"/>
          <w:lang w:val="en-US" w:eastAsia="zh-CN"/>
        </w:rPr>
        <w:t>2021年工贸和非煤矿山行业监管执法计划</w:t>
      </w:r>
    </w:p>
    <w:p>
      <w:pPr>
        <w:keepNext w:val="0"/>
        <w:keepLines w:val="0"/>
        <w:pageBreakBefore w:val="0"/>
        <w:widowControl/>
        <w:kinsoku/>
        <w:wordWrap/>
        <w:overflowPunct/>
        <w:topLinePunct w:val="0"/>
        <w:autoSpaceDE/>
        <w:autoSpaceDN/>
        <w:bidi w:val="0"/>
        <w:spacing w:line="600" w:lineRule="exact"/>
        <w:jc w:val="both"/>
        <w:textAlignment w:val="auto"/>
        <w:rPr>
          <w:rFonts w:ascii="方正小标宋简体" w:eastAsia="方正小标宋简体"/>
          <w:sz w:val="44"/>
          <w:szCs w:val="44"/>
        </w:rPr>
      </w:pPr>
    </w:p>
    <w:p>
      <w:pPr>
        <w:keepNext w:val="0"/>
        <w:keepLines w:val="0"/>
        <w:pageBreakBefore w:val="0"/>
        <w:kinsoku/>
        <w:wordWrap/>
        <w:overflowPunct/>
        <w:topLinePunct w:val="0"/>
        <w:autoSpaceDE/>
        <w:autoSpaceDN/>
        <w:bidi w:val="0"/>
        <w:spacing w:line="600" w:lineRule="exact"/>
        <w:ind w:firstLine="600" w:firstLineChars="200"/>
        <w:textAlignment w:val="auto"/>
        <w:rPr>
          <w:rFonts w:ascii="黑体" w:hAnsi="黑体" w:eastAsia="黑体"/>
          <w:sz w:val="30"/>
          <w:szCs w:val="30"/>
        </w:rPr>
      </w:pPr>
      <w:r>
        <w:rPr>
          <w:rFonts w:ascii="黑体" w:hAnsi="黑体" w:eastAsia="黑体"/>
          <w:sz w:val="30"/>
          <w:szCs w:val="30"/>
        </w:rPr>
        <w:t>一、全</w:t>
      </w:r>
      <w:r>
        <w:rPr>
          <w:rFonts w:hint="default" w:ascii="黑体" w:hAnsi="黑体" w:eastAsia="黑体"/>
          <w:sz w:val="30"/>
          <w:szCs w:val="30"/>
        </w:rPr>
        <w:t>区</w:t>
      </w:r>
      <w:r>
        <w:rPr>
          <w:rFonts w:hint="eastAsia" w:ascii="黑体" w:hAnsi="黑体" w:eastAsia="黑体"/>
          <w:sz w:val="30"/>
          <w:szCs w:val="30"/>
        </w:rPr>
        <w:t>工贸</w:t>
      </w:r>
      <w:r>
        <w:rPr>
          <w:rFonts w:hint="default" w:ascii="黑体" w:hAnsi="黑体" w:eastAsia="黑体"/>
          <w:sz w:val="30"/>
          <w:szCs w:val="30"/>
        </w:rPr>
        <w:t>及非煤矿山</w:t>
      </w:r>
      <w:r>
        <w:rPr>
          <w:rFonts w:hint="eastAsia" w:ascii="黑体" w:hAnsi="黑体" w:eastAsia="黑体"/>
          <w:sz w:val="30"/>
          <w:szCs w:val="30"/>
        </w:rPr>
        <w:t>企业基本</w:t>
      </w:r>
      <w:r>
        <w:rPr>
          <w:rFonts w:ascii="黑体" w:hAnsi="黑体" w:eastAsia="黑体"/>
          <w:sz w:val="30"/>
          <w:szCs w:val="30"/>
        </w:rPr>
        <w:t>情况</w:t>
      </w:r>
    </w:p>
    <w:p>
      <w:pPr>
        <w:keepNext w:val="0"/>
        <w:keepLines w:val="0"/>
        <w:pageBreakBefore w:val="0"/>
        <w:kinsoku/>
        <w:wordWrap/>
        <w:overflowPunct/>
        <w:topLinePunct w:val="0"/>
        <w:autoSpaceDE/>
        <w:autoSpaceDN/>
        <w:bidi w:val="0"/>
        <w:spacing w:line="600" w:lineRule="exact"/>
        <w:ind w:firstLine="616" w:firstLineChars="200"/>
        <w:textAlignment w:val="auto"/>
        <w:rPr>
          <w:rFonts w:hint="default" w:ascii="仿宋_GB2312" w:hAnsi="仿宋_GB2312" w:eastAsia="仿宋_GB2312" w:cs="仿宋_GB2312"/>
          <w:spacing w:val="-6"/>
          <w:kern w:val="2"/>
          <w:sz w:val="32"/>
          <w:szCs w:val="32"/>
          <w:lang w:val="zh-CN" w:eastAsia="zh-CN" w:bidi="zh-CN"/>
        </w:rPr>
      </w:pPr>
      <w:r>
        <w:rPr>
          <w:rFonts w:hint="eastAsia" w:ascii="仿宋_GB2312" w:hAnsi="仿宋_GB2312" w:eastAsia="仿宋_GB2312" w:cs="仿宋_GB2312"/>
          <w:spacing w:val="-6"/>
          <w:kern w:val="2"/>
          <w:sz w:val="32"/>
          <w:szCs w:val="32"/>
          <w:lang w:val="zh-CN" w:eastAsia="zh-CN" w:bidi="zh-CN"/>
        </w:rPr>
        <w:t>依据《长沙市安全生产委员会成员单位安全生产工作职责规定》（长安发〔2020〕8号）</w:t>
      </w:r>
      <w:r>
        <w:rPr>
          <w:rFonts w:hint="default" w:ascii="仿宋_GB2312" w:hAnsi="仿宋_GB2312" w:eastAsia="仿宋_GB2312" w:cs="仿宋_GB2312"/>
          <w:spacing w:val="-6"/>
          <w:kern w:val="2"/>
          <w:sz w:val="32"/>
          <w:szCs w:val="32"/>
          <w:lang w:val="zh-CN" w:eastAsia="zh-CN" w:bidi="zh-CN"/>
        </w:rPr>
        <w:t>及《长沙市望城区安全生产委员会成员单位安全生产工作职责规定》（望安发〔2020〕7号），我</w:t>
      </w:r>
      <w:r>
        <w:rPr>
          <w:rFonts w:hint="eastAsia" w:ascii="仿宋_GB2312" w:hAnsi="仿宋_GB2312" w:eastAsia="仿宋_GB2312" w:cs="仿宋_GB2312"/>
          <w:spacing w:val="-6"/>
          <w:kern w:val="2"/>
          <w:sz w:val="32"/>
          <w:szCs w:val="32"/>
          <w:lang w:val="zh-CN" w:eastAsia="zh-CN" w:bidi="zh-CN"/>
        </w:rPr>
        <w:t>区应急管理局对工贸行业企业数量进行了修订</w:t>
      </w:r>
      <w:r>
        <w:rPr>
          <w:rFonts w:hint="default" w:ascii="仿宋_GB2312" w:hAnsi="仿宋_GB2312" w:eastAsia="仿宋_GB2312" w:cs="仿宋_GB2312"/>
          <w:spacing w:val="-6"/>
          <w:kern w:val="2"/>
          <w:sz w:val="32"/>
          <w:szCs w:val="32"/>
          <w:lang w:val="zh-CN" w:eastAsia="zh-CN" w:bidi="zh-CN"/>
        </w:rPr>
        <w:t>，并上报</w:t>
      </w:r>
      <w:r>
        <w:rPr>
          <w:rFonts w:hint="eastAsia" w:ascii="仿宋_GB2312" w:hAnsi="仿宋_GB2312" w:eastAsia="仿宋_GB2312" w:cs="仿宋_GB2312"/>
          <w:spacing w:val="-6"/>
          <w:kern w:val="2"/>
          <w:sz w:val="32"/>
          <w:szCs w:val="32"/>
          <w:lang w:val="zh-CN" w:eastAsia="zh-CN" w:bidi="zh-CN"/>
        </w:rPr>
        <w:t>《长沙市</w:t>
      </w:r>
      <w:r>
        <w:rPr>
          <w:rFonts w:hint="default" w:ascii="仿宋_GB2312" w:hAnsi="仿宋_GB2312" w:eastAsia="仿宋_GB2312" w:cs="仿宋_GB2312"/>
          <w:spacing w:val="-6"/>
          <w:kern w:val="2"/>
          <w:sz w:val="32"/>
          <w:szCs w:val="32"/>
          <w:lang w:val="zh-CN" w:eastAsia="zh-CN" w:bidi="zh-CN"/>
        </w:rPr>
        <w:t>望城区</w:t>
      </w:r>
      <w:r>
        <w:rPr>
          <w:rFonts w:hint="eastAsia" w:ascii="仿宋_GB2312" w:hAnsi="仿宋_GB2312" w:eastAsia="仿宋_GB2312" w:cs="仿宋_GB2312"/>
          <w:spacing w:val="-6"/>
          <w:kern w:val="2"/>
          <w:sz w:val="32"/>
          <w:szCs w:val="32"/>
          <w:lang w:val="zh-CN" w:eastAsia="zh-CN" w:bidi="zh-CN"/>
        </w:rPr>
        <w:t>工贸行业企业执法名录库》（2020年9月），全</w:t>
      </w:r>
      <w:r>
        <w:rPr>
          <w:rFonts w:hint="default" w:ascii="仿宋_GB2312" w:hAnsi="仿宋_GB2312" w:eastAsia="仿宋_GB2312" w:cs="仿宋_GB2312"/>
          <w:spacing w:val="-6"/>
          <w:kern w:val="2"/>
          <w:sz w:val="32"/>
          <w:szCs w:val="32"/>
          <w:lang w:val="zh-CN" w:eastAsia="zh-CN" w:bidi="zh-CN"/>
        </w:rPr>
        <w:t>区</w:t>
      </w:r>
      <w:r>
        <w:rPr>
          <w:rFonts w:hint="eastAsia" w:ascii="仿宋_GB2312" w:hAnsi="仿宋_GB2312" w:eastAsia="仿宋_GB2312" w:cs="仿宋_GB2312"/>
          <w:spacing w:val="-6"/>
          <w:kern w:val="2"/>
          <w:sz w:val="32"/>
          <w:szCs w:val="32"/>
          <w:lang w:val="zh-CN" w:eastAsia="zh-CN" w:bidi="zh-CN"/>
        </w:rPr>
        <w:t>工贸企业总数</w:t>
      </w:r>
      <w:r>
        <w:rPr>
          <w:rFonts w:hint="default" w:ascii="仿宋_GB2312" w:hAnsi="仿宋_GB2312" w:eastAsia="仿宋_GB2312" w:cs="仿宋_GB2312"/>
          <w:spacing w:val="-6"/>
          <w:kern w:val="2"/>
          <w:sz w:val="32"/>
          <w:szCs w:val="32"/>
          <w:lang w:val="zh-CN" w:eastAsia="zh-CN" w:bidi="zh-CN"/>
        </w:rPr>
        <w:t>281</w:t>
      </w:r>
      <w:r>
        <w:rPr>
          <w:rFonts w:hint="eastAsia" w:ascii="仿宋_GB2312" w:hAnsi="仿宋_GB2312" w:eastAsia="仿宋_GB2312" w:cs="仿宋_GB2312"/>
          <w:spacing w:val="-6"/>
          <w:kern w:val="2"/>
          <w:sz w:val="32"/>
          <w:szCs w:val="32"/>
          <w:lang w:val="zh-CN" w:eastAsia="zh-CN" w:bidi="zh-CN"/>
        </w:rPr>
        <w:t>家，规模以上企业</w:t>
      </w:r>
      <w:r>
        <w:rPr>
          <w:rFonts w:hint="default" w:ascii="仿宋_GB2312" w:hAnsi="仿宋_GB2312" w:eastAsia="仿宋_GB2312" w:cs="仿宋_GB2312"/>
          <w:spacing w:val="-6"/>
          <w:kern w:val="2"/>
          <w:sz w:val="32"/>
          <w:szCs w:val="32"/>
          <w:lang w:val="zh-CN" w:eastAsia="zh-CN" w:bidi="zh-CN"/>
        </w:rPr>
        <w:t>22</w:t>
      </w:r>
      <w:r>
        <w:rPr>
          <w:rFonts w:hint="eastAsia" w:ascii="仿宋_GB2312" w:hAnsi="仿宋_GB2312" w:eastAsia="仿宋_GB2312" w:cs="仿宋_GB2312"/>
          <w:spacing w:val="-6"/>
          <w:kern w:val="2"/>
          <w:sz w:val="32"/>
          <w:szCs w:val="32"/>
          <w:lang w:val="zh-CN" w:eastAsia="zh-CN" w:bidi="zh-CN"/>
        </w:rPr>
        <w:t>家，其中中央企业在长二级及二级以下分支机构</w:t>
      </w:r>
      <w:r>
        <w:rPr>
          <w:rFonts w:hint="default" w:ascii="仿宋_GB2312" w:hAnsi="仿宋_GB2312" w:eastAsia="仿宋_GB2312" w:cs="仿宋_GB2312"/>
          <w:spacing w:val="-6"/>
          <w:kern w:val="2"/>
          <w:sz w:val="32"/>
          <w:szCs w:val="32"/>
          <w:lang w:val="zh-CN" w:eastAsia="zh-CN" w:bidi="zh-CN"/>
        </w:rPr>
        <w:t>6</w:t>
      </w:r>
      <w:r>
        <w:rPr>
          <w:rFonts w:hint="eastAsia" w:ascii="仿宋_GB2312" w:hAnsi="仿宋_GB2312" w:eastAsia="仿宋_GB2312" w:cs="仿宋_GB2312"/>
          <w:spacing w:val="-6"/>
          <w:kern w:val="2"/>
          <w:sz w:val="32"/>
          <w:szCs w:val="32"/>
          <w:lang w:val="zh-CN" w:eastAsia="zh-CN" w:bidi="zh-CN"/>
        </w:rPr>
        <w:t>家，省属企业一级及一级以下分支机构4家，市属企业</w:t>
      </w:r>
      <w:r>
        <w:rPr>
          <w:rFonts w:hint="default" w:ascii="仿宋_GB2312" w:hAnsi="仿宋_GB2312" w:eastAsia="仿宋_GB2312" w:cs="仿宋_GB2312"/>
          <w:spacing w:val="-6"/>
          <w:kern w:val="2"/>
          <w:sz w:val="32"/>
          <w:szCs w:val="32"/>
          <w:lang w:val="zh-CN" w:eastAsia="zh-CN" w:bidi="zh-CN"/>
        </w:rPr>
        <w:t>8</w:t>
      </w:r>
      <w:r>
        <w:rPr>
          <w:rFonts w:hint="eastAsia" w:ascii="仿宋_GB2312" w:hAnsi="仿宋_GB2312" w:eastAsia="仿宋_GB2312" w:cs="仿宋_GB2312"/>
          <w:spacing w:val="-6"/>
          <w:kern w:val="2"/>
          <w:sz w:val="32"/>
          <w:szCs w:val="32"/>
          <w:lang w:val="zh-CN" w:eastAsia="zh-CN" w:bidi="zh-CN"/>
        </w:rPr>
        <w:t>家；全</w:t>
      </w:r>
      <w:r>
        <w:rPr>
          <w:rFonts w:hint="default" w:ascii="仿宋_GB2312" w:hAnsi="仿宋_GB2312" w:eastAsia="仿宋_GB2312" w:cs="仿宋_GB2312"/>
          <w:spacing w:val="-6"/>
          <w:kern w:val="2"/>
          <w:sz w:val="32"/>
          <w:szCs w:val="32"/>
          <w:lang w:val="zh-CN" w:eastAsia="zh-CN" w:bidi="zh-CN"/>
        </w:rPr>
        <w:t>区</w:t>
      </w:r>
      <w:r>
        <w:rPr>
          <w:rFonts w:hint="eastAsia" w:ascii="仿宋_GB2312" w:hAnsi="仿宋_GB2312" w:eastAsia="仿宋_GB2312" w:cs="仿宋_GB2312"/>
          <w:spacing w:val="-6"/>
          <w:kern w:val="2"/>
          <w:sz w:val="32"/>
          <w:szCs w:val="32"/>
          <w:lang w:val="zh-CN" w:eastAsia="zh-CN" w:bidi="zh-CN"/>
        </w:rPr>
        <w:t>工贸行业重点单位</w:t>
      </w:r>
      <w:r>
        <w:rPr>
          <w:rFonts w:hint="default" w:ascii="仿宋_GB2312" w:hAnsi="仿宋_GB2312" w:eastAsia="仿宋_GB2312" w:cs="仿宋_GB2312"/>
          <w:spacing w:val="-6"/>
          <w:kern w:val="2"/>
          <w:sz w:val="32"/>
          <w:szCs w:val="32"/>
          <w:lang w:val="zh-CN" w:eastAsia="zh-CN" w:bidi="zh-CN"/>
        </w:rPr>
        <w:t>12</w:t>
      </w:r>
      <w:r>
        <w:rPr>
          <w:rFonts w:hint="eastAsia" w:ascii="仿宋_GB2312" w:hAnsi="仿宋_GB2312" w:eastAsia="仿宋_GB2312" w:cs="仿宋_GB2312"/>
          <w:spacing w:val="-6"/>
          <w:kern w:val="2"/>
          <w:sz w:val="32"/>
          <w:szCs w:val="32"/>
          <w:lang w:val="zh-CN" w:eastAsia="zh-CN" w:bidi="zh-CN"/>
        </w:rPr>
        <w:t>家，其中A档</w:t>
      </w:r>
      <w:r>
        <w:rPr>
          <w:rFonts w:hint="default" w:ascii="仿宋_GB2312" w:hAnsi="仿宋_GB2312" w:eastAsia="仿宋_GB2312" w:cs="仿宋_GB2312"/>
          <w:spacing w:val="-6"/>
          <w:kern w:val="2"/>
          <w:sz w:val="32"/>
          <w:szCs w:val="32"/>
          <w:lang w:val="zh-CN" w:eastAsia="zh-CN" w:bidi="zh-CN"/>
        </w:rPr>
        <w:t>0</w:t>
      </w:r>
      <w:r>
        <w:rPr>
          <w:rFonts w:hint="eastAsia" w:ascii="仿宋_GB2312" w:hAnsi="仿宋_GB2312" w:eastAsia="仿宋_GB2312" w:cs="仿宋_GB2312"/>
          <w:spacing w:val="-6"/>
          <w:kern w:val="2"/>
          <w:sz w:val="32"/>
          <w:szCs w:val="32"/>
          <w:lang w:val="zh-CN" w:eastAsia="zh-CN" w:bidi="zh-CN"/>
        </w:rPr>
        <w:t>家，B档</w:t>
      </w:r>
      <w:r>
        <w:rPr>
          <w:rFonts w:hint="default" w:ascii="仿宋_GB2312" w:hAnsi="仿宋_GB2312" w:eastAsia="仿宋_GB2312" w:cs="仿宋_GB2312"/>
          <w:spacing w:val="-6"/>
          <w:kern w:val="2"/>
          <w:sz w:val="32"/>
          <w:szCs w:val="32"/>
          <w:lang w:val="zh-CN" w:eastAsia="zh-CN" w:bidi="zh-CN"/>
        </w:rPr>
        <w:t>6</w:t>
      </w:r>
      <w:r>
        <w:rPr>
          <w:rFonts w:hint="eastAsia" w:ascii="仿宋_GB2312" w:hAnsi="仿宋_GB2312" w:eastAsia="仿宋_GB2312" w:cs="仿宋_GB2312"/>
          <w:spacing w:val="-6"/>
          <w:kern w:val="2"/>
          <w:sz w:val="32"/>
          <w:szCs w:val="32"/>
          <w:lang w:val="zh-CN" w:eastAsia="zh-CN" w:bidi="zh-CN"/>
        </w:rPr>
        <w:t>家，C档</w:t>
      </w:r>
      <w:r>
        <w:rPr>
          <w:rFonts w:hint="default" w:ascii="仿宋_GB2312" w:hAnsi="仿宋_GB2312" w:eastAsia="仿宋_GB2312" w:cs="仿宋_GB2312"/>
          <w:spacing w:val="-6"/>
          <w:kern w:val="2"/>
          <w:sz w:val="32"/>
          <w:szCs w:val="32"/>
          <w:lang w:val="zh-CN" w:eastAsia="zh-CN" w:bidi="zh-CN"/>
        </w:rPr>
        <w:t>6</w:t>
      </w:r>
      <w:r>
        <w:rPr>
          <w:rFonts w:hint="eastAsia" w:ascii="仿宋_GB2312" w:hAnsi="仿宋_GB2312" w:eastAsia="仿宋_GB2312" w:cs="仿宋_GB2312"/>
          <w:spacing w:val="-6"/>
          <w:kern w:val="2"/>
          <w:sz w:val="32"/>
          <w:szCs w:val="32"/>
          <w:lang w:val="zh-CN" w:eastAsia="zh-CN" w:bidi="zh-CN"/>
        </w:rPr>
        <w:t>家。</w:t>
      </w:r>
      <w:r>
        <w:rPr>
          <w:rFonts w:hint="default" w:ascii="仿宋_GB2312" w:hAnsi="仿宋_GB2312" w:eastAsia="仿宋_GB2312" w:cs="仿宋_GB2312"/>
          <w:spacing w:val="-6"/>
          <w:kern w:val="2"/>
          <w:sz w:val="32"/>
          <w:szCs w:val="32"/>
          <w:lang w:val="zh-CN" w:eastAsia="zh-CN" w:bidi="zh-CN"/>
        </w:rPr>
        <w:t>全区非煤矿山企业1家，属于小型露天采石场。</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二、主要执法依据</w:t>
      </w:r>
    </w:p>
    <w:p>
      <w:pPr>
        <w:keepNext w:val="0"/>
        <w:keepLines w:val="0"/>
        <w:pageBreakBefore w:val="0"/>
        <w:kinsoku/>
        <w:wordWrap/>
        <w:overflowPunct/>
        <w:topLinePunct w:val="0"/>
        <w:autoSpaceDE/>
        <w:autoSpaceDN/>
        <w:bidi w:val="0"/>
        <w:spacing w:line="600" w:lineRule="exact"/>
        <w:ind w:firstLine="616" w:firstLineChars="200"/>
        <w:textAlignment w:val="auto"/>
        <w:rPr>
          <w:rFonts w:hint="eastAsia" w:ascii="仿宋_GB2312" w:hAnsi="仿宋_GB2312" w:eastAsia="仿宋_GB2312" w:cs="仿宋_GB2312"/>
          <w:spacing w:val="-6"/>
          <w:kern w:val="2"/>
          <w:sz w:val="32"/>
          <w:szCs w:val="32"/>
          <w:lang w:val="zh-CN" w:eastAsia="zh-CN" w:bidi="zh-CN"/>
        </w:rPr>
      </w:pPr>
      <w:r>
        <w:rPr>
          <w:rFonts w:hint="eastAsia" w:ascii="仿宋_GB2312" w:hAnsi="仿宋_GB2312" w:eastAsia="仿宋_GB2312" w:cs="仿宋_GB2312"/>
          <w:spacing w:val="-6"/>
          <w:kern w:val="2"/>
          <w:sz w:val="32"/>
          <w:szCs w:val="32"/>
          <w:lang w:val="zh-CN" w:eastAsia="zh-CN" w:bidi="zh-CN"/>
        </w:rPr>
        <w:t>《中华人民共和国行政处罚法》、《中华人民共和国安全生产法》、《矿山安全法》、《生产安全事故报告和调查处理条例》、《生产安全事故应急条例》、《生产经营单位安全培训规定》、《建设项目安全设施“三同时”监督管理暂行办法》、《非煤矿矿山企业安全生产许可证实施办法》、《冶金企业和有色金属企业安全生产规定》、《工贸企业有限空间作业安全管理与监督暂行规定》、《工贸行业重大生产安全事故隐患判定标准（2017版）》、《湖南省安全生产条例》以及《湖南省应急管理厅关于推进安全生产分类分级监督执法的指导意见（试行）》等。</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三、重点检查内容</w:t>
      </w:r>
    </w:p>
    <w:p>
      <w:pPr>
        <w:keepNext w:val="0"/>
        <w:keepLines w:val="0"/>
        <w:pageBreakBefore w:val="0"/>
        <w:kinsoku/>
        <w:wordWrap/>
        <w:overflowPunct/>
        <w:topLinePunct w:val="0"/>
        <w:autoSpaceDE/>
        <w:autoSpaceDN/>
        <w:bidi w:val="0"/>
        <w:spacing w:line="600" w:lineRule="exact"/>
        <w:ind w:firstLine="643" w:firstLineChars="200"/>
        <w:textAlignment w:val="auto"/>
        <w:rPr>
          <w:rFonts w:ascii="仿宋_GB2312" w:eastAsia="仿宋_GB2312"/>
          <w:sz w:val="32"/>
          <w:szCs w:val="32"/>
        </w:rPr>
      </w:pPr>
      <w:r>
        <w:rPr>
          <w:rFonts w:hint="eastAsia" w:ascii="楷体_GB2312" w:hAnsi="楷体_GB2312" w:eastAsia="楷体_GB2312" w:cs="楷体_GB2312"/>
          <w:b/>
          <w:bCs/>
          <w:sz w:val="32"/>
          <w:szCs w:val="32"/>
        </w:rPr>
        <w:t>（一）安全生产责任制和安全管理制度落实情况的监督检查。</w:t>
      </w:r>
      <w:r>
        <w:rPr>
          <w:rFonts w:hint="eastAsia" w:ascii="仿宋_GB2312" w:hAnsi="仿宋_GB2312" w:eastAsia="仿宋_GB2312" w:cs="仿宋_GB2312"/>
          <w:spacing w:val="-6"/>
          <w:kern w:val="2"/>
          <w:sz w:val="32"/>
          <w:szCs w:val="32"/>
          <w:lang w:val="zh-CN" w:eastAsia="zh-CN" w:bidi="zh-CN"/>
        </w:rPr>
        <w:t>是否建立健全并落实安全生产责任制，建立考核标准及奖惩措施；是否制定并落实安全检查制度、安全教育培训制度、事故隐患排查治理制度、安全生产奖惩制度等安全管理制度；是否制定并落实作业安全规程和各工种操作规程。</w:t>
      </w:r>
    </w:p>
    <w:p>
      <w:pPr>
        <w:keepNext w:val="0"/>
        <w:keepLines w:val="0"/>
        <w:pageBreakBefore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pacing w:val="-6"/>
          <w:kern w:val="2"/>
          <w:sz w:val="32"/>
          <w:szCs w:val="32"/>
          <w:lang w:val="zh-CN" w:eastAsia="zh-CN" w:bidi="zh-CN"/>
        </w:rPr>
      </w:pPr>
      <w:r>
        <w:rPr>
          <w:rFonts w:hint="eastAsia" w:ascii="楷体_GB2312" w:hAnsi="楷体_GB2312" w:eastAsia="楷体_GB2312" w:cs="楷体_GB2312"/>
          <w:b/>
          <w:bCs/>
          <w:sz w:val="32"/>
          <w:szCs w:val="32"/>
        </w:rPr>
        <w:t>（二）安全生产源头防范落实情况的监督检查。</w:t>
      </w:r>
      <w:r>
        <w:rPr>
          <w:rFonts w:hint="eastAsia" w:ascii="仿宋_GB2312" w:hAnsi="仿宋_GB2312" w:eastAsia="仿宋_GB2312" w:cs="仿宋_GB2312"/>
          <w:spacing w:val="-6"/>
          <w:kern w:val="2"/>
          <w:sz w:val="32"/>
          <w:szCs w:val="32"/>
          <w:lang w:val="zh-CN" w:eastAsia="zh-CN" w:bidi="zh-CN"/>
        </w:rPr>
        <w:t>《建设项目安全设施“三同时”监督管理暂行办法》第七条所列有关建设项目是否严格执行建设项目安全设施“三同时”（建设项目安全设施必须与主体工程同时设计、同时施工、同时投入生产和使用）规定；有关安全设备的安装、使用、检测、维修、改造和报废是否符合国家标准或者行业标准，并进行经常性维护、保养和定期检测；是否使用列入淘汰落后技术装备目录的工艺、设备；按照有关国家标准对本单位重大危险源进行辨识、登记建档，定期检测、评估、监控。</w:t>
      </w:r>
    </w:p>
    <w:p>
      <w:pPr>
        <w:keepNext w:val="0"/>
        <w:keepLines w:val="0"/>
        <w:pageBreakBefore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pacing w:val="-6"/>
          <w:kern w:val="2"/>
          <w:sz w:val="32"/>
          <w:szCs w:val="32"/>
          <w:lang w:val="zh-CN" w:eastAsia="zh-CN" w:bidi="zh-CN"/>
        </w:rPr>
      </w:pPr>
      <w:r>
        <w:rPr>
          <w:rFonts w:hint="eastAsia" w:ascii="楷体_GB2312" w:hAnsi="楷体_GB2312" w:eastAsia="楷体_GB2312" w:cs="楷体_GB2312"/>
          <w:b/>
          <w:bCs/>
          <w:sz w:val="32"/>
          <w:szCs w:val="32"/>
        </w:rPr>
        <w:t>（三）事故隐患排查治理落实情况的监督检查。</w:t>
      </w:r>
      <w:r>
        <w:rPr>
          <w:rFonts w:hint="eastAsia" w:ascii="仿宋_GB2312" w:hAnsi="仿宋_GB2312" w:eastAsia="仿宋_GB2312" w:cs="仿宋_GB2312"/>
          <w:spacing w:val="-6"/>
          <w:kern w:val="2"/>
          <w:sz w:val="32"/>
          <w:szCs w:val="32"/>
          <w:lang w:val="zh-CN" w:eastAsia="zh-CN" w:bidi="zh-CN"/>
        </w:rPr>
        <w:t>督促企业建立健全生产安全事故隐患排查治理制度，采取技术、管理措施，及时发现并消除事故隐患；工贸企业是否按照有关重大事故隐患判定标准，排查治理本单位重大事故隐患，并在重大事故隐患治理过程中采取相应的安全防范措施。</w:t>
      </w:r>
    </w:p>
    <w:p>
      <w:pPr>
        <w:keepNext w:val="0"/>
        <w:keepLines w:val="0"/>
        <w:pageBreakBefore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pacing w:val="-6"/>
          <w:kern w:val="2"/>
          <w:sz w:val="32"/>
          <w:szCs w:val="32"/>
          <w:lang w:val="zh-CN" w:eastAsia="zh-CN" w:bidi="zh-CN"/>
        </w:rPr>
      </w:pPr>
      <w:r>
        <w:rPr>
          <w:rFonts w:hint="eastAsia" w:ascii="楷体_GB2312" w:hAnsi="楷体_GB2312" w:eastAsia="楷体_GB2312" w:cs="楷体_GB2312"/>
          <w:b/>
          <w:bCs/>
          <w:sz w:val="32"/>
          <w:szCs w:val="32"/>
        </w:rPr>
        <w:t>（四）安全生产教育培训落实情况的监督检查。</w:t>
      </w:r>
      <w:r>
        <w:rPr>
          <w:rFonts w:hint="eastAsia" w:ascii="仿宋_GB2312" w:hAnsi="仿宋_GB2312" w:eastAsia="仿宋_GB2312" w:cs="仿宋_GB2312"/>
          <w:spacing w:val="-6"/>
          <w:kern w:val="2"/>
          <w:sz w:val="32"/>
          <w:szCs w:val="32"/>
          <w:lang w:val="zh-CN" w:eastAsia="zh-CN" w:bidi="zh-CN"/>
        </w:rPr>
        <w:t>金属冶炼等企业主要负责人和安全生产管理人员应当经有关部门对其安全生产知识和管理能力考核合格；特种作业人员是否按照国家有关规定经专门的安全作业培训并取得相应资格；企业是否按要求对从业人员、派遣劳动者、实习人员等进行安全生产教育和培训。</w:t>
      </w:r>
    </w:p>
    <w:p>
      <w:pPr>
        <w:keepNext w:val="0"/>
        <w:keepLines w:val="0"/>
        <w:pageBreakBefore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pacing w:val="-6"/>
          <w:kern w:val="2"/>
          <w:sz w:val="32"/>
          <w:szCs w:val="32"/>
          <w:lang w:val="zh-CN" w:eastAsia="zh-CN" w:bidi="zh-CN"/>
        </w:rPr>
      </w:pPr>
      <w:r>
        <w:rPr>
          <w:rFonts w:hint="eastAsia" w:ascii="楷体_GB2312" w:hAnsi="楷体_GB2312" w:eastAsia="楷体_GB2312" w:cs="楷体_GB2312"/>
          <w:b/>
          <w:bCs/>
          <w:sz w:val="32"/>
          <w:szCs w:val="32"/>
        </w:rPr>
        <w:t>（五）现场作业安全管理落实情况的执法检查。</w:t>
      </w:r>
      <w:r>
        <w:rPr>
          <w:rFonts w:hint="eastAsia" w:ascii="仿宋_GB2312" w:hAnsi="仿宋_GB2312" w:eastAsia="仿宋_GB2312" w:cs="仿宋_GB2312"/>
          <w:spacing w:val="-6"/>
          <w:kern w:val="2"/>
          <w:sz w:val="32"/>
          <w:szCs w:val="32"/>
          <w:lang w:val="zh-CN" w:eastAsia="zh-CN" w:bidi="zh-CN"/>
        </w:rPr>
        <w:t>抽查企业现场，企业是否存在严禁违章指挥、强令职工冒险作业现象；是否在有较大危险因素的生产经营场所和有关设施、设备上，设置明显的安全警示标志；从事涉爆粉尘、有限空间、爆破、吊装及国家有关规定明确的危险作业时，是否安排专门人员进行现场安全管理；企业是否将外包项目的安全生产统一协调、管理；是否为从业人员提供符合国家标准或者行业标准的劳动防护用品。</w:t>
      </w:r>
    </w:p>
    <w:p>
      <w:pPr>
        <w:keepNext w:val="0"/>
        <w:keepLines w:val="0"/>
        <w:pageBreakBefore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pacing w:val="-6"/>
          <w:kern w:val="2"/>
          <w:sz w:val="32"/>
          <w:szCs w:val="32"/>
          <w:lang w:val="zh-CN" w:eastAsia="zh-CN" w:bidi="zh-CN"/>
        </w:rPr>
      </w:pPr>
      <w:r>
        <w:rPr>
          <w:rFonts w:hint="eastAsia" w:ascii="楷体_GB2312" w:hAnsi="楷体_GB2312" w:eastAsia="楷体_GB2312" w:cs="楷体_GB2312"/>
          <w:b/>
          <w:bCs/>
          <w:sz w:val="32"/>
          <w:szCs w:val="32"/>
        </w:rPr>
        <w:t>（六）安全生产应急管理落实情况的监督检查。</w:t>
      </w:r>
      <w:r>
        <w:rPr>
          <w:rFonts w:hint="eastAsia" w:ascii="仿宋_GB2312" w:hAnsi="仿宋_GB2312" w:eastAsia="仿宋_GB2312" w:cs="仿宋_GB2312"/>
          <w:spacing w:val="-6"/>
          <w:kern w:val="2"/>
          <w:sz w:val="32"/>
          <w:szCs w:val="32"/>
          <w:lang w:val="zh-CN" w:eastAsia="zh-CN" w:bidi="zh-CN"/>
        </w:rPr>
        <w:t>是否组织制定并实施本单位事故应急预案，是否定期组织应急预案培训演练，是否配备并定期维护应急救援物资和设备。</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pacing w:val="-6"/>
          <w:kern w:val="2"/>
          <w:sz w:val="32"/>
          <w:szCs w:val="32"/>
          <w:lang w:val="zh-CN" w:eastAsia="zh-CN" w:bidi="zh-CN"/>
        </w:rPr>
      </w:pPr>
      <w:r>
        <w:rPr>
          <w:rFonts w:hint="eastAsia" w:ascii="楷体_GB2312" w:hAnsi="楷体_GB2312" w:eastAsia="楷体_GB2312" w:cs="楷体_GB2312"/>
          <w:b/>
          <w:bCs/>
          <w:sz w:val="32"/>
          <w:szCs w:val="32"/>
        </w:rPr>
        <w:t>（七）专项整治落实情况的执法检查。</w:t>
      </w:r>
      <w:r>
        <w:rPr>
          <w:rFonts w:hint="eastAsia" w:ascii="仿宋_GB2312" w:hAnsi="仿宋_GB2312" w:eastAsia="仿宋_GB2312" w:cs="仿宋_GB2312"/>
          <w:spacing w:val="-6"/>
          <w:kern w:val="2"/>
          <w:sz w:val="32"/>
          <w:szCs w:val="32"/>
          <w:lang w:val="zh-CN" w:eastAsia="zh-CN" w:bidi="zh-CN"/>
        </w:rPr>
        <w:t>抽查企业有限空间作业、粉尘防爆和涉氨制冷等是否落实专项治理相关措施。</w:t>
      </w:r>
    </w:p>
    <w:p>
      <w:pPr>
        <w:keepNext w:val="0"/>
        <w:keepLines w:val="0"/>
        <w:pageBreakBefore w:val="0"/>
        <w:kinsoku/>
        <w:wordWrap/>
        <w:overflowPunct/>
        <w:topLinePunct w:val="0"/>
        <w:autoSpaceDE/>
        <w:autoSpaceDN/>
        <w:bidi w:val="0"/>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四、监督执法对象</w:t>
      </w:r>
    </w:p>
    <w:p>
      <w:pPr>
        <w:keepNext w:val="0"/>
        <w:keepLines w:val="0"/>
        <w:pageBreakBefore w:val="0"/>
        <w:kinsoku/>
        <w:wordWrap/>
        <w:overflowPunct/>
        <w:topLinePunct w:val="0"/>
        <w:autoSpaceDE/>
        <w:autoSpaceDN/>
        <w:bidi w:val="0"/>
        <w:spacing w:line="600" w:lineRule="exact"/>
        <w:ind w:firstLine="616" w:firstLineChars="200"/>
        <w:textAlignment w:val="auto"/>
        <w:rPr>
          <w:rFonts w:hint="eastAsia" w:ascii="仿宋_GB2312" w:hAnsi="仿宋_GB2312" w:eastAsia="仿宋_GB2312" w:cs="仿宋_GB2312"/>
          <w:spacing w:val="-6"/>
          <w:kern w:val="2"/>
          <w:sz w:val="32"/>
          <w:szCs w:val="32"/>
          <w:lang w:val="en-US" w:eastAsia="zh-CN" w:bidi="zh-CN"/>
        </w:rPr>
      </w:pPr>
      <w:r>
        <w:rPr>
          <w:rFonts w:hint="eastAsia" w:ascii="仿宋_GB2312" w:hAnsi="仿宋_GB2312" w:eastAsia="仿宋_GB2312" w:cs="仿宋_GB2312"/>
          <w:spacing w:val="-6"/>
          <w:kern w:val="2"/>
          <w:sz w:val="32"/>
          <w:szCs w:val="32"/>
          <w:lang w:val="zh-CN" w:eastAsia="zh-CN" w:bidi="zh-CN"/>
        </w:rPr>
        <w:t>（一）根据湖南省应急管理厅《关于推进安全生产分类分级监管执法的指导意见（试行》的规定，</w:t>
      </w:r>
      <w:r>
        <w:rPr>
          <w:rFonts w:hint="default" w:ascii="仿宋_GB2312" w:hAnsi="仿宋_GB2312" w:eastAsia="仿宋_GB2312" w:cs="仿宋_GB2312"/>
          <w:spacing w:val="-6"/>
          <w:kern w:val="2"/>
          <w:sz w:val="32"/>
          <w:szCs w:val="32"/>
          <w:lang w:val="zh-CN" w:eastAsia="zh-CN" w:bidi="zh-CN"/>
        </w:rPr>
        <w:t>区</w:t>
      </w:r>
      <w:r>
        <w:rPr>
          <w:rFonts w:hint="eastAsia" w:ascii="仿宋_GB2312" w:hAnsi="仿宋_GB2312" w:eastAsia="仿宋_GB2312" w:cs="仿宋_GB2312"/>
          <w:spacing w:val="-6"/>
          <w:kern w:val="2"/>
          <w:sz w:val="32"/>
          <w:szCs w:val="32"/>
          <w:lang w:val="zh-CN" w:eastAsia="zh-CN" w:bidi="zh-CN"/>
        </w:rPr>
        <w:t>应急管理部门（含执法支队）负责指导、协调和监督本地区安全生产执法工作。同时，综合考虑生产经营单位的数量、分布、近三年监督检查情况及三年发生亡人事故等情况，</w:t>
      </w:r>
      <w:r>
        <w:rPr>
          <w:rFonts w:hint="eastAsia" w:ascii="仿宋_GB2312" w:hAnsi="仿宋_GB2312" w:eastAsia="仿宋_GB2312" w:cs="仿宋_GB2312"/>
          <w:spacing w:val="-6"/>
          <w:kern w:val="2"/>
          <w:sz w:val="32"/>
          <w:szCs w:val="32"/>
          <w:lang w:val="en-US" w:eastAsia="zh-CN" w:bidi="zh-CN"/>
        </w:rPr>
        <w:t>2021年计划检查工贸和非煤矿山企业55家，其中重点检查12家，一般检查43家，</w:t>
      </w:r>
      <w:r>
        <w:rPr>
          <w:rFonts w:hint="eastAsia" w:ascii="仿宋_GB2312" w:hAnsi="仿宋_GB2312" w:eastAsia="仿宋_GB2312" w:cs="仿宋_GB2312"/>
          <w:b w:val="0"/>
          <w:bCs w:val="0"/>
          <w:spacing w:val="-6"/>
          <w:kern w:val="0"/>
          <w:sz w:val="32"/>
          <w:szCs w:val="32"/>
          <w:lang w:val="zh-CN" w:eastAsia="zh-CN" w:bidi="zh-CN"/>
        </w:rPr>
        <w:t>企业具体信息见附表。</w:t>
      </w:r>
    </w:p>
    <w:p>
      <w:pPr>
        <w:pStyle w:val="13"/>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五、执法方式和进度安排</w:t>
      </w:r>
    </w:p>
    <w:p>
      <w:pPr>
        <w:keepNext w:val="0"/>
        <w:keepLines w:val="0"/>
        <w:pageBreakBefore w:val="0"/>
        <w:kinsoku/>
        <w:wordWrap/>
        <w:overflowPunct/>
        <w:topLinePunct w:val="0"/>
        <w:autoSpaceDE/>
        <w:autoSpaceDN/>
        <w:bidi w:val="0"/>
        <w:spacing w:line="600" w:lineRule="exact"/>
        <w:ind w:firstLine="616" w:firstLineChars="200"/>
        <w:textAlignment w:val="auto"/>
        <w:rPr>
          <w:rFonts w:hint="eastAsia" w:ascii="仿宋_GB2312" w:hAnsi="仿宋_GB2312" w:eastAsia="仿宋_GB2312" w:cs="仿宋_GB2312"/>
          <w:spacing w:val="-6"/>
          <w:kern w:val="2"/>
          <w:sz w:val="32"/>
          <w:szCs w:val="32"/>
          <w:lang w:val="zh-CN" w:eastAsia="zh-CN" w:bidi="zh-CN"/>
        </w:rPr>
      </w:pPr>
      <w:r>
        <w:rPr>
          <w:rFonts w:hint="default" w:ascii="仿宋_GB2312" w:hAnsi="仿宋_GB2312" w:eastAsia="仿宋_GB2312" w:cs="仿宋_GB2312"/>
          <w:spacing w:val="-6"/>
          <w:kern w:val="2"/>
          <w:sz w:val="32"/>
          <w:szCs w:val="32"/>
          <w:lang w:val="zh-CN" w:eastAsia="zh-CN" w:bidi="zh-CN"/>
        </w:rPr>
        <w:t>采取计划执法、专项检查、随机执法等方式开展执法，对全区</w:t>
      </w:r>
      <w:r>
        <w:rPr>
          <w:rFonts w:hint="eastAsia" w:ascii="仿宋_GB2312" w:hAnsi="仿宋_GB2312" w:eastAsia="仿宋_GB2312" w:cs="仿宋_GB2312"/>
          <w:spacing w:val="-6"/>
          <w:kern w:val="2"/>
          <w:sz w:val="32"/>
          <w:szCs w:val="32"/>
          <w:lang w:val="zh-CN" w:eastAsia="zh-CN" w:bidi="zh-CN"/>
        </w:rPr>
        <w:t>监督检查执法对象根据执法工作日及其他工作部署合理安排、平稳推进，检查结合省市工作要求有序开展。</w:t>
      </w:r>
    </w:p>
    <w:p>
      <w:pPr>
        <w:pStyle w:val="19"/>
        <w:keepNext w:val="0"/>
        <w:keepLines w:val="0"/>
        <w:pageBreakBefore w:val="0"/>
        <w:widowControl w:val="0"/>
        <w:kinsoku/>
        <w:wordWrap/>
        <w:overflowPunct/>
        <w:topLinePunct w:val="0"/>
        <w:autoSpaceDE w:val="0"/>
        <w:autoSpaceDN w:val="0"/>
        <w:bidi w:val="0"/>
        <w:adjustRightInd/>
        <w:snapToGrid/>
        <w:spacing w:line="600" w:lineRule="exact"/>
        <w:ind w:left="0" w:firstLine="640" w:firstLineChars="200"/>
        <w:textAlignment w:val="auto"/>
        <w:rPr>
          <w:rFonts w:hint="eastAsia" w:ascii="仿宋_GB2312" w:hAnsi="仿宋_GB2312" w:eastAsia="仿宋_GB2312" w:cs="仿宋_GB2312"/>
        </w:rPr>
      </w:pPr>
      <w:r>
        <w:rPr>
          <w:rFonts w:hint="eastAsia"/>
        </w:rPr>
        <w:br w:type="page"/>
      </w:r>
    </w:p>
    <w:p>
      <w:pPr>
        <w:pStyle w:val="2"/>
        <w:ind w:left="0" w:leftChars="0" w:firstLine="0" w:firstLineChars="0"/>
        <w:rPr>
          <w:rFonts w:hint="default" w:eastAsia="宋体"/>
          <w:lang w:val="en-US" w:eastAsia="zh-CN"/>
        </w:rPr>
      </w:pPr>
      <w:r>
        <w:rPr>
          <w:rFonts w:hint="eastAsia" w:ascii="Times New Roman" w:hAnsi="Times New Roman" w:eastAsia="黑体" w:cs="Times New Roman"/>
          <w:color w:val="auto"/>
          <w:kern w:val="2"/>
          <w:sz w:val="32"/>
          <w:szCs w:val="32"/>
          <w:lang w:val="en-US" w:eastAsia="zh-CN" w:bidi="ar-SA"/>
        </w:rPr>
        <w:t>附件4：</w:t>
      </w:r>
    </w:p>
    <w:p>
      <w:pPr>
        <w:pStyle w:val="2"/>
        <w:ind w:left="0" w:leftChars="0" w:firstLine="0" w:firstLineChars="0"/>
        <w:jc w:val="center"/>
        <w:rPr>
          <w:rFonts w:hint="eastAsia"/>
        </w:rPr>
      </w:pPr>
      <w:r>
        <w:rPr>
          <w:rFonts w:hint="eastAsia" w:ascii="方正小标宋简体" w:hAnsi="方正小标宋简体" w:eastAsia="方正小标宋简体" w:cs="方正小标宋简体"/>
          <w:color w:val="000000"/>
          <w:spacing w:val="-20"/>
          <w:kern w:val="0"/>
          <w:sz w:val="36"/>
          <w:szCs w:val="36"/>
          <w:lang w:val="en-US" w:eastAsia="zh-CN" w:bidi="ar-SA"/>
        </w:rPr>
        <w:t>工贸和非煤矿山行业领域计划执法企业基本信息表</w:t>
      </w:r>
    </w:p>
    <w:p>
      <w:pPr>
        <w:pStyle w:val="2"/>
        <w:ind w:left="0" w:leftChars="0" w:firstLine="0" w:firstLineChars="0"/>
        <w:rPr>
          <w:rFonts w:hint="eastAsia"/>
        </w:rPr>
        <w:sectPr>
          <w:footerReference r:id="rId9" w:type="default"/>
          <w:type w:val="continuous"/>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12"/>
        <w:tblW w:w="823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9"/>
        <w:gridCol w:w="4302"/>
        <w:gridCol w:w="1341"/>
        <w:gridCol w:w="18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74" w:hRule="atLeast"/>
          <w:jc w:val="center"/>
        </w:trPr>
        <w:tc>
          <w:tcPr>
            <w:tcW w:w="71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序号</w:t>
            </w:r>
          </w:p>
        </w:tc>
        <w:tc>
          <w:tcPr>
            <w:tcW w:w="430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企业名称</w:t>
            </w:r>
          </w:p>
        </w:tc>
        <w:tc>
          <w:tcPr>
            <w:tcW w:w="134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行业</w:t>
            </w:r>
          </w:p>
        </w:tc>
        <w:tc>
          <w:tcPr>
            <w:tcW w:w="187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所属园区、街镇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长沙戴湘汽配科技有限公司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长沙圣尔复合材料有限公司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乌山街道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金驰能源材料有限公司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铜官园区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长沙市望城区振华机械厂</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湖南泰宏凯机电有限公司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湖南品特文化产业有限公司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湖南有色新材料科技有限公司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有色</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湖南好快省建筑科技有限责任公司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建材</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湖南省国银新材料有限公司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广发隆平科技园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博能传动（长沙）有限公司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广发隆平科技园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湖南熙为包装材料有限公司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靖港镇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湖南裕达电力科技有限公司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高塘岭街道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长沙宏锦精密机械制造有限公司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湖南博瑞德智能科技有限公司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长沙自控工程成套厂有限公司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湖南星文道路设施有限公司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建材</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白沙洲街道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湖南志能电力科技有限公司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乌山街道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长沙汉洲机电设备有限公司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乌山街道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长沙华腾包装有限公司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铜官园区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湖南凯新风机环保设备有限公司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长沙市中泰自动化科技有限公司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430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湖南华望科技股份有限公司</w:t>
            </w:r>
          </w:p>
        </w:tc>
        <w:tc>
          <w:tcPr>
            <w:tcW w:w="134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430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望城旺金石业有限公司</w:t>
            </w:r>
          </w:p>
        </w:tc>
        <w:tc>
          <w:tcPr>
            <w:tcW w:w="134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非煤矿山</w:t>
            </w:r>
          </w:p>
        </w:tc>
        <w:tc>
          <w:tcPr>
            <w:tcW w:w="187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黄金园街道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长沙远扬电子有限公司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丁字湾街道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湖南红星北盛冷冻食品有限公司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商贸</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丁字湾街道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长沙欧凌制冷设备有限公司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长沙联祥精锻有限公司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乌山街道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湖南海星高科动力电池有限公司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望城恒盛电力电杆有限公司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建材</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长沙中炬机械设备有限公司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桥驿镇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长沙市三杨包装机械有限公司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桥驿镇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湖南博奥玻璃制品有限公司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长沙衡开智能科技有限公司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湖南中航精工有限公司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湖南勋辉科技有限公司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430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沙比亚迪电子有限公司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长沙鼓风机厂有限责任公司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w:t>
            </w:r>
          </w:p>
        </w:tc>
        <w:tc>
          <w:tcPr>
            <w:tcW w:w="430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湖南金龙国际铜业有限公司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有色</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长沙天仁机械实业有限公司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白箬铺镇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湖南兆恒材料科技有限公司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湖南元拓建材集团股份有限公司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建材</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湖南新视电子技术有限公司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长沙博翔纺织有限责任公司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p>
        </w:tc>
        <w:tc>
          <w:tcPr>
            <w:tcW w:w="430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长沙湖航冶金设备有限公司</w:t>
            </w:r>
          </w:p>
        </w:tc>
        <w:tc>
          <w:tcPr>
            <w:tcW w:w="134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茶亭镇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w:t>
            </w:r>
          </w:p>
        </w:tc>
        <w:tc>
          <w:tcPr>
            <w:tcW w:w="430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长沙市望城区湖动铸业机械有限公司</w:t>
            </w:r>
          </w:p>
        </w:tc>
        <w:tc>
          <w:tcPr>
            <w:tcW w:w="134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茶亭镇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湖南乾鼎金属制品有限公司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黄金园街道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长沙中联消防机械有限公司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湖南联智智能科技有限公司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长沙镨信磁材有限公司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长沙岱联机械有限公司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长沙求精机械设备有限公司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大泽湖街道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长沙成进汽车配件有限公司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w:t>
            </w:r>
          </w:p>
        </w:tc>
        <w:tc>
          <w:tcPr>
            <w:tcW w:w="430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湖南望城海绵原料制品有限公司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w:t>
            </w:r>
          </w:p>
        </w:tc>
        <w:tc>
          <w:tcPr>
            <w:tcW w:w="430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湖南泰嘉新材料科技股份有限公司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w:t>
            </w:r>
          </w:p>
        </w:tc>
        <w:tc>
          <w:tcPr>
            <w:tcW w:w="43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长沙中拓创新科技有限公司</w:t>
            </w:r>
          </w:p>
        </w:tc>
        <w:tc>
          <w:tcPr>
            <w:tcW w:w="134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轻工</w:t>
            </w:r>
          </w:p>
        </w:tc>
        <w:tc>
          <w:tcPr>
            <w:tcW w:w="187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望城经开区</w:t>
            </w:r>
          </w:p>
        </w:tc>
      </w:tr>
    </w:tbl>
    <w:p>
      <w:pPr>
        <w:pStyle w:val="2"/>
        <w:ind w:left="0" w:leftChars="0" w:firstLine="0" w:firstLineChars="0"/>
        <w:rPr>
          <w:rFonts w:hint="eastAsia"/>
          <w:lang w:val="en-US" w:eastAsia="zh-CN"/>
        </w:rPr>
      </w:pPr>
    </w:p>
    <w:sectPr>
      <w:type w:val="continuous"/>
      <w:pgSz w:w="11906" w:h="16838"/>
      <w:pgMar w:top="1985" w:right="1588" w:bottom="2098" w:left="1474" w:header="851" w:footer="992" w:gutter="0"/>
      <w:pgBorders>
        <w:top w:val="none" w:sz="0" w:space="0"/>
        <w:left w:val="none" w:sz="0" w:space="0"/>
        <w:bottom w:val="none" w:sz="0" w:space="0"/>
        <w:right w:val="none" w:sz="0" w:space="0"/>
      </w:pgBorders>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- 2 -</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- 2 -</w:t>
                    </w:r>
                    <w:r>
                      <w:rPr>
                        <w:rFonts w:hint="eastAsia" w:ascii="仿宋" w:hAnsi="仿宋" w:eastAsia="仿宋" w:cs="仿宋"/>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- 13 -</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6"/>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- 13 -</w:t>
                    </w:r>
                    <w:r>
                      <w:rPr>
                        <w:rFonts w:hint="eastAsia" w:ascii="仿宋" w:hAnsi="仿宋" w:eastAsia="仿宋" w:cs="仿宋"/>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eastAsia="宋体"/>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kHQ0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JF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fkHQ0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default" w:eastAsia="宋体"/>
                        <w:lang w:val="en-US"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center"/>
      <w:rPr>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ascii="Batang" w:hAnsi="Batang" w:eastAsia="Batang" w:cs="Batang"/>
                              <w:sz w:val="28"/>
                              <w:szCs w:val="28"/>
                              <w:lang w:eastAsia="zh-CN"/>
                            </w:rPr>
                            <w:fldChar w:fldCharType="begin"/>
                          </w:r>
                          <w:r>
                            <w:rPr>
                              <w:rFonts w:hint="eastAsia" w:ascii="Batang" w:hAnsi="Batang" w:eastAsia="Batang" w:cs="Batang"/>
                              <w:sz w:val="28"/>
                              <w:szCs w:val="28"/>
                              <w:lang w:eastAsia="zh-CN"/>
                            </w:rPr>
                            <w:instrText xml:space="preserve"> PAGE  \* MERGEFORMAT </w:instrText>
                          </w:r>
                          <w:r>
                            <w:rPr>
                              <w:rFonts w:hint="eastAsia" w:ascii="Batang" w:hAnsi="Batang" w:eastAsia="Batang" w:cs="Batang"/>
                              <w:sz w:val="28"/>
                              <w:szCs w:val="28"/>
                              <w:lang w:eastAsia="zh-CN"/>
                            </w:rPr>
                            <w:fldChar w:fldCharType="separate"/>
                          </w:r>
                          <w:r>
                            <w:rPr>
                              <w:rFonts w:hint="eastAsia" w:ascii="Batang" w:hAnsi="Batang" w:eastAsia="Batang" w:cs="Batang"/>
                              <w:sz w:val="28"/>
                              <w:szCs w:val="28"/>
                              <w:lang w:eastAsia="zh-CN"/>
                            </w:rPr>
                            <w:t>1</w:t>
                          </w:r>
                          <w:r>
                            <w:rPr>
                              <w:rFonts w:hint="eastAsia" w:ascii="Batang" w:hAnsi="Batang" w:eastAsia="Batang" w:cs="Batang"/>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nJ0VAgAAFQQAAA4AAABkcnMvZTJvRG9jLnhtbK1Ty47TMBTdI/EP&#10;lvc0aUc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n+nJ0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ascii="Batang" w:hAnsi="Batang" w:eastAsia="Batang" w:cs="Batang"/>
                        <w:sz w:val="28"/>
                        <w:szCs w:val="28"/>
                        <w:lang w:eastAsia="zh-CN"/>
                      </w:rPr>
                      <w:fldChar w:fldCharType="begin"/>
                    </w:r>
                    <w:r>
                      <w:rPr>
                        <w:rFonts w:hint="eastAsia" w:ascii="Batang" w:hAnsi="Batang" w:eastAsia="Batang" w:cs="Batang"/>
                        <w:sz w:val="28"/>
                        <w:szCs w:val="28"/>
                        <w:lang w:eastAsia="zh-CN"/>
                      </w:rPr>
                      <w:instrText xml:space="preserve"> PAGE  \* MERGEFORMAT </w:instrText>
                    </w:r>
                    <w:r>
                      <w:rPr>
                        <w:rFonts w:hint="eastAsia" w:ascii="Batang" w:hAnsi="Batang" w:eastAsia="Batang" w:cs="Batang"/>
                        <w:sz w:val="28"/>
                        <w:szCs w:val="28"/>
                        <w:lang w:eastAsia="zh-CN"/>
                      </w:rPr>
                      <w:fldChar w:fldCharType="separate"/>
                    </w:r>
                    <w:r>
                      <w:rPr>
                        <w:rFonts w:hint="eastAsia" w:ascii="Batang" w:hAnsi="Batang" w:eastAsia="Batang" w:cs="Batang"/>
                        <w:sz w:val="28"/>
                        <w:szCs w:val="28"/>
                        <w:lang w:eastAsia="zh-CN"/>
                      </w:rPr>
                      <w:t>1</w:t>
                    </w:r>
                    <w:r>
                      <w:rPr>
                        <w:rFonts w:hint="eastAsia" w:ascii="Batang" w:hAnsi="Batang" w:eastAsia="Batang" w:cs="Batang"/>
                        <w:sz w:val="28"/>
                        <w:szCs w:val="28"/>
                        <w:lang w:eastAsia="zh-CN"/>
                      </w:rPr>
                      <w:fldChar w:fldCharType="end"/>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Batang" w:hAnsi="Batang" w:eastAsia="Batang" w:cs="Batang"/>
                              <w:sz w:val="28"/>
                              <w:szCs w:val="28"/>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default" w:ascii="Batang" w:hAnsi="Batang" w:eastAsia="Batang" w:cs="Batang"/>
                        <w:sz w:val="28"/>
                        <w:szCs w:val="28"/>
                        <w:lang w:val="en-US" w:eastAsia="zh-CN"/>
                      </w:rPr>
                    </w:pPr>
                  </w:p>
                </w:txbxContent>
              </v:textbox>
            </v:shape>
          </w:pict>
        </mc:Fallback>
      </mc:AlternateContent>
    </w: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- 20 -</w:t>
                          </w:r>
                          <w:r>
                            <w:rPr>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- 20 -</w:t>
                    </w:r>
                    <w:r>
                      <w:rPr>
                        <w:rFonts w:hint="eastAsia" w:ascii="仿宋" w:hAnsi="仿宋" w:eastAsia="仿宋" w:cs="仿宋"/>
                        <w:sz w:val="28"/>
                        <w:szCs w:val="28"/>
                        <w:lang w:eastAsia="zh-CN"/>
                      </w:rPr>
                      <w:fldChar w:fldCharType="end"/>
                    </w:r>
                    <w:r>
                      <w:rPr>
                        <w:rFonts w:hint="eastAsia" w:ascii="仿宋" w:hAnsi="仿宋" w:eastAsia="仿宋" w:cs="仿宋"/>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FDA133"/>
    <w:multiLevelType w:val="singleLevel"/>
    <w:tmpl w:val="B1FDA133"/>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0181"/>
    <w:rsid w:val="00022C67"/>
    <w:rsid w:val="0002377F"/>
    <w:rsid w:val="00031ABF"/>
    <w:rsid w:val="00046C4F"/>
    <w:rsid w:val="00064B73"/>
    <w:rsid w:val="000665C5"/>
    <w:rsid w:val="000754FF"/>
    <w:rsid w:val="0009349E"/>
    <w:rsid w:val="00097442"/>
    <w:rsid w:val="000B19EE"/>
    <w:rsid w:val="000C48A3"/>
    <w:rsid w:val="000C7D04"/>
    <w:rsid w:val="000D7432"/>
    <w:rsid w:val="000E03B5"/>
    <w:rsid w:val="000F2515"/>
    <w:rsid w:val="00100A8D"/>
    <w:rsid w:val="0011028C"/>
    <w:rsid w:val="001539CD"/>
    <w:rsid w:val="00156ADA"/>
    <w:rsid w:val="00162F07"/>
    <w:rsid w:val="00170F81"/>
    <w:rsid w:val="00172A27"/>
    <w:rsid w:val="00182DC0"/>
    <w:rsid w:val="00196A13"/>
    <w:rsid w:val="001A2103"/>
    <w:rsid w:val="001A6A4F"/>
    <w:rsid w:val="001A7356"/>
    <w:rsid w:val="001B1E25"/>
    <w:rsid w:val="001B3B39"/>
    <w:rsid w:val="001B6FFE"/>
    <w:rsid w:val="001C3F90"/>
    <w:rsid w:val="001C41F7"/>
    <w:rsid w:val="001C6058"/>
    <w:rsid w:val="001D4863"/>
    <w:rsid w:val="001E735E"/>
    <w:rsid w:val="00204C28"/>
    <w:rsid w:val="00204C98"/>
    <w:rsid w:val="00222AE2"/>
    <w:rsid w:val="00227ECF"/>
    <w:rsid w:val="00233C66"/>
    <w:rsid w:val="002400AD"/>
    <w:rsid w:val="00244210"/>
    <w:rsid w:val="00251A13"/>
    <w:rsid w:val="00257BB3"/>
    <w:rsid w:val="00262ECE"/>
    <w:rsid w:val="00264571"/>
    <w:rsid w:val="0027559A"/>
    <w:rsid w:val="00290447"/>
    <w:rsid w:val="002A24F1"/>
    <w:rsid w:val="002A457A"/>
    <w:rsid w:val="002C2D64"/>
    <w:rsid w:val="002E1515"/>
    <w:rsid w:val="002E3886"/>
    <w:rsid w:val="002F395B"/>
    <w:rsid w:val="002F55CF"/>
    <w:rsid w:val="002F6B85"/>
    <w:rsid w:val="00310049"/>
    <w:rsid w:val="00316ED7"/>
    <w:rsid w:val="00336E47"/>
    <w:rsid w:val="00351183"/>
    <w:rsid w:val="003724F0"/>
    <w:rsid w:val="00380BC3"/>
    <w:rsid w:val="003A43E7"/>
    <w:rsid w:val="003A564F"/>
    <w:rsid w:val="003C7C98"/>
    <w:rsid w:val="003C7CB8"/>
    <w:rsid w:val="003D1950"/>
    <w:rsid w:val="003E2686"/>
    <w:rsid w:val="003E33A5"/>
    <w:rsid w:val="003E7801"/>
    <w:rsid w:val="003E7EEB"/>
    <w:rsid w:val="003F16F8"/>
    <w:rsid w:val="003F206C"/>
    <w:rsid w:val="003F23E1"/>
    <w:rsid w:val="00406BE4"/>
    <w:rsid w:val="004133DA"/>
    <w:rsid w:val="004431A3"/>
    <w:rsid w:val="00475FEC"/>
    <w:rsid w:val="00480D12"/>
    <w:rsid w:val="00486991"/>
    <w:rsid w:val="00486F48"/>
    <w:rsid w:val="004B0C14"/>
    <w:rsid w:val="004B3497"/>
    <w:rsid w:val="004B6E26"/>
    <w:rsid w:val="004D0D6E"/>
    <w:rsid w:val="004E0456"/>
    <w:rsid w:val="004E0A42"/>
    <w:rsid w:val="004E3503"/>
    <w:rsid w:val="004F0BE0"/>
    <w:rsid w:val="005032DB"/>
    <w:rsid w:val="005175F9"/>
    <w:rsid w:val="0052019E"/>
    <w:rsid w:val="00544FCB"/>
    <w:rsid w:val="00547B5B"/>
    <w:rsid w:val="00551500"/>
    <w:rsid w:val="005606D6"/>
    <w:rsid w:val="0056290D"/>
    <w:rsid w:val="00564D46"/>
    <w:rsid w:val="0057179A"/>
    <w:rsid w:val="00583544"/>
    <w:rsid w:val="0058587C"/>
    <w:rsid w:val="00591EAB"/>
    <w:rsid w:val="005953C6"/>
    <w:rsid w:val="005B5C0F"/>
    <w:rsid w:val="005C1555"/>
    <w:rsid w:val="005C2B0D"/>
    <w:rsid w:val="005D3297"/>
    <w:rsid w:val="005D622A"/>
    <w:rsid w:val="005D7A4F"/>
    <w:rsid w:val="005E6DFE"/>
    <w:rsid w:val="006075BD"/>
    <w:rsid w:val="00615EC4"/>
    <w:rsid w:val="00622E4C"/>
    <w:rsid w:val="00637165"/>
    <w:rsid w:val="006547D8"/>
    <w:rsid w:val="006676C4"/>
    <w:rsid w:val="006B53E0"/>
    <w:rsid w:val="006B6B2B"/>
    <w:rsid w:val="006C383F"/>
    <w:rsid w:val="006C5C35"/>
    <w:rsid w:val="006D3C20"/>
    <w:rsid w:val="006D3C41"/>
    <w:rsid w:val="006D4FE4"/>
    <w:rsid w:val="006F367B"/>
    <w:rsid w:val="006F3DBF"/>
    <w:rsid w:val="00723278"/>
    <w:rsid w:val="007362FB"/>
    <w:rsid w:val="0074284A"/>
    <w:rsid w:val="007524E3"/>
    <w:rsid w:val="00753252"/>
    <w:rsid w:val="00756498"/>
    <w:rsid w:val="0075704D"/>
    <w:rsid w:val="0077762F"/>
    <w:rsid w:val="007A178A"/>
    <w:rsid w:val="007A23B9"/>
    <w:rsid w:val="007A2EBC"/>
    <w:rsid w:val="007A55FE"/>
    <w:rsid w:val="007A6691"/>
    <w:rsid w:val="007C51EF"/>
    <w:rsid w:val="007E33D3"/>
    <w:rsid w:val="007E4477"/>
    <w:rsid w:val="00800501"/>
    <w:rsid w:val="00806D3E"/>
    <w:rsid w:val="008118E1"/>
    <w:rsid w:val="00812D55"/>
    <w:rsid w:val="008213C6"/>
    <w:rsid w:val="0082346A"/>
    <w:rsid w:val="00826980"/>
    <w:rsid w:val="008573B5"/>
    <w:rsid w:val="008651EE"/>
    <w:rsid w:val="008668A3"/>
    <w:rsid w:val="00866BB4"/>
    <w:rsid w:val="008675B2"/>
    <w:rsid w:val="008A272A"/>
    <w:rsid w:val="008A32F4"/>
    <w:rsid w:val="008A47A6"/>
    <w:rsid w:val="008A7CA3"/>
    <w:rsid w:val="008D7EDB"/>
    <w:rsid w:val="0091251E"/>
    <w:rsid w:val="00912978"/>
    <w:rsid w:val="00914692"/>
    <w:rsid w:val="00915312"/>
    <w:rsid w:val="00916A99"/>
    <w:rsid w:val="0094549F"/>
    <w:rsid w:val="00946B43"/>
    <w:rsid w:val="0097541F"/>
    <w:rsid w:val="00976318"/>
    <w:rsid w:val="00982081"/>
    <w:rsid w:val="009851BC"/>
    <w:rsid w:val="00993160"/>
    <w:rsid w:val="009A3146"/>
    <w:rsid w:val="009B51FF"/>
    <w:rsid w:val="009B5949"/>
    <w:rsid w:val="009B63F5"/>
    <w:rsid w:val="009C0531"/>
    <w:rsid w:val="009C14A5"/>
    <w:rsid w:val="009C365C"/>
    <w:rsid w:val="009D140E"/>
    <w:rsid w:val="009D486A"/>
    <w:rsid w:val="009E0B38"/>
    <w:rsid w:val="009F3361"/>
    <w:rsid w:val="009F6098"/>
    <w:rsid w:val="00A059EF"/>
    <w:rsid w:val="00A14DB5"/>
    <w:rsid w:val="00A265E7"/>
    <w:rsid w:val="00A2775A"/>
    <w:rsid w:val="00A54FF1"/>
    <w:rsid w:val="00A612D2"/>
    <w:rsid w:val="00A63A6F"/>
    <w:rsid w:val="00A751D9"/>
    <w:rsid w:val="00A831E1"/>
    <w:rsid w:val="00A84902"/>
    <w:rsid w:val="00A92811"/>
    <w:rsid w:val="00AA4F4C"/>
    <w:rsid w:val="00AB0D4D"/>
    <w:rsid w:val="00AC22C3"/>
    <w:rsid w:val="00AD1C62"/>
    <w:rsid w:val="00AD778E"/>
    <w:rsid w:val="00B07976"/>
    <w:rsid w:val="00B16CEB"/>
    <w:rsid w:val="00B201A7"/>
    <w:rsid w:val="00B202DC"/>
    <w:rsid w:val="00B351D2"/>
    <w:rsid w:val="00B410DD"/>
    <w:rsid w:val="00B412FE"/>
    <w:rsid w:val="00B52186"/>
    <w:rsid w:val="00B57067"/>
    <w:rsid w:val="00B82962"/>
    <w:rsid w:val="00B93D28"/>
    <w:rsid w:val="00B97648"/>
    <w:rsid w:val="00BA3CE4"/>
    <w:rsid w:val="00BB768F"/>
    <w:rsid w:val="00BD6F69"/>
    <w:rsid w:val="00BE1623"/>
    <w:rsid w:val="00BE61E2"/>
    <w:rsid w:val="00BF0EF2"/>
    <w:rsid w:val="00BF6560"/>
    <w:rsid w:val="00C20A89"/>
    <w:rsid w:val="00C27882"/>
    <w:rsid w:val="00C30AC1"/>
    <w:rsid w:val="00C61E47"/>
    <w:rsid w:val="00C62EAC"/>
    <w:rsid w:val="00C668CD"/>
    <w:rsid w:val="00C849BC"/>
    <w:rsid w:val="00C85EF6"/>
    <w:rsid w:val="00C900C0"/>
    <w:rsid w:val="00C92E62"/>
    <w:rsid w:val="00CB65A0"/>
    <w:rsid w:val="00CD2152"/>
    <w:rsid w:val="00CD4D72"/>
    <w:rsid w:val="00CE6175"/>
    <w:rsid w:val="00CF29B0"/>
    <w:rsid w:val="00D00B68"/>
    <w:rsid w:val="00D012F0"/>
    <w:rsid w:val="00D14D41"/>
    <w:rsid w:val="00D167FE"/>
    <w:rsid w:val="00D176A2"/>
    <w:rsid w:val="00D278F8"/>
    <w:rsid w:val="00D42180"/>
    <w:rsid w:val="00D47BF1"/>
    <w:rsid w:val="00D61C4A"/>
    <w:rsid w:val="00D72DAF"/>
    <w:rsid w:val="00DA5E76"/>
    <w:rsid w:val="00DB2E47"/>
    <w:rsid w:val="00DC54D8"/>
    <w:rsid w:val="00DC6FBA"/>
    <w:rsid w:val="00DD1151"/>
    <w:rsid w:val="00E06955"/>
    <w:rsid w:val="00E11FFA"/>
    <w:rsid w:val="00E241BF"/>
    <w:rsid w:val="00E4370F"/>
    <w:rsid w:val="00E44630"/>
    <w:rsid w:val="00E52CDE"/>
    <w:rsid w:val="00E70D80"/>
    <w:rsid w:val="00E84B1A"/>
    <w:rsid w:val="00E91A1A"/>
    <w:rsid w:val="00EA1D0D"/>
    <w:rsid w:val="00EA400C"/>
    <w:rsid w:val="00EA4B91"/>
    <w:rsid w:val="00EB76AC"/>
    <w:rsid w:val="00EC3B54"/>
    <w:rsid w:val="00EC4114"/>
    <w:rsid w:val="00EC62DF"/>
    <w:rsid w:val="00EC6A69"/>
    <w:rsid w:val="00ED13CF"/>
    <w:rsid w:val="00EF0787"/>
    <w:rsid w:val="00EF245A"/>
    <w:rsid w:val="00EF280C"/>
    <w:rsid w:val="00EF5790"/>
    <w:rsid w:val="00F140DF"/>
    <w:rsid w:val="00F207F2"/>
    <w:rsid w:val="00F21627"/>
    <w:rsid w:val="00F26FC1"/>
    <w:rsid w:val="00F30A85"/>
    <w:rsid w:val="00F34934"/>
    <w:rsid w:val="00F6606C"/>
    <w:rsid w:val="00F77E55"/>
    <w:rsid w:val="00F82716"/>
    <w:rsid w:val="00F84485"/>
    <w:rsid w:val="00F912D5"/>
    <w:rsid w:val="00F962D6"/>
    <w:rsid w:val="00FD4447"/>
    <w:rsid w:val="00FD5A92"/>
    <w:rsid w:val="02325530"/>
    <w:rsid w:val="02D30BAB"/>
    <w:rsid w:val="03C21A5F"/>
    <w:rsid w:val="04626038"/>
    <w:rsid w:val="04643EBF"/>
    <w:rsid w:val="047474EF"/>
    <w:rsid w:val="04A24593"/>
    <w:rsid w:val="04B40D04"/>
    <w:rsid w:val="04B54D3A"/>
    <w:rsid w:val="04C91E78"/>
    <w:rsid w:val="04CA5385"/>
    <w:rsid w:val="04EA1B96"/>
    <w:rsid w:val="05363C2A"/>
    <w:rsid w:val="05C861D4"/>
    <w:rsid w:val="06683819"/>
    <w:rsid w:val="067C46BC"/>
    <w:rsid w:val="074362CD"/>
    <w:rsid w:val="078436A3"/>
    <w:rsid w:val="07AF799F"/>
    <w:rsid w:val="081A4876"/>
    <w:rsid w:val="08561FDA"/>
    <w:rsid w:val="089275A6"/>
    <w:rsid w:val="089911D3"/>
    <w:rsid w:val="08AD0474"/>
    <w:rsid w:val="08BF4B5D"/>
    <w:rsid w:val="09067702"/>
    <w:rsid w:val="09575498"/>
    <w:rsid w:val="0A3F070F"/>
    <w:rsid w:val="0A7805DB"/>
    <w:rsid w:val="0BE14467"/>
    <w:rsid w:val="0C964291"/>
    <w:rsid w:val="0E325599"/>
    <w:rsid w:val="0E890C32"/>
    <w:rsid w:val="0EB92356"/>
    <w:rsid w:val="0EC73158"/>
    <w:rsid w:val="0ED43B44"/>
    <w:rsid w:val="0EFB2EB1"/>
    <w:rsid w:val="0F4B63F6"/>
    <w:rsid w:val="0F56293D"/>
    <w:rsid w:val="0F7A42BD"/>
    <w:rsid w:val="0FD87A0A"/>
    <w:rsid w:val="10137953"/>
    <w:rsid w:val="108C6E0C"/>
    <w:rsid w:val="10A970A3"/>
    <w:rsid w:val="10AE4AA3"/>
    <w:rsid w:val="10D94A30"/>
    <w:rsid w:val="114B0FC3"/>
    <w:rsid w:val="12653560"/>
    <w:rsid w:val="12CE6CC6"/>
    <w:rsid w:val="12F578A2"/>
    <w:rsid w:val="13A258C9"/>
    <w:rsid w:val="140F0031"/>
    <w:rsid w:val="14227119"/>
    <w:rsid w:val="15667DDA"/>
    <w:rsid w:val="16240874"/>
    <w:rsid w:val="16D33EAC"/>
    <w:rsid w:val="173E7F19"/>
    <w:rsid w:val="176D6C35"/>
    <w:rsid w:val="17C0556D"/>
    <w:rsid w:val="17C73BD4"/>
    <w:rsid w:val="18C60A0B"/>
    <w:rsid w:val="18EB70F9"/>
    <w:rsid w:val="19296E55"/>
    <w:rsid w:val="192B679A"/>
    <w:rsid w:val="19A4070C"/>
    <w:rsid w:val="19B70059"/>
    <w:rsid w:val="19E0765C"/>
    <w:rsid w:val="1A4D6B9B"/>
    <w:rsid w:val="1AC14A72"/>
    <w:rsid w:val="1AEE4DA6"/>
    <w:rsid w:val="1AEF5BBC"/>
    <w:rsid w:val="1B102FE5"/>
    <w:rsid w:val="1B1673A7"/>
    <w:rsid w:val="1B6027C5"/>
    <w:rsid w:val="1BB11C25"/>
    <w:rsid w:val="1CB14984"/>
    <w:rsid w:val="1DAA7A81"/>
    <w:rsid w:val="1DC02AFC"/>
    <w:rsid w:val="1DE1758C"/>
    <w:rsid w:val="1E2D0509"/>
    <w:rsid w:val="1E9714B4"/>
    <w:rsid w:val="1EED65E7"/>
    <w:rsid w:val="1F0E42F0"/>
    <w:rsid w:val="1F2233F2"/>
    <w:rsid w:val="1F4A18EB"/>
    <w:rsid w:val="1F676FFD"/>
    <w:rsid w:val="202A3F7C"/>
    <w:rsid w:val="208A2263"/>
    <w:rsid w:val="21054531"/>
    <w:rsid w:val="210C6A02"/>
    <w:rsid w:val="214F6947"/>
    <w:rsid w:val="2197327D"/>
    <w:rsid w:val="21BB224F"/>
    <w:rsid w:val="21E20E46"/>
    <w:rsid w:val="22AE4E78"/>
    <w:rsid w:val="23706478"/>
    <w:rsid w:val="23A834E8"/>
    <w:rsid w:val="23D119B1"/>
    <w:rsid w:val="23D54D63"/>
    <w:rsid w:val="24336357"/>
    <w:rsid w:val="2476402D"/>
    <w:rsid w:val="24E42603"/>
    <w:rsid w:val="25342A1B"/>
    <w:rsid w:val="268D2AC1"/>
    <w:rsid w:val="26A61B1D"/>
    <w:rsid w:val="270653D3"/>
    <w:rsid w:val="27A763CB"/>
    <w:rsid w:val="283E6EC7"/>
    <w:rsid w:val="289E388C"/>
    <w:rsid w:val="29312552"/>
    <w:rsid w:val="294274A0"/>
    <w:rsid w:val="2948185E"/>
    <w:rsid w:val="295F2834"/>
    <w:rsid w:val="2961782C"/>
    <w:rsid w:val="2969426B"/>
    <w:rsid w:val="29860455"/>
    <w:rsid w:val="29A058B6"/>
    <w:rsid w:val="2A2008CE"/>
    <w:rsid w:val="2ABE56C8"/>
    <w:rsid w:val="2AC45798"/>
    <w:rsid w:val="2AC47A6D"/>
    <w:rsid w:val="2AC517A3"/>
    <w:rsid w:val="2C88008F"/>
    <w:rsid w:val="2D9458DC"/>
    <w:rsid w:val="2DC54DD1"/>
    <w:rsid w:val="2DF34CB3"/>
    <w:rsid w:val="2E2146B1"/>
    <w:rsid w:val="2E602636"/>
    <w:rsid w:val="2E6D7807"/>
    <w:rsid w:val="2F017AE7"/>
    <w:rsid w:val="2F1A4493"/>
    <w:rsid w:val="2F4B124C"/>
    <w:rsid w:val="2FA6284E"/>
    <w:rsid w:val="30263474"/>
    <w:rsid w:val="30841BEC"/>
    <w:rsid w:val="32224C5B"/>
    <w:rsid w:val="327E5491"/>
    <w:rsid w:val="32F85DFB"/>
    <w:rsid w:val="32F95965"/>
    <w:rsid w:val="33A31480"/>
    <w:rsid w:val="33E44316"/>
    <w:rsid w:val="34246DC3"/>
    <w:rsid w:val="342F4702"/>
    <w:rsid w:val="345E070D"/>
    <w:rsid w:val="34941111"/>
    <w:rsid w:val="34D35893"/>
    <w:rsid w:val="34F83CFF"/>
    <w:rsid w:val="35541D15"/>
    <w:rsid w:val="357B7874"/>
    <w:rsid w:val="35E50AF5"/>
    <w:rsid w:val="368A2F78"/>
    <w:rsid w:val="368E207B"/>
    <w:rsid w:val="36F668CE"/>
    <w:rsid w:val="37023ED7"/>
    <w:rsid w:val="37A51EE5"/>
    <w:rsid w:val="385502FA"/>
    <w:rsid w:val="38A56634"/>
    <w:rsid w:val="38AB6E36"/>
    <w:rsid w:val="391573C5"/>
    <w:rsid w:val="397E7EB1"/>
    <w:rsid w:val="398E2EEE"/>
    <w:rsid w:val="39F14EE0"/>
    <w:rsid w:val="3A391009"/>
    <w:rsid w:val="3A515358"/>
    <w:rsid w:val="3A6B0268"/>
    <w:rsid w:val="3A886903"/>
    <w:rsid w:val="3AAC7EED"/>
    <w:rsid w:val="3B077EBD"/>
    <w:rsid w:val="3B533418"/>
    <w:rsid w:val="3B60597D"/>
    <w:rsid w:val="3B6817C4"/>
    <w:rsid w:val="3C0F6CCF"/>
    <w:rsid w:val="3CD102A0"/>
    <w:rsid w:val="3CFA60BE"/>
    <w:rsid w:val="3D2A6815"/>
    <w:rsid w:val="3D446A35"/>
    <w:rsid w:val="3DA56E52"/>
    <w:rsid w:val="3DC82522"/>
    <w:rsid w:val="3E13657D"/>
    <w:rsid w:val="3E315477"/>
    <w:rsid w:val="3E8900F5"/>
    <w:rsid w:val="3EBE2E28"/>
    <w:rsid w:val="3F50509A"/>
    <w:rsid w:val="3F833CC3"/>
    <w:rsid w:val="400E7A7C"/>
    <w:rsid w:val="40511707"/>
    <w:rsid w:val="409174CA"/>
    <w:rsid w:val="410672A2"/>
    <w:rsid w:val="421F04A9"/>
    <w:rsid w:val="42771B31"/>
    <w:rsid w:val="42876B4F"/>
    <w:rsid w:val="42C722C4"/>
    <w:rsid w:val="438D79CA"/>
    <w:rsid w:val="44780AE5"/>
    <w:rsid w:val="44DC3208"/>
    <w:rsid w:val="450267FF"/>
    <w:rsid w:val="45033763"/>
    <w:rsid w:val="452F5C6F"/>
    <w:rsid w:val="45E50951"/>
    <w:rsid w:val="46C7201B"/>
    <w:rsid w:val="48673860"/>
    <w:rsid w:val="486B5773"/>
    <w:rsid w:val="48B2426B"/>
    <w:rsid w:val="48E90564"/>
    <w:rsid w:val="48F72ACD"/>
    <w:rsid w:val="494531BC"/>
    <w:rsid w:val="497C67AD"/>
    <w:rsid w:val="498D64A0"/>
    <w:rsid w:val="49A76AEE"/>
    <w:rsid w:val="49C16422"/>
    <w:rsid w:val="4AC17950"/>
    <w:rsid w:val="4B060AED"/>
    <w:rsid w:val="4B1236A0"/>
    <w:rsid w:val="4B436B20"/>
    <w:rsid w:val="4B9A3D8D"/>
    <w:rsid w:val="4C292DFF"/>
    <w:rsid w:val="4C2B54A1"/>
    <w:rsid w:val="4C657D21"/>
    <w:rsid w:val="4D2E3FC0"/>
    <w:rsid w:val="4D8B65EF"/>
    <w:rsid w:val="4DF53B8B"/>
    <w:rsid w:val="4DFD702F"/>
    <w:rsid w:val="4E292018"/>
    <w:rsid w:val="4E6E7FD1"/>
    <w:rsid w:val="4E7B22B1"/>
    <w:rsid w:val="4E8D482F"/>
    <w:rsid w:val="4EB71F75"/>
    <w:rsid w:val="4F101283"/>
    <w:rsid w:val="4F1F66DA"/>
    <w:rsid w:val="4F2E3BFE"/>
    <w:rsid w:val="503A122F"/>
    <w:rsid w:val="504C5507"/>
    <w:rsid w:val="50F30013"/>
    <w:rsid w:val="516E490D"/>
    <w:rsid w:val="51E257CA"/>
    <w:rsid w:val="51EC159A"/>
    <w:rsid w:val="538632D2"/>
    <w:rsid w:val="53C564ED"/>
    <w:rsid w:val="53C71F37"/>
    <w:rsid w:val="540B73F0"/>
    <w:rsid w:val="542C1FDB"/>
    <w:rsid w:val="544A45FA"/>
    <w:rsid w:val="549A3F28"/>
    <w:rsid w:val="54B15379"/>
    <w:rsid w:val="54C6466B"/>
    <w:rsid w:val="553D49E6"/>
    <w:rsid w:val="555B35BF"/>
    <w:rsid w:val="55813CB5"/>
    <w:rsid w:val="56E96C5F"/>
    <w:rsid w:val="574C23DB"/>
    <w:rsid w:val="57CD5C8F"/>
    <w:rsid w:val="58475644"/>
    <w:rsid w:val="586D6163"/>
    <w:rsid w:val="58845F64"/>
    <w:rsid w:val="58AF0E13"/>
    <w:rsid w:val="592141EB"/>
    <w:rsid w:val="599B7781"/>
    <w:rsid w:val="59A179C5"/>
    <w:rsid w:val="59B36EA9"/>
    <w:rsid w:val="5ADE4035"/>
    <w:rsid w:val="5BAD6BE9"/>
    <w:rsid w:val="5BDC28FC"/>
    <w:rsid w:val="5C5F5913"/>
    <w:rsid w:val="5D07179D"/>
    <w:rsid w:val="5D1B77FF"/>
    <w:rsid w:val="5D1F5197"/>
    <w:rsid w:val="5D5573AA"/>
    <w:rsid w:val="5D662110"/>
    <w:rsid w:val="5DFD0508"/>
    <w:rsid w:val="5E286E91"/>
    <w:rsid w:val="5E633A64"/>
    <w:rsid w:val="5E895E7F"/>
    <w:rsid w:val="5F4D4E16"/>
    <w:rsid w:val="5F5E1320"/>
    <w:rsid w:val="5F794641"/>
    <w:rsid w:val="5F9F2127"/>
    <w:rsid w:val="5FD53ACA"/>
    <w:rsid w:val="5FF65DA0"/>
    <w:rsid w:val="604B0799"/>
    <w:rsid w:val="61960602"/>
    <w:rsid w:val="61AE5A58"/>
    <w:rsid w:val="623A0D8B"/>
    <w:rsid w:val="624C0546"/>
    <w:rsid w:val="628F72A0"/>
    <w:rsid w:val="630A044A"/>
    <w:rsid w:val="630B11DC"/>
    <w:rsid w:val="631C57E4"/>
    <w:rsid w:val="63716546"/>
    <w:rsid w:val="637175A4"/>
    <w:rsid w:val="63845FF2"/>
    <w:rsid w:val="64C13A42"/>
    <w:rsid w:val="65194262"/>
    <w:rsid w:val="651D0D78"/>
    <w:rsid w:val="653C5B58"/>
    <w:rsid w:val="65772BA3"/>
    <w:rsid w:val="65E00A19"/>
    <w:rsid w:val="66333D81"/>
    <w:rsid w:val="66FB24A9"/>
    <w:rsid w:val="672E7C2D"/>
    <w:rsid w:val="68250CDD"/>
    <w:rsid w:val="685F164B"/>
    <w:rsid w:val="68637526"/>
    <w:rsid w:val="687B75BF"/>
    <w:rsid w:val="688B1E7C"/>
    <w:rsid w:val="69081181"/>
    <w:rsid w:val="6974686E"/>
    <w:rsid w:val="69884D01"/>
    <w:rsid w:val="698F0A2D"/>
    <w:rsid w:val="6A4C07A3"/>
    <w:rsid w:val="6A712CA5"/>
    <w:rsid w:val="6A944B6A"/>
    <w:rsid w:val="6AA023A0"/>
    <w:rsid w:val="6AD83A63"/>
    <w:rsid w:val="6AF26B53"/>
    <w:rsid w:val="6B3C21DD"/>
    <w:rsid w:val="6BB54BE5"/>
    <w:rsid w:val="6C013831"/>
    <w:rsid w:val="6C5C7F3C"/>
    <w:rsid w:val="6C6643D4"/>
    <w:rsid w:val="6C9A5765"/>
    <w:rsid w:val="6CAC3A9D"/>
    <w:rsid w:val="6D260240"/>
    <w:rsid w:val="6D970804"/>
    <w:rsid w:val="6E414BCC"/>
    <w:rsid w:val="6F1E4674"/>
    <w:rsid w:val="6F592911"/>
    <w:rsid w:val="6F6179B9"/>
    <w:rsid w:val="6FF26176"/>
    <w:rsid w:val="711A436C"/>
    <w:rsid w:val="71665828"/>
    <w:rsid w:val="7189207E"/>
    <w:rsid w:val="71BF0D79"/>
    <w:rsid w:val="7279411F"/>
    <w:rsid w:val="731A1EAD"/>
    <w:rsid w:val="7429096D"/>
    <w:rsid w:val="74FF6B3C"/>
    <w:rsid w:val="75312ADC"/>
    <w:rsid w:val="76160799"/>
    <w:rsid w:val="764B5845"/>
    <w:rsid w:val="768460C0"/>
    <w:rsid w:val="76B06B4A"/>
    <w:rsid w:val="76D76BC7"/>
    <w:rsid w:val="773042B7"/>
    <w:rsid w:val="77CC0823"/>
    <w:rsid w:val="77DF4F4E"/>
    <w:rsid w:val="783620A3"/>
    <w:rsid w:val="788B62C9"/>
    <w:rsid w:val="7A2C539E"/>
    <w:rsid w:val="7A8D069C"/>
    <w:rsid w:val="7AF934C2"/>
    <w:rsid w:val="7AFE4168"/>
    <w:rsid w:val="7B3C7A34"/>
    <w:rsid w:val="7B717B44"/>
    <w:rsid w:val="7BCA1755"/>
    <w:rsid w:val="7BCB3B33"/>
    <w:rsid w:val="7C4F4EF2"/>
    <w:rsid w:val="7CB455F7"/>
    <w:rsid w:val="7D176D9F"/>
    <w:rsid w:val="7D940476"/>
    <w:rsid w:val="7E474AB1"/>
    <w:rsid w:val="7E67641B"/>
    <w:rsid w:val="7E7F09EA"/>
    <w:rsid w:val="7E965413"/>
    <w:rsid w:val="7E983CDB"/>
    <w:rsid w:val="7EF81DF8"/>
    <w:rsid w:val="7F68654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semiHidden="0" w:name="Default Paragraph Font"/>
    <w:lsdException w:qFormat="1" w:unhideWhenUsed="0" w:uiPriority="1"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qFormat="1" w:unhideWhenUsed="0" w:uiPriority="0" w:semiHidden="0"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1"/>
    <w:pPr>
      <w:ind w:left="1376"/>
      <w:outlineLvl w:val="1"/>
    </w:pPr>
    <w:rPr>
      <w:rFonts w:ascii="宋体" w:hAnsi="宋体" w:eastAsia="宋体" w:cs="宋体"/>
      <w:sz w:val="44"/>
      <w:szCs w:val="44"/>
      <w:lang w:val="zh-CN" w:eastAsia="zh-CN" w:bidi="zh-CN"/>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w:basedOn w:val="3"/>
    <w:qFormat/>
    <w:locked/>
    <w:uiPriority w:val="0"/>
    <w:pPr>
      <w:ind w:firstLine="664"/>
    </w:pPr>
  </w:style>
  <w:style w:type="paragraph" w:styleId="3">
    <w:name w:val="Body Text"/>
    <w:basedOn w:val="1"/>
    <w:qFormat/>
    <w:locked/>
    <w:uiPriority w:val="1"/>
    <w:pPr>
      <w:ind w:left="106"/>
    </w:pPr>
    <w:rPr>
      <w:rFonts w:ascii="宋体" w:hAnsi="宋体" w:eastAsia="宋体" w:cs="宋体"/>
      <w:sz w:val="32"/>
      <w:szCs w:val="32"/>
      <w:lang w:val="zh-CN" w:eastAsia="zh-CN" w:bidi="zh-CN"/>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kern w:val="0"/>
      <w:sz w:val="24"/>
      <w:szCs w:val="24"/>
    </w:rPr>
  </w:style>
  <w:style w:type="character" w:styleId="10">
    <w:name w:val="page number"/>
    <w:basedOn w:val="9"/>
    <w:qFormat/>
    <w:uiPriority w:val="99"/>
    <w:rPr>
      <w:rFonts w:cs="Times New Roman"/>
    </w:rPr>
  </w:style>
  <w:style w:type="character" w:styleId="11">
    <w:name w:val="Hyperlink"/>
    <w:basedOn w:val="9"/>
    <w:qFormat/>
    <w:uiPriority w:val="99"/>
    <w:rPr>
      <w:rFonts w:cs="Times New Roman"/>
      <w:color w:val="0000FF"/>
      <w:u w:val="none"/>
    </w:rPr>
  </w:style>
  <w:style w:type="paragraph" w:customStyle="1" w:styleId="13">
    <w:name w:val="p0"/>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4">
    <w:name w:val="style101"/>
    <w:qFormat/>
    <w:uiPriority w:val="99"/>
    <w:rPr>
      <w:rFonts w:ascii="宋体" w:hAnsi="宋体" w:eastAsia="宋体"/>
      <w:sz w:val="34"/>
    </w:rPr>
  </w:style>
  <w:style w:type="character" w:customStyle="1" w:styleId="15">
    <w:name w:val="页脚 Char"/>
    <w:basedOn w:val="9"/>
    <w:link w:val="6"/>
    <w:semiHidden/>
    <w:qFormat/>
    <w:locked/>
    <w:uiPriority w:val="99"/>
    <w:rPr>
      <w:rFonts w:ascii="Times New Roman" w:hAnsi="Times New Roman" w:cs="Times New Roman"/>
      <w:sz w:val="18"/>
      <w:szCs w:val="18"/>
    </w:rPr>
  </w:style>
  <w:style w:type="character" w:customStyle="1" w:styleId="16">
    <w:name w:val="Char Char"/>
    <w:qFormat/>
    <w:uiPriority w:val="99"/>
    <w:rPr>
      <w:kern w:val="2"/>
      <w:sz w:val="18"/>
    </w:rPr>
  </w:style>
  <w:style w:type="character" w:customStyle="1" w:styleId="17">
    <w:name w:val="页眉 Char"/>
    <w:basedOn w:val="9"/>
    <w:link w:val="7"/>
    <w:semiHidden/>
    <w:qFormat/>
    <w:locked/>
    <w:uiPriority w:val="99"/>
    <w:rPr>
      <w:rFonts w:ascii="Times New Roman" w:hAnsi="Times New Roman" w:cs="Times New Roman"/>
      <w:sz w:val="18"/>
      <w:szCs w:val="18"/>
    </w:rPr>
  </w:style>
  <w:style w:type="character" w:customStyle="1" w:styleId="18">
    <w:name w:val="Char Char1"/>
    <w:qFormat/>
    <w:uiPriority w:val="99"/>
    <w:rPr>
      <w:kern w:val="2"/>
      <w:sz w:val="18"/>
    </w:rPr>
  </w:style>
  <w:style w:type="paragraph" w:customStyle="1" w:styleId="19">
    <w:name w:val="Heading 2"/>
    <w:basedOn w:val="1"/>
    <w:qFormat/>
    <w:uiPriority w:val="1"/>
    <w:pPr>
      <w:autoSpaceDE w:val="0"/>
      <w:autoSpaceDN w:val="0"/>
      <w:spacing w:line="477" w:lineRule="exact"/>
      <w:ind w:left="747"/>
      <w:jc w:val="left"/>
      <w:outlineLvl w:val="2"/>
    </w:pPr>
    <w:rPr>
      <w:rFonts w:ascii="微软雅黑" w:hAnsi="微软雅黑" w:eastAsia="微软雅黑" w:cs="微软雅黑"/>
      <w:b/>
      <w:bCs/>
      <w:kern w:val="0"/>
      <w:sz w:val="32"/>
      <w:szCs w:val="32"/>
      <w:lang w:val="zh-CN" w:bidi="zh-CN"/>
    </w:rPr>
  </w:style>
  <w:style w:type="character" w:customStyle="1" w:styleId="20">
    <w:name w:val="font31"/>
    <w:basedOn w:val="9"/>
    <w:qFormat/>
    <w:uiPriority w:val="0"/>
    <w:rPr>
      <w:rFonts w:hint="eastAsia" w:ascii="宋体" w:hAnsi="宋体" w:eastAsia="宋体" w:cs="宋体"/>
      <w:color w:val="000000"/>
      <w:sz w:val="20"/>
      <w:szCs w:val="20"/>
      <w:u w:val="none"/>
    </w:rPr>
  </w:style>
  <w:style w:type="character" w:customStyle="1" w:styleId="21">
    <w:name w:val="font11"/>
    <w:basedOn w:val="9"/>
    <w:qFormat/>
    <w:uiPriority w:val="0"/>
    <w:rPr>
      <w:rFonts w:ascii="Calibri" w:hAnsi="Calibri" w:cs="Calibri"/>
      <w:color w:val="000000"/>
      <w:sz w:val="22"/>
      <w:szCs w:val="22"/>
      <w:u w:val="none"/>
    </w:rPr>
  </w:style>
  <w:style w:type="character" w:customStyle="1" w:styleId="22">
    <w:name w:val="font0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26</Pages>
  <Words>1541</Words>
  <Characters>8786</Characters>
  <Lines>73</Lines>
  <Paragraphs>20</Paragraphs>
  <TotalTime>36</TotalTime>
  <ScaleCrop>false</ScaleCrop>
  <LinksUpToDate>false</LinksUpToDate>
  <CharactersWithSpaces>10307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2018-03-20T05:50:00Z</dcterms:created>
  <dc:creator>井井</dc:creator>
  <cp:lastModifiedBy>小弟名叫仁哥</cp:lastModifiedBy>
  <cp:lastPrinted>2021-03-19T08:13:00Z</cp:lastPrinted>
  <dcterms:modified xsi:type="dcterms:W3CDTF">2021-04-02T08:21:28Z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3B0457F72CB2444FAFF8A36B3BFAC532</vt:lpwstr>
  </property>
</Properties>
</file>