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hint="eastAsia" w:ascii="方正小标宋简体" w:hAnsi="方正小标宋简体" w:eastAsia="方正小标宋简体"/>
          <w:color w:val="000000"/>
          <w:sz w:val="44"/>
          <w:szCs w:val="44"/>
          <w:lang w:eastAsia="zh-CN"/>
        </w:rPr>
      </w:pPr>
      <w:r>
        <w:rPr>
          <w:rFonts w:hint="default" w:ascii="方正小标宋简体" w:hAnsi="方正小标宋简体" w:eastAsia="方正小标宋简体"/>
          <w:color w:val="000000"/>
          <w:sz w:val="44"/>
          <w:szCs w:val="44"/>
          <w:lang w:eastAsia="zh-CN"/>
        </w:rPr>
        <w:t>望城</w:t>
      </w:r>
      <w:r>
        <w:rPr>
          <w:rFonts w:hint="eastAsia" w:ascii="方正小标宋简体" w:hAnsi="方正小标宋简体" w:eastAsia="方正小标宋简体"/>
          <w:color w:val="000000"/>
          <w:sz w:val="44"/>
          <w:szCs w:val="44"/>
          <w:lang w:eastAsia="zh-CN"/>
        </w:rPr>
        <w:t>区“十四五”应急管理和安全生产规划</w:t>
      </w: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pStyle w:val="20"/>
        <w:spacing w:line="640" w:lineRule="exact"/>
        <w:jc w:val="center"/>
        <w:rPr>
          <w:rFonts w:ascii="方正小标宋简体" w:hAnsi="方正小标宋简体" w:eastAsia="方正小标宋简体"/>
          <w:b w:val="0"/>
          <w:bCs w:val="0"/>
          <w:color w:val="000000"/>
          <w:sz w:val="28"/>
          <w:szCs w:val="28"/>
        </w:rPr>
        <w:sectPr>
          <w:footerReference r:id="rId4" w:type="first"/>
          <w:headerReference r:id="rId3" w:type="default"/>
          <w:pgSz w:w="11906" w:h="16838"/>
          <w:pgMar w:top="1440" w:right="1800" w:bottom="1440" w:left="1800" w:header="851" w:footer="992" w:gutter="0"/>
          <w:pgNumType w:fmt="decimal" w:start="0"/>
          <w:cols w:space="425" w:num="1"/>
          <w:titlePg/>
          <w:docGrid w:type="lines" w:linePitch="312" w:charSpace="0"/>
        </w:sectPr>
      </w:pPr>
      <w:r>
        <w:rPr>
          <w:rFonts w:ascii="方正小标宋简体" w:hAnsi="方正小标宋简体" w:eastAsia="方正小标宋简体"/>
          <w:b w:val="0"/>
          <w:bCs w:val="0"/>
          <w:color w:val="000000"/>
          <w:sz w:val="28"/>
          <w:szCs w:val="28"/>
        </w:rPr>
        <w:t>202</w:t>
      </w:r>
      <w:r>
        <w:rPr>
          <w:rFonts w:hint="eastAsia" w:ascii="方正小标宋简体" w:hAnsi="方正小标宋简体" w:eastAsia="方正小标宋简体"/>
          <w:b w:val="0"/>
          <w:bCs w:val="0"/>
          <w:color w:val="000000"/>
          <w:sz w:val="28"/>
          <w:szCs w:val="28"/>
          <w:lang w:val="en-US" w:eastAsia="zh-CN"/>
        </w:rPr>
        <w:t>1</w:t>
      </w:r>
      <w:r>
        <w:rPr>
          <w:rFonts w:ascii="方正小标宋简体" w:hAnsi="方正小标宋简体" w:eastAsia="方正小标宋简体"/>
          <w:b w:val="0"/>
          <w:bCs w:val="0"/>
          <w:color w:val="000000"/>
          <w:sz w:val="28"/>
          <w:szCs w:val="28"/>
        </w:rPr>
        <w:t xml:space="preserve">年 </w:t>
      </w:r>
      <w:r>
        <w:rPr>
          <w:rFonts w:hint="eastAsia" w:ascii="方正小标宋简体" w:hAnsi="方正小标宋简体" w:eastAsia="方正小标宋简体"/>
          <w:b w:val="0"/>
          <w:bCs w:val="0"/>
          <w:color w:val="000000"/>
          <w:sz w:val="28"/>
          <w:szCs w:val="28"/>
          <w:lang w:val="en-US" w:eastAsia="zh-CN"/>
        </w:rPr>
        <w:t>10</w:t>
      </w:r>
      <w:r>
        <w:rPr>
          <w:rFonts w:ascii="方正小标宋简体" w:hAnsi="方正小标宋简体" w:eastAsia="方正小标宋简体"/>
          <w:b w:val="0"/>
          <w:bCs w:val="0"/>
          <w:color w:val="000000"/>
          <w:sz w:val="28"/>
          <w:szCs w:val="28"/>
        </w:rPr>
        <w:t xml:space="preserve">月 </w:t>
      </w:r>
    </w:p>
    <w:p>
      <w:pPr>
        <w:pageBreakBefore w:val="0"/>
        <w:widowControl/>
        <w:kinsoku/>
        <w:wordWrap/>
        <w:overflowPunct/>
        <w:topLinePunct w:val="0"/>
        <w:autoSpaceDE/>
        <w:autoSpaceDN/>
        <w:bidi w:val="0"/>
        <w:adjustRightInd/>
        <w:spacing w:before="0" w:beforeLines="0" w:after="0" w:afterLines="0" w:line="640" w:lineRule="exact"/>
        <w:ind w:left="0" w:leftChars="0" w:right="0" w:rightChars="0" w:firstLine="0" w:firstLineChars="0"/>
        <w:jc w:val="center"/>
        <w:rPr>
          <w:rFonts w:hint="eastAsia" w:ascii="方正小标宋简体" w:hAnsi="方正小标宋简体" w:eastAsia="方正小标宋简体" w:cs="方正小标宋简体"/>
          <w:b w:val="0"/>
          <w:color w:val="000000" w:themeColor="text1"/>
          <w:kern w:val="2"/>
          <w:sz w:val="36"/>
          <w:szCs w:val="36"/>
          <w:highlight w:val="none"/>
          <w:lang w:val="zh-CN"/>
          <w14:textFill>
            <w14:solidFill>
              <w14:schemeClr w14:val="tx1"/>
            </w14:solidFill>
          </w14:textFill>
        </w:rPr>
      </w:pPr>
      <w:r>
        <w:rPr>
          <w:rFonts w:hint="eastAsia" w:ascii="方正小标宋简体" w:hAnsi="方正小标宋简体" w:eastAsia="方正小标宋简体" w:cs="方正小标宋简体"/>
          <w:b w:val="0"/>
          <w:color w:val="000000" w:themeColor="text1"/>
          <w:kern w:val="2"/>
          <w:sz w:val="36"/>
          <w:szCs w:val="36"/>
          <w:highlight w:val="none"/>
          <w:lang w:val="zh-CN"/>
          <w14:textFill>
            <w14:solidFill>
              <w14:schemeClr w14:val="tx1"/>
            </w14:solidFill>
          </w14:textFill>
        </w:rPr>
        <w:t>目 录</w:t>
      </w:r>
    </w:p>
    <w:p>
      <w:pPr>
        <w:pStyle w:val="9"/>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TOC \o "1-3" \h \z \u </w:instrText>
      </w:r>
      <w:r>
        <w:rPr>
          <w:rFonts w:hint="eastAsia" w:ascii="仿宋_GB2312" w:eastAsia="仿宋_GB2312"/>
          <w:sz w:val="28"/>
          <w:szCs w:val="28"/>
        </w:rPr>
        <w:fldChar w:fldCharType="separate"/>
      </w: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_Toc4901 </w:instrText>
      </w:r>
      <w:r>
        <w:rPr>
          <w:rFonts w:hint="eastAsia" w:ascii="仿宋_GB2312" w:eastAsia="仿宋_GB2312"/>
          <w:sz w:val="28"/>
          <w:szCs w:val="28"/>
        </w:rPr>
        <w:fldChar w:fldCharType="separate"/>
      </w:r>
      <w:r>
        <w:rPr>
          <w:rFonts w:ascii="黑体" w:hAnsi="黑体" w:eastAsia="黑体"/>
          <w:sz w:val="28"/>
          <w:szCs w:val="28"/>
        </w:rPr>
        <w:t>前  言</w:t>
      </w:r>
      <w:r>
        <w:rPr>
          <w:sz w:val="28"/>
          <w:szCs w:val="28"/>
        </w:rPr>
        <w:tab/>
      </w:r>
      <w:r>
        <w:rPr>
          <w:sz w:val="28"/>
          <w:szCs w:val="28"/>
        </w:rPr>
        <w:fldChar w:fldCharType="begin"/>
      </w:r>
      <w:r>
        <w:rPr>
          <w:sz w:val="28"/>
          <w:szCs w:val="28"/>
        </w:rPr>
        <w:instrText xml:space="preserve"> PAGEREF _Toc4901 \h </w:instrText>
      </w:r>
      <w:r>
        <w:rPr>
          <w:sz w:val="28"/>
          <w:szCs w:val="28"/>
        </w:rPr>
        <w:fldChar w:fldCharType="separate"/>
      </w:r>
      <w:r>
        <w:rPr>
          <w:sz w:val="28"/>
          <w:szCs w:val="28"/>
        </w:rPr>
        <w:t>1</w:t>
      </w:r>
      <w:r>
        <w:rPr>
          <w:sz w:val="28"/>
          <w:szCs w:val="28"/>
        </w:rPr>
        <w:fldChar w:fldCharType="end"/>
      </w:r>
      <w:r>
        <w:rPr>
          <w:rFonts w:hint="eastAsia" w:ascii="仿宋_GB2312" w:eastAsia="仿宋_GB2312"/>
          <w:sz w:val="28"/>
          <w:szCs w:val="28"/>
        </w:rPr>
        <w:fldChar w:fldCharType="end"/>
      </w:r>
    </w:p>
    <w:p>
      <w:pPr>
        <w:pStyle w:val="9"/>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_Toc1448 </w:instrText>
      </w:r>
      <w:r>
        <w:rPr>
          <w:rFonts w:hint="eastAsia" w:ascii="仿宋_GB2312" w:eastAsia="仿宋_GB2312"/>
          <w:sz w:val="28"/>
          <w:szCs w:val="28"/>
        </w:rPr>
        <w:fldChar w:fldCharType="separate"/>
      </w:r>
      <w:r>
        <w:rPr>
          <w:rFonts w:ascii="黑体" w:hAnsi="黑体" w:eastAsia="黑体"/>
          <w:bCs w:val="0"/>
          <w:sz w:val="28"/>
          <w:szCs w:val="28"/>
        </w:rPr>
        <w:t>一、</w:t>
      </w:r>
      <w:r>
        <w:rPr>
          <w:rFonts w:hint="eastAsia" w:ascii="黑体" w:hAnsi="黑体" w:eastAsia="黑体"/>
          <w:bCs w:val="0"/>
          <w:sz w:val="28"/>
          <w:szCs w:val="28"/>
          <w:lang w:eastAsia="zh-CN"/>
        </w:rPr>
        <w:t>“</w:t>
      </w:r>
      <w:r>
        <w:rPr>
          <w:rFonts w:ascii="黑体" w:hAnsi="黑体" w:eastAsia="黑体"/>
          <w:bCs w:val="0"/>
          <w:sz w:val="28"/>
          <w:szCs w:val="28"/>
        </w:rPr>
        <w:t>十三五</w:t>
      </w:r>
      <w:r>
        <w:rPr>
          <w:rFonts w:hint="eastAsia" w:ascii="黑体" w:hAnsi="黑体" w:eastAsia="黑体"/>
          <w:bCs w:val="0"/>
          <w:sz w:val="28"/>
          <w:szCs w:val="28"/>
          <w:lang w:eastAsia="zh-CN"/>
        </w:rPr>
        <w:t>”</w:t>
      </w:r>
      <w:r>
        <w:rPr>
          <w:rFonts w:ascii="黑体" w:hAnsi="黑体" w:eastAsia="黑体"/>
          <w:bCs w:val="0"/>
          <w:sz w:val="28"/>
          <w:szCs w:val="28"/>
        </w:rPr>
        <w:t>时期主要工作回顾</w:t>
      </w:r>
      <w:r>
        <w:rPr>
          <w:sz w:val="28"/>
          <w:szCs w:val="28"/>
        </w:rPr>
        <w:tab/>
      </w:r>
      <w:r>
        <w:rPr>
          <w:sz w:val="28"/>
          <w:szCs w:val="28"/>
        </w:rPr>
        <w:fldChar w:fldCharType="begin"/>
      </w:r>
      <w:r>
        <w:rPr>
          <w:sz w:val="28"/>
          <w:szCs w:val="28"/>
        </w:rPr>
        <w:instrText xml:space="preserve"> PAGEREF _Toc1448 \h </w:instrText>
      </w:r>
      <w:r>
        <w:rPr>
          <w:sz w:val="28"/>
          <w:szCs w:val="28"/>
        </w:rPr>
        <w:fldChar w:fldCharType="separate"/>
      </w:r>
      <w:r>
        <w:rPr>
          <w:sz w:val="28"/>
          <w:szCs w:val="28"/>
        </w:rPr>
        <w:t>2</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_Toc9046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（一）</w:t>
      </w:r>
      <w:r>
        <w:rPr>
          <w:rFonts w:hint="eastAsia" w:ascii="楷体_GB2312" w:eastAsia="楷体_GB2312"/>
          <w:bCs w:val="0"/>
          <w:sz w:val="28"/>
          <w:szCs w:val="28"/>
          <w:highlight w:val="none"/>
          <w:lang w:eastAsia="zh-CN"/>
        </w:rPr>
        <w:t>“</w:t>
      </w:r>
      <w:r>
        <w:rPr>
          <w:rFonts w:hint="eastAsia" w:ascii="楷体_GB2312" w:eastAsia="楷体_GB2312"/>
          <w:bCs w:val="0"/>
          <w:sz w:val="28"/>
          <w:szCs w:val="28"/>
          <w:highlight w:val="none"/>
        </w:rPr>
        <w:t>十三五</w:t>
      </w:r>
      <w:r>
        <w:rPr>
          <w:rFonts w:hint="eastAsia" w:ascii="楷体_GB2312" w:eastAsia="楷体_GB2312"/>
          <w:bCs w:val="0"/>
          <w:sz w:val="28"/>
          <w:szCs w:val="28"/>
          <w:highlight w:val="none"/>
          <w:lang w:eastAsia="zh-CN"/>
        </w:rPr>
        <w:t>”</w:t>
      </w:r>
      <w:r>
        <w:rPr>
          <w:rFonts w:hint="eastAsia" w:ascii="楷体_GB2312" w:eastAsia="楷体_GB2312"/>
          <w:bCs w:val="0"/>
          <w:sz w:val="28"/>
          <w:szCs w:val="28"/>
          <w:highlight w:val="none"/>
        </w:rPr>
        <w:t>主要任务完成情况</w:t>
      </w:r>
      <w:r>
        <w:rPr>
          <w:sz w:val="28"/>
          <w:szCs w:val="28"/>
        </w:rPr>
        <w:tab/>
      </w:r>
      <w:r>
        <w:rPr>
          <w:sz w:val="28"/>
          <w:szCs w:val="28"/>
        </w:rPr>
        <w:fldChar w:fldCharType="begin"/>
      </w:r>
      <w:r>
        <w:rPr>
          <w:sz w:val="28"/>
          <w:szCs w:val="28"/>
        </w:rPr>
        <w:instrText xml:space="preserve"> PAGEREF _Toc9046 \h </w:instrText>
      </w:r>
      <w:r>
        <w:rPr>
          <w:sz w:val="28"/>
          <w:szCs w:val="28"/>
        </w:rPr>
        <w:fldChar w:fldCharType="separate"/>
      </w:r>
      <w:r>
        <w:rPr>
          <w:sz w:val="28"/>
          <w:szCs w:val="28"/>
        </w:rPr>
        <w:t>3</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_Toc19094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（二）主要亮点工作</w:t>
      </w:r>
      <w:r>
        <w:rPr>
          <w:sz w:val="28"/>
          <w:szCs w:val="28"/>
        </w:rPr>
        <w:tab/>
      </w:r>
      <w:r>
        <w:rPr>
          <w:sz w:val="28"/>
          <w:szCs w:val="28"/>
        </w:rPr>
        <w:fldChar w:fldCharType="begin"/>
      </w:r>
      <w:r>
        <w:rPr>
          <w:sz w:val="28"/>
          <w:szCs w:val="28"/>
        </w:rPr>
        <w:instrText xml:space="preserve"> PAGEREF _Toc19094 \h </w:instrText>
      </w:r>
      <w:r>
        <w:rPr>
          <w:sz w:val="28"/>
          <w:szCs w:val="28"/>
        </w:rPr>
        <w:fldChar w:fldCharType="separate"/>
      </w:r>
      <w:r>
        <w:rPr>
          <w:sz w:val="28"/>
          <w:szCs w:val="28"/>
        </w:rPr>
        <w:t>9</w:t>
      </w:r>
      <w:r>
        <w:rPr>
          <w:sz w:val="28"/>
          <w:szCs w:val="28"/>
        </w:rPr>
        <w:fldChar w:fldCharType="end"/>
      </w:r>
      <w:r>
        <w:rPr>
          <w:rFonts w:hint="eastAsia" w:ascii="仿宋_GB2312" w:eastAsia="仿宋_GB2312"/>
          <w:sz w:val="28"/>
          <w:szCs w:val="28"/>
        </w:rPr>
        <w:fldChar w:fldCharType="end"/>
      </w:r>
    </w:p>
    <w:p>
      <w:pPr>
        <w:pStyle w:val="9"/>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_Toc29735 </w:instrText>
      </w:r>
      <w:r>
        <w:rPr>
          <w:rFonts w:hint="eastAsia" w:ascii="仿宋_GB2312" w:eastAsia="仿宋_GB2312"/>
          <w:sz w:val="28"/>
          <w:szCs w:val="28"/>
        </w:rPr>
        <w:fldChar w:fldCharType="separate"/>
      </w:r>
      <w:r>
        <w:rPr>
          <w:rFonts w:ascii="黑体" w:hAnsi="黑体" w:eastAsia="黑体"/>
          <w:bCs w:val="0"/>
          <w:sz w:val="28"/>
          <w:szCs w:val="28"/>
        </w:rPr>
        <w:t>二、面临的挑战与机遇</w:t>
      </w:r>
      <w:r>
        <w:rPr>
          <w:sz w:val="28"/>
          <w:szCs w:val="28"/>
        </w:rPr>
        <w:tab/>
      </w:r>
      <w:r>
        <w:rPr>
          <w:sz w:val="28"/>
          <w:szCs w:val="28"/>
        </w:rPr>
        <w:fldChar w:fldCharType="begin"/>
      </w:r>
      <w:r>
        <w:rPr>
          <w:sz w:val="28"/>
          <w:szCs w:val="28"/>
        </w:rPr>
        <w:instrText xml:space="preserve"> PAGEREF _Toc29735 \h </w:instrText>
      </w:r>
      <w:r>
        <w:rPr>
          <w:sz w:val="28"/>
          <w:szCs w:val="28"/>
        </w:rPr>
        <w:fldChar w:fldCharType="separate"/>
      </w:r>
      <w:r>
        <w:rPr>
          <w:sz w:val="28"/>
          <w:szCs w:val="28"/>
        </w:rPr>
        <w:t>11</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_Toc30961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（一）面临的挑战</w:t>
      </w:r>
      <w:r>
        <w:rPr>
          <w:sz w:val="28"/>
          <w:szCs w:val="28"/>
        </w:rPr>
        <w:tab/>
      </w:r>
      <w:r>
        <w:rPr>
          <w:sz w:val="28"/>
          <w:szCs w:val="28"/>
        </w:rPr>
        <w:fldChar w:fldCharType="begin"/>
      </w:r>
      <w:r>
        <w:rPr>
          <w:sz w:val="28"/>
          <w:szCs w:val="28"/>
        </w:rPr>
        <w:instrText xml:space="preserve"> PAGEREF _Toc30961 \h </w:instrText>
      </w:r>
      <w:r>
        <w:rPr>
          <w:sz w:val="28"/>
          <w:szCs w:val="28"/>
        </w:rPr>
        <w:fldChar w:fldCharType="separate"/>
      </w:r>
      <w:r>
        <w:rPr>
          <w:sz w:val="28"/>
          <w:szCs w:val="28"/>
        </w:rPr>
        <w:t>11</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_Toc1998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（二）面临的机遇</w:t>
      </w:r>
      <w:r>
        <w:rPr>
          <w:sz w:val="28"/>
          <w:szCs w:val="28"/>
        </w:rPr>
        <w:tab/>
      </w:r>
      <w:r>
        <w:rPr>
          <w:sz w:val="28"/>
          <w:szCs w:val="28"/>
        </w:rPr>
        <w:fldChar w:fldCharType="begin"/>
      </w:r>
      <w:r>
        <w:rPr>
          <w:sz w:val="28"/>
          <w:szCs w:val="28"/>
        </w:rPr>
        <w:instrText xml:space="preserve"> PAGEREF _Toc1998 \h </w:instrText>
      </w:r>
      <w:r>
        <w:rPr>
          <w:sz w:val="28"/>
          <w:szCs w:val="28"/>
        </w:rPr>
        <w:fldChar w:fldCharType="separate"/>
      </w:r>
      <w:r>
        <w:rPr>
          <w:sz w:val="28"/>
          <w:szCs w:val="28"/>
        </w:rPr>
        <w:t>13</w:t>
      </w:r>
      <w:r>
        <w:rPr>
          <w:sz w:val="28"/>
          <w:szCs w:val="28"/>
        </w:rPr>
        <w:fldChar w:fldCharType="end"/>
      </w:r>
      <w:r>
        <w:rPr>
          <w:rFonts w:hint="eastAsia" w:ascii="仿宋_GB2312" w:eastAsia="仿宋_GB2312"/>
          <w:sz w:val="28"/>
          <w:szCs w:val="28"/>
        </w:rPr>
        <w:fldChar w:fldCharType="end"/>
      </w:r>
    </w:p>
    <w:p>
      <w:pPr>
        <w:pStyle w:val="9"/>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_Toc24185 </w:instrText>
      </w:r>
      <w:r>
        <w:rPr>
          <w:rFonts w:hint="eastAsia" w:ascii="仿宋_GB2312" w:eastAsia="仿宋_GB2312"/>
          <w:sz w:val="28"/>
          <w:szCs w:val="28"/>
        </w:rPr>
        <w:fldChar w:fldCharType="separate"/>
      </w:r>
      <w:r>
        <w:rPr>
          <w:rFonts w:ascii="黑体" w:hAnsi="黑体" w:eastAsia="黑体"/>
          <w:bCs w:val="0"/>
          <w:kern w:val="0"/>
          <w:sz w:val="28"/>
          <w:szCs w:val="28"/>
        </w:rPr>
        <w:t>三、总体思路</w:t>
      </w:r>
      <w:r>
        <w:rPr>
          <w:sz w:val="28"/>
          <w:szCs w:val="28"/>
        </w:rPr>
        <w:tab/>
      </w:r>
      <w:r>
        <w:rPr>
          <w:sz w:val="28"/>
          <w:szCs w:val="28"/>
        </w:rPr>
        <w:fldChar w:fldCharType="begin"/>
      </w:r>
      <w:r>
        <w:rPr>
          <w:sz w:val="28"/>
          <w:szCs w:val="28"/>
        </w:rPr>
        <w:instrText xml:space="preserve"> PAGEREF _Toc24185 \h </w:instrText>
      </w:r>
      <w:r>
        <w:rPr>
          <w:sz w:val="28"/>
          <w:szCs w:val="28"/>
        </w:rPr>
        <w:fldChar w:fldCharType="separate"/>
      </w:r>
      <w:r>
        <w:rPr>
          <w:sz w:val="28"/>
          <w:szCs w:val="28"/>
        </w:rPr>
        <w:t>14</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_Toc32737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（一）指导思想</w:t>
      </w:r>
      <w:r>
        <w:rPr>
          <w:sz w:val="28"/>
          <w:szCs w:val="28"/>
        </w:rPr>
        <w:tab/>
      </w:r>
      <w:r>
        <w:rPr>
          <w:sz w:val="28"/>
          <w:szCs w:val="28"/>
        </w:rPr>
        <w:fldChar w:fldCharType="begin"/>
      </w:r>
      <w:r>
        <w:rPr>
          <w:sz w:val="28"/>
          <w:szCs w:val="28"/>
        </w:rPr>
        <w:instrText xml:space="preserve"> PAGEREF _Toc32737 \h </w:instrText>
      </w:r>
      <w:r>
        <w:rPr>
          <w:sz w:val="28"/>
          <w:szCs w:val="28"/>
        </w:rPr>
        <w:fldChar w:fldCharType="separate"/>
      </w:r>
      <w:r>
        <w:rPr>
          <w:sz w:val="28"/>
          <w:szCs w:val="28"/>
        </w:rPr>
        <w:t>14</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_Toc24027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（二）基本原则</w:t>
      </w:r>
      <w:r>
        <w:rPr>
          <w:sz w:val="28"/>
          <w:szCs w:val="28"/>
        </w:rPr>
        <w:tab/>
      </w:r>
      <w:r>
        <w:rPr>
          <w:sz w:val="28"/>
          <w:szCs w:val="28"/>
        </w:rPr>
        <w:fldChar w:fldCharType="begin"/>
      </w:r>
      <w:r>
        <w:rPr>
          <w:sz w:val="28"/>
          <w:szCs w:val="28"/>
        </w:rPr>
        <w:instrText xml:space="preserve"> PAGEREF _Toc24027 \h </w:instrText>
      </w:r>
      <w:r>
        <w:rPr>
          <w:sz w:val="28"/>
          <w:szCs w:val="28"/>
        </w:rPr>
        <w:fldChar w:fldCharType="separate"/>
      </w:r>
      <w:r>
        <w:rPr>
          <w:sz w:val="28"/>
          <w:szCs w:val="28"/>
        </w:rPr>
        <w:t>15</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_Toc9735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（三）发展目标</w:t>
      </w:r>
      <w:r>
        <w:rPr>
          <w:sz w:val="28"/>
          <w:szCs w:val="28"/>
        </w:rPr>
        <w:tab/>
      </w:r>
      <w:r>
        <w:rPr>
          <w:sz w:val="28"/>
          <w:szCs w:val="28"/>
        </w:rPr>
        <w:fldChar w:fldCharType="begin"/>
      </w:r>
      <w:r>
        <w:rPr>
          <w:sz w:val="28"/>
          <w:szCs w:val="28"/>
        </w:rPr>
        <w:instrText xml:space="preserve"> PAGEREF _Toc9735 \h </w:instrText>
      </w:r>
      <w:r>
        <w:rPr>
          <w:sz w:val="28"/>
          <w:szCs w:val="28"/>
        </w:rPr>
        <w:fldChar w:fldCharType="separate"/>
      </w:r>
      <w:r>
        <w:rPr>
          <w:sz w:val="28"/>
          <w:szCs w:val="28"/>
        </w:rPr>
        <w:t>16</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_Toc27947 </w:instrText>
      </w:r>
      <w:r>
        <w:rPr>
          <w:rFonts w:hint="eastAsia" w:ascii="仿宋_GB2312" w:eastAsia="仿宋_GB2312"/>
          <w:sz w:val="28"/>
          <w:szCs w:val="28"/>
        </w:rPr>
        <w:fldChar w:fldCharType="separate"/>
      </w:r>
      <w:r>
        <w:rPr>
          <w:rFonts w:hint="eastAsia" w:ascii="仿宋_GB2312" w:eastAsia="仿宋_GB2312"/>
          <w:sz w:val="28"/>
          <w:szCs w:val="28"/>
          <w:highlight w:val="none"/>
        </w:rPr>
        <w:t>1.总体目标</w:t>
      </w:r>
      <w:r>
        <w:rPr>
          <w:sz w:val="28"/>
          <w:szCs w:val="28"/>
        </w:rPr>
        <w:tab/>
      </w:r>
      <w:r>
        <w:rPr>
          <w:sz w:val="28"/>
          <w:szCs w:val="28"/>
        </w:rPr>
        <w:fldChar w:fldCharType="begin"/>
      </w:r>
      <w:r>
        <w:rPr>
          <w:sz w:val="28"/>
          <w:szCs w:val="28"/>
        </w:rPr>
        <w:instrText xml:space="preserve"> PAGEREF _Toc27947 \h </w:instrText>
      </w:r>
      <w:r>
        <w:rPr>
          <w:sz w:val="28"/>
          <w:szCs w:val="28"/>
        </w:rPr>
        <w:fldChar w:fldCharType="separate"/>
      </w:r>
      <w:r>
        <w:rPr>
          <w:sz w:val="28"/>
          <w:szCs w:val="28"/>
        </w:rPr>
        <w:t>16</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_Toc9981 </w:instrText>
      </w:r>
      <w:r>
        <w:rPr>
          <w:rFonts w:hint="eastAsia" w:ascii="仿宋_GB2312" w:eastAsia="仿宋_GB2312"/>
          <w:sz w:val="28"/>
          <w:szCs w:val="28"/>
        </w:rPr>
        <w:fldChar w:fldCharType="separate"/>
      </w:r>
      <w:r>
        <w:rPr>
          <w:rFonts w:hint="eastAsia" w:ascii="仿宋_GB2312" w:eastAsia="仿宋_GB2312"/>
          <w:sz w:val="28"/>
          <w:szCs w:val="28"/>
          <w:highlight w:val="none"/>
        </w:rPr>
        <w:t>2.分类目标</w:t>
      </w:r>
      <w:r>
        <w:rPr>
          <w:sz w:val="28"/>
          <w:szCs w:val="28"/>
        </w:rPr>
        <w:tab/>
      </w:r>
      <w:r>
        <w:rPr>
          <w:sz w:val="28"/>
          <w:szCs w:val="28"/>
        </w:rPr>
        <w:fldChar w:fldCharType="begin"/>
      </w:r>
      <w:r>
        <w:rPr>
          <w:sz w:val="28"/>
          <w:szCs w:val="28"/>
        </w:rPr>
        <w:instrText xml:space="preserve"> PAGEREF _Toc9981 \h </w:instrText>
      </w:r>
      <w:r>
        <w:rPr>
          <w:sz w:val="28"/>
          <w:szCs w:val="28"/>
        </w:rPr>
        <w:fldChar w:fldCharType="separate"/>
      </w:r>
      <w:r>
        <w:rPr>
          <w:sz w:val="28"/>
          <w:szCs w:val="28"/>
        </w:rPr>
        <w:t>18</w:t>
      </w:r>
      <w:r>
        <w:rPr>
          <w:sz w:val="28"/>
          <w:szCs w:val="28"/>
        </w:rPr>
        <w:fldChar w:fldCharType="end"/>
      </w:r>
      <w:r>
        <w:rPr>
          <w:rFonts w:hint="eastAsia" w:ascii="仿宋_GB2312" w:eastAsia="仿宋_GB2312"/>
          <w:sz w:val="28"/>
          <w:szCs w:val="28"/>
        </w:rPr>
        <w:fldChar w:fldCharType="end"/>
      </w:r>
    </w:p>
    <w:p>
      <w:pPr>
        <w:pStyle w:val="9"/>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_Toc16699 </w:instrText>
      </w:r>
      <w:r>
        <w:rPr>
          <w:rFonts w:hint="eastAsia" w:ascii="仿宋_GB2312" w:eastAsia="仿宋_GB2312"/>
          <w:sz w:val="28"/>
          <w:szCs w:val="28"/>
        </w:rPr>
        <w:fldChar w:fldCharType="separate"/>
      </w:r>
      <w:r>
        <w:rPr>
          <w:rFonts w:hint="eastAsia" w:ascii="黑体" w:hAnsi="黑体" w:eastAsia="黑体" w:cs="仿宋_GB2312"/>
          <w:kern w:val="0"/>
          <w:sz w:val="28"/>
          <w:szCs w:val="28"/>
          <w:highlight w:val="none"/>
        </w:rPr>
        <w:t>四、主要任务</w:t>
      </w:r>
      <w:r>
        <w:rPr>
          <w:sz w:val="28"/>
          <w:szCs w:val="28"/>
        </w:rPr>
        <w:tab/>
      </w:r>
      <w:r>
        <w:rPr>
          <w:sz w:val="28"/>
          <w:szCs w:val="28"/>
        </w:rPr>
        <w:fldChar w:fldCharType="begin"/>
      </w:r>
      <w:r>
        <w:rPr>
          <w:sz w:val="28"/>
          <w:szCs w:val="28"/>
        </w:rPr>
        <w:instrText xml:space="preserve"> PAGEREF _Toc16699 \h </w:instrText>
      </w:r>
      <w:r>
        <w:rPr>
          <w:sz w:val="28"/>
          <w:szCs w:val="28"/>
        </w:rPr>
        <w:fldChar w:fldCharType="separate"/>
      </w:r>
      <w:r>
        <w:rPr>
          <w:sz w:val="28"/>
          <w:szCs w:val="28"/>
        </w:rPr>
        <w:t>19</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_Toc31509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（一）综合推进应急管理体系和能力现代化</w:t>
      </w:r>
      <w:r>
        <w:rPr>
          <w:sz w:val="28"/>
          <w:szCs w:val="28"/>
        </w:rPr>
        <w:tab/>
      </w:r>
      <w:r>
        <w:rPr>
          <w:sz w:val="28"/>
          <w:szCs w:val="28"/>
        </w:rPr>
        <w:fldChar w:fldCharType="begin"/>
      </w:r>
      <w:r>
        <w:rPr>
          <w:sz w:val="28"/>
          <w:szCs w:val="28"/>
        </w:rPr>
        <w:instrText xml:space="preserve"> PAGEREF _Toc31509 \h </w:instrText>
      </w:r>
      <w:r>
        <w:rPr>
          <w:sz w:val="28"/>
          <w:szCs w:val="28"/>
        </w:rPr>
        <w:fldChar w:fldCharType="separate"/>
      </w:r>
      <w:r>
        <w:rPr>
          <w:sz w:val="28"/>
          <w:szCs w:val="28"/>
        </w:rPr>
        <w:t>19</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_Toc21691 </w:instrText>
      </w:r>
      <w:r>
        <w:rPr>
          <w:rFonts w:hint="eastAsia" w:ascii="仿宋_GB2312" w:eastAsia="仿宋_GB2312"/>
          <w:sz w:val="28"/>
          <w:szCs w:val="28"/>
        </w:rPr>
        <w:fldChar w:fldCharType="separate"/>
      </w:r>
      <w:r>
        <w:rPr>
          <w:rFonts w:hint="eastAsia" w:ascii="仿宋_GB2312" w:eastAsia="仿宋_GB2312"/>
          <w:sz w:val="28"/>
          <w:szCs w:val="28"/>
          <w:highlight w:val="none"/>
        </w:rPr>
        <w:t>1.完善体制机制，理顺应急管理责任体系</w:t>
      </w:r>
      <w:r>
        <w:rPr>
          <w:sz w:val="28"/>
          <w:szCs w:val="28"/>
        </w:rPr>
        <w:tab/>
      </w:r>
      <w:r>
        <w:rPr>
          <w:sz w:val="28"/>
          <w:szCs w:val="28"/>
        </w:rPr>
        <w:fldChar w:fldCharType="begin"/>
      </w:r>
      <w:r>
        <w:rPr>
          <w:sz w:val="28"/>
          <w:szCs w:val="28"/>
        </w:rPr>
        <w:instrText xml:space="preserve"> PAGEREF _Toc21691 \h </w:instrText>
      </w:r>
      <w:r>
        <w:rPr>
          <w:sz w:val="28"/>
          <w:szCs w:val="28"/>
        </w:rPr>
        <w:fldChar w:fldCharType="separate"/>
      </w:r>
      <w:r>
        <w:rPr>
          <w:sz w:val="28"/>
          <w:szCs w:val="28"/>
        </w:rPr>
        <w:t>19</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_Toc3927 </w:instrText>
      </w:r>
      <w:r>
        <w:rPr>
          <w:rFonts w:hint="eastAsia" w:ascii="仿宋_GB2312" w:eastAsia="仿宋_GB2312"/>
          <w:sz w:val="28"/>
          <w:szCs w:val="28"/>
        </w:rPr>
        <w:fldChar w:fldCharType="separate"/>
      </w:r>
      <w:r>
        <w:rPr>
          <w:rFonts w:hint="eastAsia" w:ascii="仿宋_GB2312" w:eastAsia="仿宋_GB2312"/>
          <w:sz w:val="28"/>
          <w:szCs w:val="28"/>
          <w:highlight w:val="none"/>
          <w:lang w:val="en-US" w:eastAsia="zh-CN"/>
        </w:rPr>
        <w:t>2.强化科技支撑，提高突发事件应对能力</w:t>
      </w:r>
      <w:r>
        <w:rPr>
          <w:sz w:val="28"/>
          <w:szCs w:val="28"/>
        </w:rPr>
        <w:tab/>
      </w:r>
      <w:r>
        <w:rPr>
          <w:sz w:val="28"/>
          <w:szCs w:val="28"/>
        </w:rPr>
        <w:fldChar w:fldCharType="begin"/>
      </w:r>
      <w:r>
        <w:rPr>
          <w:sz w:val="28"/>
          <w:szCs w:val="28"/>
        </w:rPr>
        <w:instrText xml:space="preserve"> PAGEREF _Toc3927 \h </w:instrText>
      </w:r>
      <w:r>
        <w:rPr>
          <w:sz w:val="28"/>
          <w:szCs w:val="28"/>
        </w:rPr>
        <w:fldChar w:fldCharType="separate"/>
      </w:r>
      <w:r>
        <w:rPr>
          <w:sz w:val="28"/>
          <w:szCs w:val="28"/>
        </w:rPr>
        <w:t>20</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_Toc12614 </w:instrText>
      </w:r>
      <w:r>
        <w:rPr>
          <w:rFonts w:hint="eastAsia" w:ascii="仿宋_GB2312" w:eastAsia="仿宋_GB2312"/>
          <w:sz w:val="28"/>
          <w:szCs w:val="28"/>
        </w:rPr>
        <w:fldChar w:fldCharType="separate"/>
      </w:r>
      <w:r>
        <w:rPr>
          <w:rFonts w:hint="eastAsia" w:ascii="仿宋_GB2312" w:eastAsia="仿宋_GB2312"/>
          <w:sz w:val="28"/>
          <w:szCs w:val="28"/>
          <w:highlight w:val="none"/>
        </w:rPr>
        <w:t>3.加强队伍建设，提高应急管理人才素质</w:t>
      </w:r>
      <w:r>
        <w:rPr>
          <w:sz w:val="28"/>
          <w:szCs w:val="28"/>
        </w:rPr>
        <w:tab/>
      </w:r>
      <w:r>
        <w:rPr>
          <w:sz w:val="28"/>
          <w:szCs w:val="28"/>
        </w:rPr>
        <w:fldChar w:fldCharType="begin"/>
      </w:r>
      <w:r>
        <w:rPr>
          <w:sz w:val="28"/>
          <w:szCs w:val="28"/>
        </w:rPr>
        <w:instrText xml:space="preserve"> PAGEREF _Toc12614 \h </w:instrText>
      </w:r>
      <w:r>
        <w:rPr>
          <w:sz w:val="28"/>
          <w:szCs w:val="28"/>
        </w:rPr>
        <w:fldChar w:fldCharType="separate"/>
      </w:r>
      <w:r>
        <w:rPr>
          <w:sz w:val="28"/>
          <w:szCs w:val="28"/>
        </w:rPr>
        <w:t>20</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_Toc7396 </w:instrText>
      </w:r>
      <w:r>
        <w:rPr>
          <w:rFonts w:hint="eastAsia" w:ascii="仿宋_GB2312" w:eastAsia="仿宋_GB2312"/>
          <w:sz w:val="28"/>
          <w:szCs w:val="28"/>
        </w:rPr>
        <w:fldChar w:fldCharType="separate"/>
      </w:r>
      <w:r>
        <w:rPr>
          <w:rFonts w:hint="eastAsia" w:ascii="仿宋_GB2312" w:eastAsia="仿宋_GB2312"/>
          <w:sz w:val="28"/>
          <w:szCs w:val="28"/>
          <w:highlight w:val="none"/>
        </w:rPr>
        <w:t>4.狠抓安全宣教，提高社会公众安全意识</w:t>
      </w:r>
      <w:r>
        <w:rPr>
          <w:sz w:val="28"/>
          <w:szCs w:val="28"/>
        </w:rPr>
        <w:tab/>
      </w:r>
      <w:r>
        <w:rPr>
          <w:sz w:val="28"/>
          <w:szCs w:val="28"/>
        </w:rPr>
        <w:fldChar w:fldCharType="begin"/>
      </w:r>
      <w:r>
        <w:rPr>
          <w:sz w:val="28"/>
          <w:szCs w:val="28"/>
        </w:rPr>
        <w:instrText xml:space="preserve"> PAGEREF _Toc7396 \h </w:instrText>
      </w:r>
      <w:r>
        <w:rPr>
          <w:sz w:val="28"/>
          <w:szCs w:val="28"/>
        </w:rPr>
        <w:fldChar w:fldCharType="separate"/>
      </w:r>
      <w:r>
        <w:rPr>
          <w:sz w:val="28"/>
          <w:szCs w:val="28"/>
        </w:rPr>
        <w:t>21</w:t>
      </w:r>
      <w:r>
        <w:rPr>
          <w:sz w:val="28"/>
          <w:szCs w:val="28"/>
        </w:rPr>
        <w:fldChar w:fldCharType="end"/>
      </w:r>
      <w:r>
        <w:rPr>
          <w:rFonts w:hint="eastAsia" w:ascii="仿宋_GB2312" w:eastAsia="仿宋_GB2312"/>
          <w:sz w:val="28"/>
          <w:szCs w:val="28"/>
        </w:rPr>
        <w:fldChar w:fldCharType="end"/>
      </w:r>
    </w:p>
    <w:p>
      <w:pPr>
        <w:pStyle w:val="6"/>
        <w:tabs>
          <w:tab w:val="right" w:leader="dot" w:pos="8306"/>
        </w:tabs>
        <w:rPr>
          <w:rFonts w:hint="eastAsia"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_Toc20921 </w:instrText>
      </w:r>
      <w:r>
        <w:rPr>
          <w:rFonts w:hint="eastAsia" w:ascii="仿宋_GB2312" w:eastAsia="仿宋_GB2312"/>
          <w:sz w:val="28"/>
          <w:szCs w:val="28"/>
        </w:rPr>
        <w:fldChar w:fldCharType="separate"/>
      </w:r>
      <w:r>
        <w:rPr>
          <w:rFonts w:hint="eastAsia" w:ascii="仿宋_GB2312" w:eastAsia="仿宋_GB2312"/>
          <w:sz w:val="28"/>
          <w:szCs w:val="28"/>
          <w:highlight w:val="none"/>
        </w:rPr>
        <w:t>5.</w:t>
      </w:r>
      <w:r>
        <w:rPr>
          <w:rFonts w:hint="default" w:ascii="仿宋_GB2312" w:eastAsia="仿宋_GB2312"/>
          <w:sz w:val="28"/>
          <w:szCs w:val="28"/>
          <w:highlight w:val="none"/>
        </w:rPr>
        <w:t>深耕</w:t>
      </w:r>
      <w:r>
        <w:rPr>
          <w:rFonts w:hint="eastAsia" w:ascii="仿宋_GB2312" w:eastAsia="仿宋_GB2312"/>
          <w:sz w:val="28"/>
          <w:szCs w:val="28"/>
          <w:highlight w:val="none"/>
        </w:rPr>
        <w:t>智慧应急，挖掘现代信息技术优势</w:t>
      </w:r>
      <w:r>
        <w:rPr>
          <w:sz w:val="28"/>
          <w:szCs w:val="28"/>
        </w:rPr>
        <w:tab/>
      </w:r>
      <w:r>
        <w:rPr>
          <w:sz w:val="28"/>
          <w:szCs w:val="28"/>
        </w:rPr>
        <w:fldChar w:fldCharType="begin"/>
      </w:r>
      <w:r>
        <w:rPr>
          <w:sz w:val="28"/>
          <w:szCs w:val="28"/>
        </w:rPr>
        <w:instrText xml:space="preserve"> PAGEREF _Toc20921 \h </w:instrText>
      </w:r>
      <w:r>
        <w:rPr>
          <w:sz w:val="28"/>
          <w:szCs w:val="28"/>
        </w:rPr>
        <w:fldChar w:fldCharType="separate"/>
      </w:r>
      <w:r>
        <w:rPr>
          <w:sz w:val="28"/>
          <w:szCs w:val="28"/>
        </w:rPr>
        <w:t>22</w:t>
      </w:r>
      <w:r>
        <w:rPr>
          <w:sz w:val="28"/>
          <w:szCs w:val="28"/>
        </w:rPr>
        <w:fldChar w:fldCharType="end"/>
      </w:r>
      <w:r>
        <w:rPr>
          <w:rFonts w:hint="eastAsia" w:ascii="仿宋_GB2312" w:eastAsia="仿宋_GB2312"/>
          <w:sz w:val="28"/>
          <w:szCs w:val="28"/>
        </w:rPr>
        <w:fldChar w:fldCharType="end"/>
      </w:r>
    </w:p>
    <w:p>
      <w:pPr>
        <w:rPr>
          <w:rFonts w:hint="eastAsia" w:ascii="仿宋_GB2312" w:eastAsia="仿宋_GB2312"/>
          <w:sz w:val="28"/>
          <w:szCs w:val="28"/>
        </w:rPr>
      </w:pP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_Toc18519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（二）牢牢守住安全生产事故预防和控制基本盘</w:t>
      </w:r>
      <w:r>
        <w:rPr>
          <w:sz w:val="28"/>
          <w:szCs w:val="28"/>
        </w:rPr>
        <w:tab/>
      </w:r>
      <w:r>
        <w:rPr>
          <w:sz w:val="28"/>
          <w:szCs w:val="28"/>
        </w:rPr>
        <w:fldChar w:fldCharType="begin"/>
      </w:r>
      <w:r>
        <w:rPr>
          <w:sz w:val="28"/>
          <w:szCs w:val="28"/>
        </w:rPr>
        <w:instrText xml:space="preserve"> PAGEREF _Toc18519 \h </w:instrText>
      </w:r>
      <w:r>
        <w:rPr>
          <w:sz w:val="28"/>
          <w:szCs w:val="28"/>
        </w:rPr>
        <w:fldChar w:fldCharType="separate"/>
      </w:r>
      <w:r>
        <w:rPr>
          <w:sz w:val="28"/>
          <w:szCs w:val="28"/>
        </w:rPr>
        <w:t>23</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_Toc28827 </w:instrText>
      </w:r>
      <w:r>
        <w:rPr>
          <w:rFonts w:hint="eastAsia" w:ascii="仿宋_GB2312" w:eastAsia="仿宋_GB2312"/>
          <w:sz w:val="28"/>
          <w:szCs w:val="28"/>
        </w:rPr>
        <w:fldChar w:fldCharType="separate"/>
      </w: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.危险化学品</w:t>
      </w:r>
      <w:r>
        <w:rPr>
          <w:sz w:val="28"/>
          <w:szCs w:val="28"/>
        </w:rPr>
        <w:tab/>
      </w:r>
      <w:r>
        <w:rPr>
          <w:sz w:val="28"/>
          <w:szCs w:val="28"/>
        </w:rPr>
        <w:fldChar w:fldCharType="begin"/>
      </w:r>
      <w:r>
        <w:rPr>
          <w:sz w:val="28"/>
          <w:szCs w:val="28"/>
        </w:rPr>
        <w:instrText xml:space="preserve"> PAGEREF _Toc28827 \h </w:instrText>
      </w:r>
      <w:r>
        <w:rPr>
          <w:sz w:val="28"/>
          <w:szCs w:val="28"/>
        </w:rPr>
        <w:fldChar w:fldCharType="separate"/>
      </w:r>
      <w:r>
        <w:rPr>
          <w:sz w:val="28"/>
          <w:szCs w:val="28"/>
        </w:rPr>
        <w:t>24</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_Toc12587 </w:instrText>
      </w:r>
      <w:r>
        <w:rPr>
          <w:rFonts w:hint="eastAsia" w:ascii="仿宋_GB2312" w:eastAsia="仿宋_GB2312"/>
          <w:sz w:val="28"/>
          <w:szCs w:val="28"/>
        </w:rPr>
        <w:fldChar w:fldCharType="separate"/>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.工贸行业（含工业园区）</w:t>
      </w:r>
      <w:r>
        <w:rPr>
          <w:sz w:val="28"/>
          <w:szCs w:val="28"/>
        </w:rPr>
        <w:tab/>
      </w:r>
      <w:r>
        <w:rPr>
          <w:sz w:val="28"/>
          <w:szCs w:val="28"/>
        </w:rPr>
        <w:fldChar w:fldCharType="begin"/>
      </w:r>
      <w:r>
        <w:rPr>
          <w:sz w:val="28"/>
          <w:szCs w:val="28"/>
        </w:rPr>
        <w:instrText xml:space="preserve"> PAGEREF _Toc12587 \h </w:instrText>
      </w:r>
      <w:r>
        <w:rPr>
          <w:sz w:val="28"/>
          <w:szCs w:val="28"/>
        </w:rPr>
        <w:fldChar w:fldCharType="separate"/>
      </w:r>
      <w:r>
        <w:rPr>
          <w:sz w:val="28"/>
          <w:szCs w:val="28"/>
        </w:rPr>
        <w:t>25</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_Toc27220 </w:instrText>
      </w:r>
      <w:r>
        <w:rPr>
          <w:rFonts w:hint="eastAsia" w:ascii="仿宋_GB2312" w:eastAsia="仿宋_GB2312"/>
          <w:sz w:val="28"/>
          <w:szCs w:val="28"/>
        </w:rPr>
        <w:fldChar w:fldCharType="separate"/>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.烟花爆竹</w:t>
      </w:r>
      <w:r>
        <w:rPr>
          <w:sz w:val="28"/>
          <w:szCs w:val="28"/>
        </w:rPr>
        <w:tab/>
      </w:r>
      <w:r>
        <w:rPr>
          <w:sz w:val="28"/>
          <w:szCs w:val="28"/>
        </w:rPr>
        <w:fldChar w:fldCharType="begin"/>
      </w:r>
      <w:r>
        <w:rPr>
          <w:sz w:val="28"/>
          <w:szCs w:val="28"/>
        </w:rPr>
        <w:instrText xml:space="preserve"> PAGEREF _Toc27220 \h </w:instrText>
      </w:r>
      <w:r>
        <w:rPr>
          <w:sz w:val="28"/>
          <w:szCs w:val="28"/>
        </w:rPr>
        <w:fldChar w:fldCharType="separate"/>
      </w:r>
      <w:r>
        <w:rPr>
          <w:sz w:val="28"/>
          <w:szCs w:val="28"/>
        </w:rPr>
        <w:t>25</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_Toc6525 </w:instrText>
      </w:r>
      <w:r>
        <w:rPr>
          <w:rFonts w:hint="eastAsia" w:ascii="仿宋_GB2312" w:eastAsia="仿宋_GB2312"/>
          <w:sz w:val="28"/>
          <w:szCs w:val="28"/>
        </w:rPr>
        <w:fldChar w:fldCharType="separate"/>
      </w: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.消防安全</w:t>
      </w:r>
      <w:r>
        <w:rPr>
          <w:sz w:val="28"/>
          <w:szCs w:val="28"/>
        </w:rPr>
        <w:tab/>
      </w:r>
      <w:r>
        <w:rPr>
          <w:sz w:val="28"/>
          <w:szCs w:val="28"/>
        </w:rPr>
        <w:fldChar w:fldCharType="begin"/>
      </w:r>
      <w:r>
        <w:rPr>
          <w:sz w:val="28"/>
          <w:szCs w:val="28"/>
        </w:rPr>
        <w:instrText xml:space="preserve"> PAGEREF _Toc6525 \h </w:instrText>
      </w:r>
      <w:r>
        <w:rPr>
          <w:sz w:val="28"/>
          <w:szCs w:val="28"/>
        </w:rPr>
        <w:fldChar w:fldCharType="separate"/>
      </w:r>
      <w:r>
        <w:rPr>
          <w:sz w:val="28"/>
          <w:szCs w:val="28"/>
        </w:rPr>
        <w:t>26</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_Toc23172 </w:instrText>
      </w:r>
      <w:r>
        <w:rPr>
          <w:rFonts w:hint="eastAsia" w:ascii="仿宋_GB2312" w:eastAsia="仿宋_GB2312"/>
          <w:sz w:val="28"/>
          <w:szCs w:val="28"/>
        </w:rPr>
        <w:fldChar w:fldCharType="separate"/>
      </w: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.道路交通</w:t>
      </w:r>
      <w:r>
        <w:rPr>
          <w:sz w:val="28"/>
          <w:szCs w:val="28"/>
        </w:rPr>
        <w:tab/>
      </w:r>
      <w:r>
        <w:rPr>
          <w:sz w:val="28"/>
          <w:szCs w:val="28"/>
        </w:rPr>
        <w:fldChar w:fldCharType="begin"/>
      </w:r>
      <w:r>
        <w:rPr>
          <w:sz w:val="28"/>
          <w:szCs w:val="28"/>
        </w:rPr>
        <w:instrText xml:space="preserve"> PAGEREF _Toc23172 \h </w:instrText>
      </w:r>
      <w:r>
        <w:rPr>
          <w:sz w:val="28"/>
          <w:szCs w:val="28"/>
        </w:rPr>
        <w:fldChar w:fldCharType="separate"/>
      </w:r>
      <w:r>
        <w:rPr>
          <w:sz w:val="28"/>
          <w:szCs w:val="28"/>
        </w:rPr>
        <w:t>26</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_Toc20636 </w:instrText>
      </w:r>
      <w:r>
        <w:rPr>
          <w:rFonts w:hint="eastAsia" w:ascii="仿宋_GB2312" w:eastAsia="仿宋_GB2312"/>
          <w:sz w:val="28"/>
          <w:szCs w:val="28"/>
        </w:rPr>
        <w:fldChar w:fldCharType="separate"/>
      </w: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.交通运输</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铁路、邮政、水上和城市轨道交通</w:t>
      </w:r>
      <w:r>
        <w:rPr>
          <w:rFonts w:hint="eastAsia" w:ascii="仿宋_GB2312" w:eastAsia="仿宋_GB2312"/>
          <w:sz w:val="28"/>
          <w:szCs w:val="28"/>
          <w:highlight w:val="none"/>
          <w:lang w:eastAsia="zh-CN"/>
        </w:rPr>
        <w:t>）</w:t>
      </w:r>
      <w:r>
        <w:rPr>
          <w:sz w:val="28"/>
          <w:szCs w:val="28"/>
        </w:rPr>
        <w:tab/>
      </w:r>
      <w:r>
        <w:rPr>
          <w:sz w:val="28"/>
          <w:szCs w:val="28"/>
        </w:rPr>
        <w:fldChar w:fldCharType="begin"/>
      </w:r>
      <w:r>
        <w:rPr>
          <w:sz w:val="28"/>
          <w:szCs w:val="28"/>
        </w:rPr>
        <w:instrText xml:space="preserve"> PAGEREF _Toc20636 \h </w:instrText>
      </w:r>
      <w:r>
        <w:rPr>
          <w:sz w:val="28"/>
          <w:szCs w:val="28"/>
        </w:rPr>
        <w:fldChar w:fldCharType="separate"/>
      </w:r>
      <w:r>
        <w:rPr>
          <w:sz w:val="28"/>
          <w:szCs w:val="28"/>
        </w:rPr>
        <w:t>27</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_Toc5312 </w:instrText>
      </w:r>
      <w:r>
        <w:rPr>
          <w:rFonts w:hint="eastAsia" w:ascii="仿宋_GB2312" w:eastAsia="仿宋_GB2312"/>
          <w:sz w:val="28"/>
          <w:szCs w:val="28"/>
        </w:rPr>
        <w:fldChar w:fldCharType="separate"/>
      </w: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rPr>
        <w:t>.建筑施工</w:t>
      </w:r>
      <w:r>
        <w:rPr>
          <w:sz w:val="28"/>
          <w:szCs w:val="28"/>
        </w:rPr>
        <w:tab/>
      </w:r>
      <w:r>
        <w:rPr>
          <w:sz w:val="28"/>
          <w:szCs w:val="28"/>
        </w:rPr>
        <w:fldChar w:fldCharType="begin"/>
      </w:r>
      <w:r>
        <w:rPr>
          <w:sz w:val="28"/>
          <w:szCs w:val="28"/>
        </w:rPr>
        <w:instrText xml:space="preserve"> PAGEREF _Toc5312 \h </w:instrText>
      </w:r>
      <w:r>
        <w:rPr>
          <w:sz w:val="28"/>
          <w:szCs w:val="28"/>
        </w:rPr>
        <w:fldChar w:fldCharType="separate"/>
      </w:r>
      <w:r>
        <w:rPr>
          <w:sz w:val="28"/>
          <w:szCs w:val="28"/>
        </w:rPr>
        <w:t>28</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_Toc7997 </w:instrText>
      </w:r>
      <w:r>
        <w:rPr>
          <w:rFonts w:hint="eastAsia" w:ascii="仿宋_GB2312" w:eastAsia="仿宋_GB2312"/>
          <w:sz w:val="28"/>
          <w:szCs w:val="28"/>
        </w:rPr>
        <w:fldChar w:fldCharType="separate"/>
      </w:r>
      <w:r>
        <w:rPr>
          <w:rFonts w:hint="eastAsia" w:ascii="仿宋_GB2312" w:eastAsia="仿宋_GB2312"/>
          <w:sz w:val="28"/>
          <w:szCs w:val="28"/>
          <w:highlight w:val="none"/>
          <w:lang w:val="en-US" w:eastAsia="zh-CN"/>
        </w:rPr>
        <w:t>8</w:t>
      </w:r>
      <w:r>
        <w:rPr>
          <w:rFonts w:hint="eastAsia" w:ascii="仿宋_GB2312" w:eastAsia="仿宋_GB2312"/>
          <w:sz w:val="28"/>
          <w:szCs w:val="28"/>
          <w:highlight w:val="none"/>
        </w:rPr>
        <w:t>.特种设备</w:t>
      </w:r>
      <w:r>
        <w:rPr>
          <w:sz w:val="28"/>
          <w:szCs w:val="28"/>
        </w:rPr>
        <w:tab/>
      </w:r>
      <w:r>
        <w:rPr>
          <w:sz w:val="28"/>
          <w:szCs w:val="28"/>
        </w:rPr>
        <w:fldChar w:fldCharType="begin"/>
      </w:r>
      <w:r>
        <w:rPr>
          <w:sz w:val="28"/>
          <w:szCs w:val="28"/>
        </w:rPr>
        <w:instrText xml:space="preserve"> PAGEREF _Toc7997 \h </w:instrText>
      </w:r>
      <w:r>
        <w:rPr>
          <w:sz w:val="28"/>
          <w:szCs w:val="28"/>
        </w:rPr>
        <w:fldChar w:fldCharType="separate"/>
      </w:r>
      <w:r>
        <w:rPr>
          <w:sz w:val="28"/>
          <w:szCs w:val="28"/>
        </w:rPr>
        <w:t>29</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_Toc23672 </w:instrText>
      </w:r>
      <w:r>
        <w:rPr>
          <w:rFonts w:hint="eastAsia" w:ascii="仿宋_GB2312" w:eastAsia="仿宋_GB2312"/>
          <w:sz w:val="28"/>
          <w:szCs w:val="28"/>
        </w:rPr>
        <w:fldChar w:fldCharType="separate"/>
      </w:r>
      <w:r>
        <w:rPr>
          <w:rFonts w:hint="eastAsia" w:ascii="仿宋_GB2312" w:eastAsia="仿宋_GB2312"/>
          <w:sz w:val="28"/>
          <w:szCs w:val="28"/>
          <w:highlight w:val="none"/>
          <w:lang w:val="en-US" w:eastAsia="zh-CN"/>
        </w:rPr>
        <w:t>9</w:t>
      </w:r>
      <w:r>
        <w:rPr>
          <w:rFonts w:hint="eastAsia" w:ascii="仿宋_GB2312" w:eastAsia="仿宋_GB2312"/>
          <w:sz w:val="28"/>
          <w:szCs w:val="28"/>
          <w:highlight w:val="none"/>
        </w:rPr>
        <w:t>.危险废物</w:t>
      </w:r>
      <w:r>
        <w:rPr>
          <w:sz w:val="28"/>
          <w:szCs w:val="28"/>
        </w:rPr>
        <w:tab/>
      </w:r>
      <w:r>
        <w:rPr>
          <w:sz w:val="28"/>
          <w:szCs w:val="28"/>
        </w:rPr>
        <w:fldChar w:fldCharType="begin"/>
      </w:r>
      <w:r>
        <w:rPr>
          <w:sz w:val="28"/>
          <w:szCs w:val="28"/>
        </w:rPr>
        <w:instrText xml:space="preserve"> PAGEREF _Toc23672 \h </w:instrText>
      </w:r>
      <w:r>
        <w:rPr>
          <w:sz w:val="28"/>
          <w:szCs w:val="28"/>
        </w:rPr>
        <w:fldChar w:fldCharType="separate"/>
      </w:r>
      <w:r>
        <w:rPr>
          <w:sz w:val="28"/>
          <w:szCs w:val="28"/>
        </w:rPr>
        <w:t>29</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_Toc10846 </w:instrText>
      </w:r>
      <w:r>
        <w:rPr>
          <w:rFonts w:hint="eastAsia" w:ascii="仿宋_GB2312" w:eastAsia="仿宋_GB2312"/>
          <w:sz w:val="28"/>
          <w:szCs w:val="28"/>
        </w:rPr>
        <w:fldChar w:fldCharType="separate"/>
      </w:r>
      <w:r>
        <w:rPr>
          <w:rFonts w:hint="eastAsia" w:ascii="仿宋_GB2312" w:eastAsia="仿宋_GB2312"/>
          <w:sz w:val="28"/>
          <w:szCs w:val="28"/>
          <w:highlight w:val="none"/>
        </w:rPr>
        <w:t>1</w:t>
      </w:r>
      <w:r>
        <w:rPr>
          <w:rFonts w:hint="eastAsia" w:ascii="仿宋_GB2312" w:eastAsia="仿宋_GB2312"/>
          <w:sz w:val="28"/>
          <w:szCs w:val="28"/>
          <w:highlight w:val="none"/>
          <w:lang w:val="en-US" w:eastAsia="zh-CN"/>
        </w:rPr>
        <w:t>0</w:t>
      </w:r>
      <w:r>
        <w:rPr>
          <w:rFonts w:hint="eastAsia" w:ascii="仿宋_GB2312" w:eastAsia="仿宋_GB2312"/>
          <w:sz w:val="28"/>
          <w:szCs w:val="28"/>
          <w:highlight w:val="none"/>
        </w:rPr>
        <w:t>.其他专项治理</w:t>
      </w:r>
      <w:r>
        <w:rPr>
          <w:sz w:val="28"/>
          <w:szCs w:val="28"/>
        </w:rPr>
        <w:tab/>
      </w:r>
      <w:r>
        <w:rPr>
          <w:sz w:val="28"/>
          <w:szCs w:val="28"/>
        </w:rPr>
        <w:fldChar w:fldCharType="begin"/>
      </w:r>
      <w:r>
        <w:rPr>
          <w:sz w:val="28"/>
          <w:szCs w:val="28"/>
        </w:rPr>
        <w:instrText xml:space="preserve"> PAGEREF _Toc10846 \h </w:instrText>
      </w:r>
      <w:r>
        <w:rPr>
          <w:sz w:val="28"/>
          <w:szCs w:val="28"/>
        </w:rPr>
        <w:fldChar w:fldCharType="separate"/>
      </w:r>
      <w:r>
        <w:rPr>
          <w:sz w:val="28"/>
          <w:szCs w:val="28"/>
        </w:rPr>
        <w:t>30</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_Toc7387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（三）全面筑牢综合防灾减灾救灾防线</w:t>
      </w:r>
      <w:r>
        <w:rPr>
          <w:sz w:val="28"/>
          <w:szCs w:val="28"/>
        </w:rPr>
        <w:tab/>
      </w:r>
      <w:r>
        <w:rPr>
          <w:sz w:val="28"/>
          <w:szCs w:val="28"/>
        </w:rPr>
        <w:fldChar w:fldCharType="begin"/>
      </w:r>
      <w:r>
        <w:rPr>
          <w:sz w:val="28"/>
          <w:szCs w:val="28"/>
        </w:rPr>
        <w:instrText xml:space="preserve"> PAGEREF _Toc7387 \h </w:instrText>
      </w:r>
      <w:r>
        <w:rPr>
          <w:sz w:val="28"/>
          <w:szCs w:val="28"/>
        </w:rPr>
        <w:fldChar w:fldCharType="separate"/>
      </w:r>
      <w:r>
        <w:rPr>
          <w:sz w:val="28"/>
          <w:szCs w:val="28"/>
        </w:rPr>
        <w:t>30</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pacing w:val="-23"/>
          <w:sz w:val="28"/>
          <w:szCs w:val="28"/>
        </w:rPr>
      </w:pPr>
      <w:r>
        <w:rPr>
          <w:rFonts w:hint="eastAsia" w:ascii="仿宋_GB2312" w:eastAsia="仿宋_GB2312"/>
          <w:spacing w:val="-23"/>
          <w:sz w:val="28"/>
          <w:szCs w:val="28"/>
        </w:rPr>
        <w:fldChar w:fldCharType="begin"/>
      </w:r>
      <w:r>
        <w:rPr>
          <w:rFonts w:hint="eastAsia" w:ascii="仿宋_GB2312" w:eastAsia="仿宋_GB2312"/>
          <w:spacing w:val="-23"/>
          <w:sz w:val="28"/>
          <w:szCs w:val="28"/>
        </w:rPr>
        <w:instrText xml:space="preserve"> HYPERLINK \l _Toc10766 </w:instrText>
      </w:r>
      <w:r>
        <w:rPr>
          <w:rFonts w:hint="eastAsia" w:ascii="仿宋_GB2312" w:eastAsia="仿宋_GB2312"/>
          <w:spacing w:val="-23"/>
          <w:sz w:val="28"/>
          <w:szCs w:val="28"/>
        </w:rPr>
        <w:fldChar w:fldCharType="separate"/>
      </w:r>
      <w:r>
        <w:rPr>
          <w:rFonts w:hint="eastAsia" w:ascii="仿宋_GB2312" w:eastAsia="仿宋_GB2312" w:hAnsiTheme="minorHAnsi" w:cstheme="minorBidi"/>
          <w:bCs/>
          <w:spacing w:val="-23"/>
          <w:kern w:val="2"/>
          <w:sz w:val="28"/>
          <w:szCs w:val="28"/>
          <w:highlight w:val="none"/>
          <w:lang w:val="en-US" w:eastAsia="zh-CN" w:bidi="ar-SA"/>
        </w:rPr>
        <w:t>1.完善防灾减灾救灾责任体系，明确防灾减灾救灾主体责任</w:t>
      </w:r>
      <w:r>
        <w:rPr>
          <w:spacing w:val="-23"/>
          <w:sz w:val="28"/>
          <w:szCs w:val="28"/>
        </w:rPr>
        <w:tab/>
      </w:r>
      <w:r>
        <w:rPr>
          <w:spacing w:val="-23"/>
          <w:sz w:val="28"/>
          <w:szCs w:val="28"/>
        </w:rPr>
        <w:fldChar w:fldCharType="begin"/>
      </w:r>
      <w:r>
        <w:rPr>
          <w:spacing w:val="-23"/>
          <w:sz w:val="28"/>
          <w:szCs w:val="28"/>
        </w:rPr>
        <w:instrText xml:space="preserve"> PAGEREF _Toc10766 \h </w:instrText>
      </w:r>
      <w:r>
        <w:rPr>
          <w:spacing w:val="-23"/>
          <w:sz w:val="28"/>
          <w:szCs w:val="28"/>
        </w:rPr>
        <w:fldChar w:fldCharType="separate"/>
      </w:r>
      <w:r>
        <w:rPr>
          <w:spacing w:val="-23"/>
          <w:sz w:val="28"/>
          <w:szCs w:val="28"/>
        </w:rPr>
        <w:t>30</w:t>
      </w:r>
      <w:r>
        <w:rPr>
          <w:spacing w:val="-23"/>
          <w:sz w:val="28"/>
          <w:szCs w:val="28"/>
        </w:rPr>
        <w:fldChar w:fldCharType="end"/>
      </w:r>
      <w:r>
        <w:rPr>
          <w:rFonts w:hint="eastAsia" w:ascii="仿宋_GB2312" w:eastAsia="仿宋_GB2312"/>
          <w:spacing w:val="-23"/>
          <w:sz w:val="28"/>
          <w:szCs w:val="28"/>
        </w:rPr>
        <w:fldChar w:fldCharType="end"/>
      </w:r>
    </w:p>
    <w:p>
      <w:pPr>
        <w:pStyle w:val="6"/>
        <w:tabs>
          <w:tab w:val="right" w:leader="dot" w:pos="8306"/>
        </w:tabs>
        <w:rPr>
          <w:spacing w:val="-23"/>
          <w:sz w:val="28"/>
          <w:szCs w:val="28"/>
        </w:rPr>
      </w:pPr>
      <w:r>
        <w:rPr>
          <w:rFonts w:hint="eastAsia" w:ascii="仿宋_GB2312" w:eastAsia="仿宋_GB2312"/>
          <w:spacing w:val="-23"/>
          <w:sz w:val="28"/>
          <w:szCs w:val="28"/>
        </w:rPr>
        <w:fldChar w:fldCharType="begin"/>
      </w:r>
      <w:r>
        <w:rPr>
          <w:rFonts w:hint="eastAsia" w:ascii="仿宋_GB2312" w:eastAsia="仿宋_GB2312"/>
          <w:spacing w:val="-23"/>
          <w:sz w:val="28"/>
          <w:szCs w:val="28"/>
        </w:rPr>
        <w:instrText xml:space="preserve"> HYPERLINK \l _Toc10469 </w:instrText>
      </w:r>
      <w:r>
        <w:rPr>
          <w:rFonts w:hint="eastAsia" w:ascii="仿宋_GB2312" w:eastAsia="仿宋_GB2312"/>
          <w:spacing w:val="-23"/>
          <w:sz w:val="28"/>
          <w:szCs w:val="28"/>
        </w:rPr>
        <w:fldChar w:fldCharType="separate"/>
      </w:r>
      <w:r>
        <w:rPr>
          <w:rFonts w:hint="eastAsia" w:ascii="仿宋_GB2312" w:eastAsia="仿宋_GB2312" w:cstheme="minorBidi"/>
          <w:bCs/>
          <w:spacing w:val="-23"/>
          <w:kern w:val="2"/>
          <w:sz w:val="28"/>
          <w:szCs w:val="28"/>
          <w:highlight w:val="none"/>
          <w:lang w:val="en-US" w:eastAsia="zh-CN" w:bidi="ar-SA"/>
        </w:rPr>
        <w:t>2.</w:t>
      </w:r>
      <w:r>
        <w:rPr>
          <w:rFonts w:hint="eastAsia" w:ascii="仿宋_GB2312" w:eastAsia="仿宋_GB2312" w:hAnsiTheme="minorHAnsi" w:cstheme="minorBidi"/>
          <w:bCs/>
          <w:spacing w:val="-23"/>
          <w:kern w:val="2"/>
          <w:sz w:val="28"/>
          <w:szCs w:val="28"/>
          <w:highlight w:val="none"/>
          <w:lang w:val="en-US" w:eastAsia="zh-CN" w:bidi="ar-SA"/>
        </w:rPr>
        <w:t>加强防灾备灾体系能力建设，全面提高灾害防御救治水平</w:t>
      </w:r>
      <w:r>
        <w:rPr>
          <w:spacing w:val="-23"/>
          <w:sz w:val="28"/>
          <w:szCs w:val="28"/>
        </w:rPr>
        <w:tab/>
      </w:r>
      <w:r>
        <w:rPr>
          <w:spacing w:val="-23"/>
          <w:sz w:val="28"/>
          <w:szCs w:val="28"/>
        </w:rPr>
        <w:fldChar w:fldCharType="begin"/>
      </w:r>
      <w:r>
        <w:rPr>
          <w:spacing w:val="-23"/>
          <w:sz w:val="28"/>
          <w:szCs w:val="28"/>
        </w:rPr>
        <w:instrText xml:space="preserve"> PAGEREF _Toc10469 \h </w:instrText>
      </w:r>
      <w:r>
        <w:rPr>
          <w:spacing w:val="-23"/>
          <w:sz w:val="28"/>
          <w:szCs w:val="28"/>
        </w:rPr>
        <w:fldChar w:fldCharType="separate"/>
      </w:r>
      <w:r>
        <w:rPr>
          <w:spacing w:val="-23"/>
          <w:sz w:val="28"/>
          <w:szCs w:val="28"/>
        </w:rPr>
        <w:t>30</w:t>
      </w:r>
      <w:r>
        <w:rPr>
          <w:spacing w:val="-23"/>
          <w:sz w:val="28"/>
          <w:szCs w:val="28"/>
        </w:rPr>
        <w:fldChar w:fldCharType="end"/>
      </w:r>
      <w:r>
        <w:rPr>
          <w:rFonts w:hint="eastAsia" w:ascii="仿宋_GB2312" w:eastAsia="仿宋_GB2312"/>
          <w:spacing w:val="-23"/>
          <w:sz w:val="28"/>
          <w:szCs w:val="28"/>
        </w:rPr>
        <w:fldChar w:fldCharType="end"/>
      </w:r>
    </w:p>
    <w:p>
      <w:pPr>
        <w:pStyle w:val="6"/>
        <w:tabs>
          <w:tab w:val="right" w:leader="dot" w:pos="8306"/>
        </w:tabs>
        <w:rPr>
          <w:spacing w:val="-23"/>
          <w:sz w:val="28"/>
          <w:szCs w:val="28"/>
        </w:rPr>
      </w:pPr>
      <w:r>
        <w:rPr>
          <w:rFonts w:hint="eastAsia" w:ascii="仿宋_GB2312" w:eastAsia="仿宋_GB2312"/>
          <w:spacing w:val="-23"/>
          <w:sz w:val="28"/>
          <w:szCs w:val="28"/>
        </w:rPr>
        <w:fldChar w:fldCharType="begin"/>
      </w:r>
      <w:r>
        <w:rPr>
          <w:rFonts w:hint="eastAsia" w:ascii="仿宋_GB2312" w:eastAsia="仿宋_GB2312"/>
          <w:spacing w:val="-23"/>
          <w:sz w:val="28"/>
          <w:szCs w:val="28"/>
        </w:rPr>
        <w:instrText xml:space="preserve"> HYPERLINK \l _Toc31676 </w:instrText>
      </w:r>
      <w:r>
        <w:rPr>
          <w:rFonts w:hint="eastAsia" w:ascii="仿宋_GB2312" w:eastAsia="仿宋_GB2312"/>
          <w:spacing w:val="-23"/>
          <w:sz w:val="28"/>
          <w:szCs w:val="28"/>
        </w:rPr>
        <w:fldChar w:fldCharType="separate"/>
      </w:r>
      <w:r>
        <w:rPr>
          <w:rFonts w:hint="eastAsia" w:ascii="仿宋_GB2312" w:eastAsia="仿宋_GB2312" w:cstheme="minorBidi"/>
          <w:bCs/>
          <w:spacing w:val="-23"/>
          <w:kern w:val="2"/>
          <w:sz w:val="28"/>
          <w:szCs w:val="28"/>
          <w:highlight w:val="none"/>
          <w:lang w:val="en-US" w:eastAsia="zh-CN" w:bidi="ar-SA"/>
        </w:rPr>
        <w:t>3.</w:t>
      </w:r>
      <w:r>
        <w:rPr>
          <w:rFonts w:hint="eastAsia" w:ascii="仿宋_GB2312" w:eastAsia="仿宋_GB2312" w:hAnsiTheme="minorHAnsi" w:cstheme="minorBidi"/>
          <w:bCs/>
          <w:spacing w:val="-23"/>
          <w:kern w:val="2"/>
          <w:sz w:val="28"/>
          <w:szCs w:val="28"/>
          <w:highlight w:val="none"/>
          <w:lang w:val="en-US" w:eastAsia="zh-CN" w:bidi="ar-SA"/>
        </w:rPr>
        <w:t>加强部门间协调配合和联动，提高政府综合应急实战能力</w:t>
      </w:r>
      <w:r>
        <w:rPr>
          <w:spacing w:val="-23"/>
          <w:sz w:val="28"/>
          <w:szCs w:val="28"/>
        </w:rPr>
        <w:tab/>
      </w:r>
      <w:r>
        <w:rPr>
          <w:spacing w:val="-23"/>
          <w:sz w:val="28"/>
          <w:szCs w:val="28"/>
        </w:rPr>
        <w:fldChar w:fldCharType="begin"/>
      </w:r>
      <w:r>
        <w:rPr>
          <w:spacing w:val="-23"/>
          <w:sz w:val="28"/>
          <w:szCs w:val="28"/>
        </w:rPr>
        <w:instrText xml:space="preserve"> PAGEREF _Toc31676 \h </w:instrText>
      </w:r>
      <w:r>
        <w:rPr>
          <w:spacing w:val="-23"/>
          <w:sz w:val="28"/>
          <w:szCs w:val="28"/>
        </w:rPr>
        <w:fldChar w:fldCharType="separate"/>
      </w:r>
      <w:r>
        <w:rPr>
          <w:spacing w:val="-23"/>
          <w:sz w:val="28"/>
          <w:szCs w:val="28"/>
        </w:rPr>
        <w:t>31</w:t>
      </w:r>
      <w:r>
        <w:rPr>
          <w:spacing w:val="-23"/>
          <w:sz w:val="28"/>
          <w:szCs w:val="28"/>
        </w:rPr>
        <w:fldChar w:fldCharType="end"/>
      </w:r>
      <w:r>
        <w:rPr>
          <w:rFonts w:hint="eastAsia" w:ascii="仿宋_GB2312" w:eastAsia="仿宋_GB2312"/>
          <w:spacing w:val="-23"/>
          <w:sz w:val="28"/>
          <w:szCs w:val="28"/>
        </w:rPr>
        <w:fldChar w:fldCharType="end"/>
      </w:r>
    </w:p>
    <w:p>
      <w:pPr>
        <w:pStyle w:val="6"/>
        <w:tabs>
          <w:tab w:val="right" w:leader="dot" w:pos="8306"/>
        </w:tabs>
        <w:rPr>
          <w:spacing w:val="-23"/>
          <w:sz w:val="28"/>
          <w:szCs w:val="28"/>
        </w:rPr>
      </w:pPr>
      <w:r>
        <w:rPr>
          <w:rFonts w:hint="eastAsia" w:ascii="仿宋_GB2312" w:eastAsia="仿宋_GB2312"/>
          <w:spacing w:val="-23"/>
          <w:sz w:val="28"/>
          <w:szCs w:val="28"/>
        </w:rPr>
        <w:fldChar w:fldCharType="begin"/>
      </w:r>
      <w:r>
        <w:rPr>
          <w:rFonts w:hint="eastAsia" w:ascii="仿宋_GB2312" w:eastAsia="仿宋_GB2312"/>
          <w:spacing w:val="-23"/>
          <w:sz w:val="28"/>
          <w:szCs w:val="28"/>
        </w:rPr>
        <w:instrText xml:space="preserve"> HYPERLINK \l _Toc3343 </w:instrText>
      </w:r>
      <w:r>
        <w:rPr>
          <w:rFonts w:hint="eastAsia" w:ascii="仿宋_GB2312" w:eastAsia="仿宋_GB2312"/>
          <w:spacing w:val="-23"/>
          <w:sz w:val="28"/>
          <w:szCs w:val="28"/>
        </w:rPr>
        <w:fldChar w:fldCharType="separate"/>
      </w:r>
      <w:r>
        <w:rPr>
          <w:rFonts w:hint="eastAsia" w:ascii="仿宋_GB2312" w:eastAsia="仿宋_GB2312" w:cstheme="minorBidi"/>
          <w:bCs/>
          <w:spacing w:val="-23"/>
          <w:kern w:val="2"/>
          <w:sz w:val="28"/>
          <w:szCs w:val="28"/>
          <w:highlight w:val="none"/>
          <w:lang w:val="en-US" w:eastAsia="zh-CN" w:bidi="ar-SA"/>
        </w:rPr>
        <w:t>4.</w:t>
      </w:r>
      <w:r>
        <w:rPr>
          <w:rFonts w:hint="eastAsia" w:ascii="仿宋_GB2312" w:eastAsia="仿宋_GB2312" w:hAnsiTheme="minorHAnsi" w:cstheme="minorBidi"/>
          <w:bCs/>
          <w:spacing w:val="-23"/>
          <w:kern w:val="2"/>
          <w:sz w:val="28"/>
          <w:szCs w:val="28"/>
          <w:highlight w:val="none"/>
          <w:lang w:val="en-US" w:eastAsia="zh-CN" w:bidi="ar-SA"/>
        </w:rPr>
        <w:t>全面落实自然灾害风险普查，建立风险清单完善管控措施</w:t>
      </w:r>
      <w:r>
        <w:rPr>
          <w:spacing w:val="-23"/>
          <w:sz w:val="28"/>
          <w:szCs w:val="28"/>
        </w:rPr>
        <w:tab/>
      </w:r>
      <w:r>
        <w:rPr>
          <w:spacing w:val="-23"/>
          <w:sz w:val="28"/>
          <w:szCs w:val="28"/>
        </w:rPr>
        <w:fldChar w:fldCharType="begin"/>
      </w:r>
      <w:r>
        <w:rPr>
          <w:spacing w:val="-23"/>
          <w:sz w:val="28"/>
          <w:szCs w:val="28"/>
        </w:rPr>
        <w:instrText xml:space="preserve"> PAGEREF _Toc3343 \h </w:instrText>
      </w:r>
      <w:r>
        <w:rPr>
          <w:spacing w:val="-23"/>
          <w:sz w:val="28"/>
          <w:szCs w:val="28"/>
        </w:rPr>
        <w:fldChar w:fldCharType="separate"/>
      </w:r>
      <w:r>
        <w:rPr>
          <w:spacing w:val="-23"/>
          <w:sz w:val="28"/>
          <w:szCs w:val="28"/>
        </w:rPr>
        <w:t>31</w:t>
      </w:r>
      <w:r>
        <w:rPr>
          <w:spacing w:val="-23"/>
          <w:sz w:val="28"/>
          <w:szCs w:val="28"/>
        </w:rPr>
        <w:fldChar w:fldCharType="end"/>
      </w:r>
      <w:r>
        <w:rPr>
          <w:rFonts w:hint="eastAsia" w:ascii="仿宋_GB2312" w:eastAsia="仿宋_GB2312"/>
          <w:spacing w:val="-23"/>
          <w:sz w:val="28"/>
          <w:szCs w:val="28"/>
        </w:rPr>
        <w:fldChar w:fldCharType="end"/>
      </w:r>
    </w:p>
    <w:p>
      <w:pPr>
        <w:pStyle w:val="6"/>
        <w:tabs>
          <w:tab w:val="right" w:leader="dot" w:pos="8306"/>
        </w:tabs>
        <w:rPr>
          <w:spacing w:val="-23"/>
          <w:sz w:val="28"/>
          <w:szCs w:val="28"/>
        </w:rPr>
      </w:pPr>
      <w:r>
        <w:rPr>
          <w:rFonts w:hint="eastAsia" w:ascii="仿宋_GB2312" w:eastAsia="仿宋_GB2312"/>
          <w:spacing w:val="-23"/>
          <w:sz w:val="28"/>
          <w:szCs w:val="28"/>
        </w:rPr>
        <w:fldChar w:fldCharType="begin"/>
      </w:r>
      <w:r>
        <w:rPr>
          <w:rFonts w:hint="eastAsia" w:ascii="仿宋_GB2312" w:eastAsia="仿宋_GB2312"/>
          <w:spacing w:val="-23"/>
          <w:sz w:val="28"/>
          <w:szCs w:val="28"/>
        </w:rPr>
        <w:instrText xml:space="preserve"> HYPERLINK \l _Toc5054 </w:instrText>
      </w:r>
      <w:r>
        <w:rPr>
          <w:rFonts w:hint="eastAsia" w:ascii="仿宋_GB2312" w:eastAsia="仿宋_GB2312"/>
          <w:spacing w:val="-23"/>
          <w:sz w:val="28"/>
          <w:szCs w:val="28"/>
        </w:rPr>
        <w:fldChar w:fldCharType="separate"/>
      </w:r>
      <w:r>
        <w:rPr>
          <w:rFonts w:hint="eastAsia" w:ascii="仿宋_GB2312" w:eastAsia="仿宋_GB2312" w:cstheme="minorBidi"/>
          <w:bCs/>
          <w:spacing w:val="-23"/>
          <w:kern w:val="2"/>
          <w:sz w:val="28"/>
          <w:szCs w:val="28"/>
          <w:highlight w:val="none"/>
          <w:lang w:val="en-US" w:eastAsia="zh-CN" w:bidi="ar-SA"/>
        </w:rPr>
        <w:t>5.</w:t>
      </w:r>
      <w:r>
        <w:rPr>
          <w:rFonts w:hint="eastAsia" w:ascii="仿宋_GB2312" w:eastAsia="仿宋_GB2312" w:hAnsiTheme="minorHAnsi" w:cstheme="minorBidi"/>
          <w:bCs/>
          <w:spacing w:val="-23"/>
          <w:kern w:val="2"/>
          <w:sz w:val="28"/>
          <w:szCs w:val="28"/>
          <w:highlight w:val="none"/>
          <w:lang w:val="en-US" w:eastAsia="zh-CN" w:bidi="ar-SA"/>
        </w:rPr>
        <w:t>建立</w:t>
      </w:r>
      <w:r>
        <w:rPr>
          <w:rFonts w:hint="default" w:ascii="仿宋_GB2312" w:eastAsia="仿宋_GB2312" w:cstheme="minorBidi"/>
          <w:bCs/>
          <w:spacing w:val="-23"/>
          <w:kern w:val="2"/>
          <w:sz w:val="28"/>
          <w:szCs w:val="28"/>
          <w:highlight w:val="none"/>
          <w:lang w:eastAsia="zh-CN" w:bidi="ar-SA"/>
        </w:rPr>
        <w:t>高效便捷</w:t>
      </w:r>
      <w:r>
        <w:rPr>
          <w:rFonts w:hint="eastAsia" w:ascii="仿宋_GB2312" w:eastAsia="仿宋_GB2312" w:hAnsiTheme="minorHAnsi" w:cstheme="minorBidi"/>
          <w:bCs/>
          <w:spacing w:val="-23"/>
          <w:kern w:val="2"/>
          <w:sz w:val="28"/>
          <w:szCs w:val="28"/>
          <w:highlight w:val="none"/>
          <w:lang w:val="en-US" w:eastAsia="zh-CN" w:bidi="ar-SA"/>
        </w:rPr>
        <w:t>信息发布渠道，提高灾情险情预警预报能力</w:t>
      </w:r>
      <w:r>
        <w:rPr>
          <w:spacing w:val="-23"/>
          <w:sz w:val="28"/>
          <w:szCs w:val="28"/>
        </w:rPr>
        <w:tab/>
      </w:r>
      <w:r>
        <w:rPr>
          <w:spacing w:val="-23"/>
          <w:sz w:val="28"/>
          <w:szCs w:val="28"/>
        </w:rPr>
        <w:fldChar w:fldCharType="begin"/>
      </w:r>
      <w:r>
        <w:rPr>
          <w:spacing w:val="-23"/>
          <w:sz w:val="28"/>
          <w:szCs w:val="28"/>
        </w:rPr>
        <w:instrText xml:space="preserve"> PAGEREF _Toc5054 \h </w:instrText>
      </w:r>
      <w:r>
        <w:rPr>
          <w:spacing w:val="-23"/>
          <w:sz w:val="28"/>
          <w:szCs w:val="28"/>
        </w:rPr>
        <w:fldChar w:fldCharType="separate"/>
      </w:r>
      <w:r>
        <w:rPr>
          <w:spacing w:val="-23"/>
          <w:sz w:val="28"/>
          <w:szCs w:val="28"/>
        </w:rPr>
        <w:t>32</w:t>
      </w:r>
      <w:r>
        <w:rPr>
          <w:spacing w:val="-23"/>
          <w:sz w:val="28"/>
          <w:szCs w:val="28"/>
        </w:rPr>
        <w:fldChar w:fldCharType="end"/>
      </w:r>
      <w:r>
        <w:rPr>
          <w:rFonts w:hint="eastAsia" w:ascii="仿宋_GB2312" w:eastAsia="仿宋_GB2312"/>
          <w:spacing w:val="-23"/>
          <w:sz w:val="28"/>
          <w:szCs w:val="28"/>
        </w:rPr>
        <w:fldChar w:fldCharType="end"/>
      </w:r>
    </w:p>
    <w:p>
      <w:pPr>
        <w:pStyle w:val="6"/>
        <w:tabs>
          <w:tab w:val="right" w:leader="dot" w:pos="8306"/>
        </w:tabs>
        <w:rPr>
          <w:spacing w:val="-23"/>
          <w:sz w:val="28"/>
          <w:szCs w:val="28"/>
        </w:rPr>
      </w:pPr>
      <w:r>
        <w:rPr>
          <w:rFonts w:hint="eastAsia" w:ascii="仿宋_GB2312" w:eastAsia="仿宋_GB2312"/>
          <w:spacing w:val="-23"/>
          <w:sz w:val="28"/>
          <w:szCs w:val="28"/>
        </w:rPr>
        <w:fldChar w:fldCharType="begin"/>
      </w:r>
      <w:r>
        <w:rPr>
          <w:rFonts w:hint="eastAsia" w:ascii="仿宋_GB2312" w:eastAsia="仿宋_GB2312"/>
          <w:spacing w:val="-23"/>
          <w:sz w:val="28"/>
          <w:szCs w:val="28"/>
        </w:rPr>
        <w:instrText xml:space="preserve"> HYPERLINK \l _Toc1837 </w:instrText>
      </w:r>
      <w:r>
        <w:rPr>
          <w:rFonts w:hint="eastAsia" w:ascii="仿宋_GB2312" w:eastAsia="仿宋_GB2312"/>
          <w:spacing w:val="-23"/>
          <w:sz w:val="28"/>
          <w:szCs w:val="28"/>
        </w:rPr>
        <w:fldChar w:fldCharType="separate"/>
      </w:r>
      <w:r>
        <w:rPr>
          <w:rFonts w:hint="eastAsia" w:ascii="仿宋_GB2312" w:eastAsia="仿宋_GB2312" w:cstheme="minorBidi"/>
          <w:bCs/>
          <w:spacing w:val="-23"/>
          <w:kern w:val="2"/>
          <w:sz w:val="28"/>
          <w:szCs w:val="28"/>
          <w:highlight w:val="none"/>
          <w:lang w:val="en-US" w:eastAsia="zh-CN" w:bidi="ar-SA"/>
        </w:rPr>
        <w:t>6.</w:t>
      </w:r>
      <w:r>
        <w:rPr>
          <w:rFonts w:hint="eastAsia" w:ascii="仿宋_GB2312" w:eastAsia="仿宋_GB2312" w:hAnsiTheme="minorHAnsi" w:cstheme="minorBidi"/>
          <w:bCs/>
          <w:spacing w:val="-23"/>
          <w:kern w:val="2"/>
          <w:sz w:val="28"/>
          <w:szCs w:val="28"/>
          <w:highlight w:val="none"/>
          <w:lang w:val="en-US" w:eastAsia="zh-CN" w:bidi="ar-SA"/>
        </w:rPr>
        <w:t>规范救灾物资资金下拨调运，保证救灾赈灾资源合理有效</w:t>
      </w:r>
      <w:r>
        <w:rPr>
          <w:spacing w:val="-23"/>
          <w:sz w:val="28"/>
          <w:szCs w:val="28"/>
        </w:rPr>
        <w:tab/>
      </w:r>
      <w:r>
        <w:rPr>
          <w:spacing w:val="-23"/>
          <w:sz w:val="28"/>
          <w:szCs w:val="28"/>
        </w:rPr>
        <w:fldChar w:fldCharType="begin"/>
      </w:r>
      <w:r>
        <w:rPr>
          <w:spacing w:val="-23"/>
          <w:sz w:val="28"/>
          <w:szCs w:val="28"/>
        </w:rPr>
        <w:instrText xml:space="preserve"> PAGEREF _Toc1837 \h </w:instrText>
      </w:r>
      <w:r>
        <w:rPr>
          <w:spacing w:val="-23"/>
          <w:sz w:val="28"/>
          <w:szCs w:val="28"/>
        </w:rPr>
        <w:fldChar w:fldCharType="separate"/>
      </w:r>
      <w:r>
        <w:rPr>
          <w:spacing w:val="-23"/>
          <w:sz w:val="28"/>
          <w:szCs w:val="28"/>
        </w:rPr>
        <w:t>32</w:t>
      </w:r>
      <w:r>
        <w:rPr>
          <w:spacing w:val="-23"/>
          <w:sz w:val="28"/>
          <w:szCs w:val="28"/>
        </w:rPr>
        <w:fldChar w:fldCharType="end"/>
      </w:r>
      <w:r>
        <w:rPr>
          <w:rFonts w:hint="eastAsia" w:ascii="仿宋_GB2312" w:eastAsia="仿宋_GB2312"/>
          <w:spacing w:val="-23"/>
          <w:sz w:val="28"/>
          <w:szCs w:val="28"/>
        </w:rPr>
        <w:fldChar w:fldCharType="end"/>
      </w:r>
    </w:p>
    <w:p>
      <w:pPr>
        <w:pStyle w:val="6"/>
        <w:tabs>
          <w:tab w:val="right" w:leader="dot" w:pos="8306"/>
        </w:tabs>
        <w:rPr>
          <w:sz w:val="28"/>
          <w:szCs w:val="28"/>
        </w:rPr>
      </w:pPr>
      <w:r>
        <w:rPr>
          <w:rFonts w:hint="eastAsia" w:ascii="仿宋_GB2312" w:eastAsia="仿宋_GB2312"/>
          <w:spacing w:val="-23"/>
          <w:sz w:val="28"/>
          <w:szCs w:val="28"/>
        </w:rPr>
        <w:fldChar w:fldCharType="begin"/>
      </w:r>
      <w:r>
        <w:rPr>
          <w:rFonts w:hint="eastAsia" w:ascii="仿宋_GB2312" w:eastAsia="仿宋_GB2312"/>
          <w:spacing w:val="-23"/>
          <w:sz w:val="28"/>
          <w:szCs w:val="28"/>
        </w:rPr>
        <w:instrText xml:space="preserve"> HYPERLINK \l _Toc12319 </w:instrText>
      </w:r>
      <w:r>
        <w:rPr>
          <w:rFonts w:hint="eastAsia" w:ascii="仿宋_GB2312" w:eastAsia="仿宋_GB2312"/>
          <w:spacing w:val="-23"/>
          <w:sz w:val="28"/>
          <w:szCs w:val="28"/>
        </w:rPr>
        <w:fldChar w:fldCharType="separate"/>
      </w:r>
      <w:r>
        <w:rPr>
          <w:rFonts w:hint="eastAsia" w:ascii="仿宋_GB2312" w:eastAsia="仿宋_GB2312" w:cstheme="minorBidi"/>
          <w:bCs/>
          <w:spacing w:val="-23"/>
          <w:kern w:val="2"/>
          <w:sz w:val="28"/>
          <w:szCs w:val="28"/>
          <w:highlight w:val="none"/>
          <w:lang w:val="en-US" w:eastAsia="zh-CN" w:bidi="ar-SA"/>
        </w:rPr>
        <w:t>7.</w:t>
      </w:r>
      <w:r>
        <w:rPr>
          <w:rFonts w:hint="eastAsia" w:ascii="仿宋_GB2312" w:eastAsia="仿宋_GB2312" w:hAnsiTheme="minorHAnsi" w:cstheme="minorBidi"/>
          <w:bCs/>
          <w:spacing w:val="-23"/>
          <w:kern w:val="2"/>
          <w:sz w:val="28"/>
          <w:szCs w:val="28"/>
          <w:highlight w:val="none"/>
          <w:lang w:val="en-US" w:eastAsia="zh-CN" w:bidi="ar-SA"/>
        </w:rPr>
        <w:t>大力提高社会公众风险意识，筑牢防灾减灾救灾人民防线</w:t>
      </w:r>
      <w:r>
        <w:rPr>
          <w:spacing w:val="-23"/>
          <w:sz w:val="28"/>
          <w:szCs w:val="28"/>
        </w:rPr>
        <w:tab/>
      </w:r>
      <w:r>
        <w:rPr>
          <w:spacing w:val="-23"/>
          <w:sz w:val="28"/>
          <w:szCs w:val="28"/>
        </w:rPr>
        <w:fldChar w:fldCharType="begin"/>
      </w:r>
      <w:r>
        <w:rPr>
          <w:spacing w:val="-23"/>
          <w:sz w:val="28"/>
          <w:szCs w:val="28"/>
        </w:rPr>
        <w:instrText xml:space="preserve"> PAGEREF _Toc12319 \h </w:instrText>
      </w:r>
      <w:r>
        <w:rPr>
          <w:spacing w:val="-23"/>
          <w:sz w:val="28"/>
          <w:szCs w:val="28"/>
        </w:rPr>
        <w:fldChar w:fldCharType="separate"/>
      </w:r>
      <w:r>
        <w:rPr>
          <w:spacing w:val="-23"/>
          <w:sz w:val="28"/>
          <w:szCs w:val="28"/>
        </w:rPr>
        <w:t>33</w:t>
      </w:r>
      <w:r>
        <w:rPr>
          <w:spacing w:val="-23"/>
          <w:sz w:val="28"/>
          <w:szCs w:val="28"/>
        </w:rPr>
        <w:fldChar w:fldCharType="end"/>
      </w:r>
      <w:r>
        <w:rPr>
          <w:rFonts w:hint="eastAsia" w:ascii="仿宋_GB2312" w:eastAsia="仿宋_GB2312"/>
          <w:spacing w:val="-23"/>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_Toc7802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（四）大力提升应急救援能力和水平</w:t>
      </w:r>
      <w:r>
        <w:rPr>
          <w:sz w:val="28"/>
          <w:szCs w:val="28"/>
        </w:rPr>
        <w:tab/>
      </w:r>
      <w:r>
        <w:rPr>
          <w:sz w:val="28"/>
          <w:szCs w:val="28"/>
        </w:rPr>
        <w:fldChar w:fldCharType="begin"/>
      </w:r>
      <w:r>
        <w:rPr>
          <w:sz w:val="28"/>
          <w:szCs w:val="28"/>
        </w:rPr>
        <w:instrText xml:space="preserve"> PAGEREF _Toc7802 \h </w:instrText>
      </w:r>
      <w:r>
        <w:rPr>
          <w:sz w:val="28"/>
          <w:szCs w:val="28"/>
        </w:rPr>
        <w:fldChar w:fldCharType="separate"/>
      </w:r>
      <w:r>
        <w:rPr>
          <w:sz w:val="28"/>
          <w:szCs w:val="28"/>
        </w:rPr>
        <w:t>33</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_Toc32520 </w:instrText>
      </w:r>
      <w:r>
        <w:rPr>
          <w:rFonts w:hint="eastAsia" w:ascii="仿宋_GB2312" w:eastAsia="仿宋_GB2312"/>
          <w:sz w:val="28"/>
          <w:szCs w:val="28"/>
        </w:rPr>
        <w:fldChar w:fldCharType="separate"/>
      </w:r>
      <w:r>
        <w:rPr>
          <w:rFonts w:hint="eastAsia" w:ascii="仿宋_GB2312" w:eastAsia="仿宋_GB2312"/>
          <w:sz w:val="28"/>
          <w:szCs w:val="28"/>
          <w:highlight w:val="none"/>
        </w:rPr>
        <w:t>1.</w:t>
      </w:r>
      <w:r>
        <w:rPr>
          <w:rFonts w:hint="default" w:ascii="仿宋_GB2312" w:eastAsia="仿宋_GB2312"/>
          <w:sz w:val="28"/>
          <w:szCs w:val="28"/>
          <w:highlight w:val="none"/>
        </w:rPr>
        <w:t>完善</w:t>
      </w:r>
      <w:r>
        <w:rPr>
          <w:rFonts w:hint="eastAsia" w:ascii="仿宋_GB2312" w:eastAsia="仿宋_GB2312"/>
          <w:sz w:val="28"/>
          <w:szCs w:val="28"/>
          <w:highlight w:val="none"/>
        </w:rPr>
        <w:t>应急预案</w:t>
      </w:r>
      <w:r>
        <w:rPr>
          <w:rFonts w:hint="default" w:ascii="仿宋_GB2312" w:eastAsia="仿宋_GB2312"/>
          <w:sz w:val="28"/>
          <w:szCs w:val="28"/>
          <w:highlight w:val="none"/>
        </w:rPr>
        <w:t>体系</w:t>
      </w:r>
      <w:r>
        <w:rPr>
          <w:rFonts w:hint="eastAsia" w:ascii="仿宋_GB2312" w:eastAsia="仿宋_GB2312"/>
          <w:sz w:val="28"/>
          <w:szCs w:val="28"/>
          <w:highlight w:val="none"/>
        </w:rPr>
        <w:t>，</w:t>
      </w:r>
      <w:r>
        <w:rPr>
          <w:rFonts w:hint="default" w:ascii="仿宋_GB2312" w:eastAsia="仿宋_GB2312"/>
          <w:sz w:val="28"/>
          <w:szCs w:val="28"/>
          <w:highlight w:val="none"/>
        </w:rPr>
        <w:t>加强</w:t>
      </w:r>
      <w:r>
        <w:rPr>
          <w:rFonts w:hint="eastAsia" w:ascii="仿宋_GB2312" w:eastAsia="仿宋_GB2312"/>
          <w:sz w:val="28"/>
          <w:szCs w:val="28"/>
          <w:highlight w:val="none"/>
        </w:rPr>
        <w:t>应急演练</w:t>
      </w:r>
      <w:r>
        <w:rPr>
          <w:sz w:val="28"/>
          <w:szCs w:val="28"/>
        </w:rPr>
        <w:tab/>
      </w:r>
      <w:r>
        <w:rPr>
          <w:sz w:val="28"/>
          <w:szCs w:val="28"/>
        </w:rPr>
        <w:fldChar w:fldCharType="begin"/>
      </w:r>
      <w:r>
        <w:rPr>
          <w:sz w:val="28"/>
          <w:szCs w:val="28"/>
        </w:rPr>
        <w:instrText xml:space="preserve"> PAGEREF _Toc32520 \h </w:instrText>
      </w:r>
      <w:r>
        <w:rPr>
          <w:sz w:val="28"/>
          <w:szCs w:val="28"/>
        </w:rPr>
        <w:fldChar w:fldCharType="separate"/>
      </w:r>
      <w:r>
        <w:rPr>
          <w:sz w:val="28"/>
          <w:szCs w:val="28"/>
        </w:rPr>
        <w:t>33</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_Toc25838 </w:instrText>
      </w:r>
      <w:r>
        <w:rPr>
          <w:rFonts w:hint="eastAsia" w:ascii="仿宋_GB2312" w:eastAsia="仿宋_GB2312"/>
          <w:sz w:val="28"/>
          <w:szCs w:val="28"/>
        </w:rPr>
        <w:fldChar w:fldCharType="separate"/>
      </w:r>
      <w:r>
        <w:rPr>
          <w:rFonts w:hint="eastAsia" w:ascii="仿宋_GB2312" w:eastAsia="仿宋_GB2312"/>
          <w:sz w:val="28"/>
          <w:szCs w:val="28"/>
          <w:highlight w:val="none"/>
        </w:rPr>
        <w:t>2.</w:t>
      </w:r>
      <w:r>
        <w:rPr>
          <w:rFonts w:hint="default" w:ascii="仿宋_GB2312" w:eastAsia="仿宋_GB2312"/>
          <w:sz w:val="28"/>
          <w:szCs w:val="28"/>
          <w:highlight w:val="none"/>
        </w:rPr>
        <w:t>清查</w:t>
      </w:r>
      <w:r>
        <w:rPr>
          <w:rFonts w:hint="eastAsia" w:ascii="仿宋_GB2312" w:eastAsia="仿宋_GB2312"/>
          <w:sz w:val="28"/>
          <w:szCs w:val="28"/>
          <w:highlight w:val="none"/>
        </w:rPr>
        <w:t>应急物资</w:t>
      </w:r>
      <w:r>
        <w:rPr>
          <w:rFonts w:hint="default" w:ascii="仿宋_GB2312" w:eastAsia="仿宋_GB2312"/>
          <w:sz w:val="28"/>
          <w:szCs w:val="28"/>
          <w:highlight w:val="none"/>
        </w:rPr>
        <w:t>储备</w:t>
      </w:r>
      <w:r>
        <w:rPr>
          <w:rFonts w:hint="eastAsia" w:ascii="仿宋_GB2312" w:eastAsia="仿宋_GB2312"/>
          <w:sz w:val="28"/>
          <w:szCs w:val="28"/>
          <w:highlight w:val="none"/>
        </w:rPr>
        <w:t>，完善配送体系</w:t>
      </w:r>
      <w:r>
        <w:rPr>
          <w:sz w:val="28"/>
          <w:szCs w:val="28"/>
        </w:rPr>
        <w:tab/>
      </w:r>
      <w:r>
        <w:rPr>
          <w:sz w:val="28"/>
          <w:szCs w:val="28"/>
        </w:rPr>
        <w:fldChar w:fldCharType="begin"/>
      </w:r>
      <w:r>
        <w:rPr>
          <w:sz w:val="28"/>
          <w:szCs w:val="28"/>
        </w:rPr>
        <w:instrText xml:space="preserve"> PAGEREF _Toc25838 \h </w:instrText>
      </w:r>
      <w:r>
        <w:rPr>
          <w:sz w:val="28"/>
          <w:szCs w:val="28"/>
        </w:rPr>
        <w:fldChar w:fldCharType="separate"/>
      </w:r>
      <w:r>
        <w:rPr>
          <w:sz w:val="28"/>
          <w:szCs w:val="28"/>
        </w:rPr>
        <w:t>34</w:t>
      </w:r>
      <w:r>
        <w:rPr>
          <w:sz w:val="28"/>
          <w:szCs w:val="28"/>
        </w:rPr>
        <w:fldChar w:fldCharType="end"/>
      </w:r>
      <w:r>
        <w:rPr>
          <w:rFonts w:hint="eastAsia" w:ascii="仿宋_GB2312" w:eastAsia="仿宋_GB2312"/>
          <w:sz w:val="28"/>
          <w:szCs w:val="28"/>
        </w:rPr>
        <w:fldChar w:fldCharType="end"/>
      </w:r>
    </w:p>
    <w:p>
      <w:pPr>
        <w:pStyle w:val="6"/>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_Toc15673 </w:instrText>
      </w:r>
      <w:r>
        <w:rPr>
          <w:rFonts w:hint="eastAsia" w:ascii="仿宋_GB2312" w:eastAsia="仿宋_GB2312"/>
          <w:sz w:val="28"/>
          <w:szCs w:val="28"/>
        </w:rPr>
        <w:fldChar w:fldCharType="separate"/>
      </w:r>
      <w:r>
        <w:rPr>
          <w:rFonts w:hint="eastAsia" w:ascii="仿宋_GB2312" w:eastAsia="仿宋_GB2312"/>
          <w:sz w:val="28"/>
          <w:szCs w:val="28"/>
          <w:highlight w:val="none"/>
        </w:rPr>
        <w:t>3.加强</w:t>
      </w:r>
      <w:r>
        <w:rPr>
          <w:rFonts w:hint="default" w:ascii="仿宋_GB2312" w:eastAsia="仿宋_GB2312"/>
          <w:sz w:val="28"/>
          <w:szCs w:val="28"/>
          <w:highlight w:val="none"/>
        </w:rPr>
        <w:t>应急</w:t>
      </w:r>
      <w:r>
        <w:rPr>
          <w:rFonts w:hint="eastAsia" w:ascii="仿宋_GB2312" w:eastAsia="仿宋_GB2312"/>
          <w:sz w:val="28"/>
          <w:szCs w:val="28"/>
          <w:highlight w:val="none"/>
        </w:rPr>
        <w:t>队伍建设，提升</w:t>
      </w:r>
      <w:r>
        <w:rPr>
          <w:rFonts w:hint="default" w:ascii="仿宋_GB2312" w:eastAsia="仿宋_GB2312"/>
          <w:sz w:val="28"/>
          <w:szCs w:val="28"/>
          <w:highlight w:val="none"/>
        </w:rPr>
        <w:t>救援</w:t>
      </w:r>
      <w:r>
        <w:rPr>
          <w:rFonts w:hint="eastAsia" w:ascii="仿宋_GB2312" w:eastAsia="仿宋_GB2312"/>
          <w:sz w:val="28"/>
          <w:szCs w:val="28"/>
          <w:highlight w:val="none"/>
        </w:rPr>
        <w:t>能力</w:t>
      </w:r>
      <w:r>
        <w:rPr>
          <w:sz w:val="28"/>
          <w:szCs w:val="28"/>
        </w:rPr>
        <w:tab/>
      </w:r>
      <w:r>
        <w:rPr>
          <w:sz w:val="28"/>
          <w:szCs w:val="28"/>
        </w:rPr>
        <w:fldChar w:fldCharType="begin"/>
      </w:r>
      <w:r>
        <w:rPr>
          <w:sz w:val="28"/>
          <w:szCs w:val="28"/>
        </w:rPr>
        <w:instrText xml:space="preserve"> PAGEREF _Toc15673 \h </w:instrText>
      </w:r>
      <w:r>
        <w:rPr>
          <w:sz w:val="28"/>
          <w:szCs w:val="28"/>
        </w:rPr>
        <w:fldChar w:fldCharType="separate"/>
      </w:r>
      <w:r>
        <w:rPr>
          <w:sz w:val="28"/>
          <w:szCs w:val="28"/>
        </w:rPr>
        <w:t>35</w:t>
      </w:r>
      <w:r>
        <w:rPr>
          <w:sz w:val="28"/>
          <w:szCs w:val="28"/>
        </w:rPr>
        <w:fldChar w:fldCharType="end"/>
      </w:r>
      <w:r>
        <w:rPr>
          <w:rFonts w:hint="eastAsia" w:ascii="仿宋_GB2312" w:eastAsia="仿宋_GB2312"/>
          <w:sz w:val="28"/>
          <w:szCs w:val="28"/>
        </w:rPr>
        <w:fldChar w:fldCharType="end"/>
      </w:r>
    </w:p>
    <w:p>
      <w:pPr>
        <w:pStyle w:val="9"/>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_Toc29772 </w:instrText>
      </w:r>
      <w:r>
        <w:rPr>
          <w:rFonts w:hint="eastAsia" w:ascii="仿宋_GB2312" w:eastAsia="仿宋_GB2312"/>
          <w:sz w:val="28"/>
          <w:szCs w:val="28"/>
        </w:rPr>
        <w:fldChar w:fldCharType="separate"/>
      </w:r>
      <w:r>
        <w:rPr>
          <w:rFonts w:hint="eastAsia" w:ascii="黑体" w:hAnsi="黑体" w:eastAsia="黑体" w:cs="仿宋_GB2312"/>
          <w:kern w:val="0"/>
          <w:sz w:val="28"/>
          <w:szCs w:val="28"/>
          <w:highlight w:val="none"/>
        </w:rPr>
        <w:t>五、重点建设项目</w:t>
      </w:r>
      <w:r>
        <w:rPr>
          <w:sz w:val="28"/>
          <w:szCs w:val="28"/>
        </w:rPr>
        <w:tab/>
      </w:r>
      <w:r>
        <w:rPr>
          <w:sz w:val="28"/>
          <w:szCs w:val="28"/>
        </w:rPr>
        <w:fldChar w:fldCharType="begin"/>
      </w:r>
      <w:r>
        <w:rPr>
          <w:sz w:val="28"/>
          <w:szCs w:val="28"/>
        </w:rPr>
        <w:instrText xml:space="preserve"> PAGEREF _Toc29772 \h </w:instrText>
      </w:r>
      <w:r>
        <w:rPr>
          <w:sz w:val="28"/>
          <w:szCs w:val="28"/>
        </w:rPr>
        <w:fldChar w:fldCharType="separate"/>
      </w:r>
      <w:r>
        <w:rPr>
          <w:sz w:val="28"/>
          <w:szCs w:val="28"/>
        </w:rPr>
        <w:t>36</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_Toc13672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（一）</w:t>
      </w:r>
      <w:r>
        <w:rPr>
          <w:rFonts w:hint="eastAsia" w:ascii="楷体_GB2312" w:eastAsia="楷体_GB2312"/>
          <w:bCs w:val="0"/>
          <w:sz w:val="28"/>
          <w:szCs w:val="28"/>
          <w:highlight w:val="none"/>
          <w:lang w:eastAsia="zh-CN"/>
        </w:rPr>
        <w:t>望城区</w:t>
      </w:r>
      <w:r>
        <w:rPr>
          <w:rFonts w:hint="eastAsia" w:ascii="楷体_GB2312" w:eastAsia="楷体_GB2312"/>
          <w:bCs w:val="0"/>
          <w:sz w:val="28"/>
          <w:szCs w:val="28"/>
          <w:highlight w:val="none"/>
        </w:rPr>
        <w:t>应急管理综合应用平台建设</w:t>
      </w:r>
      <w:r>
        <w:rPr>
          <w:sz w:val="28"/>
          <w:szCs w:val="28"/>
        </w:rPr>
        <w:tab/>
      </w:r>
      <w:r>
        <w:rPr>
          <w:sz w:val="28"/>
          <w:szCs w:val="28"/>
        </w:rPr>
        <w:fldChar w:fldCharType="begin"/>
      </w:r>
      <w:r>
        <w:rPr>
          <w:sz w:val="28"/>
          <w:szCs w:val="28"/>
        </w:rPr>
        <w:instrText xml:space="preserve"> PAGEREF _Toc13672 \h </w:instrText>
      </w:r>
      <w:r>
        <w:rPr>
          <w:sz w:val="28"/>
          <w:szCs w:val="28"/>
        </w:rPr>
        <w:fldChar w:fldCharType="separate"/>
      </w:r>
      <w:r>
        <w:rPr>
          <w:sz w:val="28"/>
          <w:szCs w:val="28"/>
        </w:rPr>
        <w:t>36</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_Toc3207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（二）</w:t>
      </w:r>
      <w:r>
        <w:rPr>
          <w:rFonts w:hint="eastAsia" w:ascii="楷体_GB2312" w:eastAsia="楷体_GB2312"/>
          <w:bCs w:val="0"/>
          <w:sz w:val="28"/>
          <w:szCs w:val="28"/>
          <w:highlight w:val="none"/>
          <w:lang w:eastAsia="zh-CN"/>
        </w:rPr>
        <w:t>望城区</w:t>
      </w:r>
      <w:r>
        <w:rPr>
          <w:rFonts w:hint="eastAsia" w:ascii="楷体_GB2312" w:eastAsia="楷体_GB2312"/>
          <w:bCs w:val="0"/>
          <w:sz w:val="28"/>
          <w:szCs w:val="28"/>
          <w:highlight w:val="none"/>
        </w:rPr>
        <w:t>危险品生产储运销售网络布局</w:t>
      </w:r>
      <w:r>
        <w:rPr>
          <w:sz w:val="28"/>
          <w:szCs w:val="28"/>
        </w:rPr>
        <w:tab/>
      </w:r>
      <w:r>
        <w:rPr>
          <w:sz w:val="28"/>
          <w:szCs w:val="28"/>
        </w:rPr>
        <w:fldChar w:fldCharType="begin"/>
      </w:r>
      <w:r>
        <w:rPr>
          <w:sz w:val="28"/>
          <w:szCs w:val="28"/>
        </w:rPr>
        <w:instrText xml:space="preserve"> PAGEREF _Toc3207 \h </w:instrText>
      </w:r>
      <w:r>
        <w:rPr>
          <w:sz w:val="28"/>
          <w:szCs w:val="28"/>
        </w:rPr>
        <w:fldChar w:fldCharType="separate"/>
      </w:r>
      <w:r>
        <w:rPr>
          <w:sz w:val="28"/>
          <w:szCs w:val="28"/>
        </w:rPr>
        <w:t>36</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_Toc3972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w:t>
      </w:r>
      <w:r>
        <w:rPr>
          <w:rFonts w:hint="eastAsia" w:ascii="楷体_GB2312" w:eastAsia="楷体_GB2312"/>
          <w:bCs w:val="0"/>
          <w:sz w:val="28"/>
          <w:szCs w:val="28"/>
          <w:highlight w:val="none"/>
          <w:lang w:val="en-US" w:eastAsia="zh-CN"/>
        </w:rPr>
        <w:t>三</w:t>
      </w:r>
      <w:r>
        <w:rPr>
          <w:rFonts w:hint="eastAsia" w:ascii="楷体_GB2312" w:eastAsia="楷体_GB2312"/>
          <w:bCs w:val="0"/>
          <w:sz w:val="28"/>
          <w:szCs w:val="28"/>
          <w:highlight w:val="none"/>
        </w:rPr>
        <w:t>）长沙市应急救援基地</w:t>
      </w:r>
      <w:r>
        <w:rPr>
          <w:sz w:val="28"/>
          <w:szCs w:val="28"/>
        </w:rPr>
        <w:tab/>
      </w:r>
      <w:r>
        <w:rPr>
          <w:sz w:val="28"/>
          <w:szCs w:val="28"/>
        </w:rPr>
        <w:fldChar w:fldCharType="begin"/>
      </w:r>
      <w:r>
        <w:rPr>
          <w:sz w:val="28"/>
          <w:szCs w:val="28"/>
        </w:rPr>
        <w:instrText xml:space="preserve"> PAGEREF _Toc3972 \h </w:instrText>
      </w:r>
      <w:r>
        <w:rPr>
          <w:sz w:val="28"/>
          <w:szCs w:val="28"/>
        </w:rPr>
        <w:fldChar w:fldCharType="separate"/>
      </w:r>
      <w:r>
        <w:rPr>
          <w:sz w:val="28"/>
          <w:szCs w:val="28"/>
        </w:rPr>
        <w:t>38</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_Toc9841 </w:instrText>
      </w:r>
      <w:r>
        <w:rPr>
          <w:rFonts w:hint="eastAsia" w:ascii="仿宋_GB2312" w:eastAsia="仿宋_GB2312"/>
          <w:sz w:val="28"/>
          <w:szCs w:val="28"/>
        </w:rPr>
        <w:fldChar w:fldCharType="separate"/>
      </w:r>
      <w:r>
        <w:rPr>
          <w:rFonts w:hint="eastAsia" w:ascii="楷体_GB2312" w:eastAsia="楷体_GB2312"/>
          <w:bCs w:val="0"/>
          <w:sz w:val="28"/>
          <w:szCs w:val="28"/>
          <w:highlight w:val="none"/>
        </w:rPr>
        <w:t>（</w:t>
      </w:r>
      <w:r>
        <w:rPr>
          <w:rFonts w:hint="eastAsia" w:ascii="楷体_GB2312" w:eastAsia="楷体_GB2312"/>
          <w:bCs w:val="0"/>
          <w:sz w:val="28"/>
          <w:szCs w:val="28"/>
          <w:highlight w:val="none"/>
          <w:lang w:val="en-US" w:eastAsia="zh-CN"/>
        </w:rPr>
        <w:t>四</w:t>
      </w:r>
      <w:r>
        <w:rPr>
          <w:rFonts w:hint="eastAsia" w:ascii="楷体_GB2312" w:eastAsia="楷体_GB2312"/>
          <w:bCs w:val="0"/>
          <w:sz w:val="28"/>
          <w:szCs w:val="28"/>
          <w:highlight w:val="none"/>
        </w:rPr>
        <w:t>）应急避难场所建设</w:t>
      </w:r>
      <w:r>
        <w:rPr>
          <w:sz w:val="28"/>
          <w:szCs w:val="28"/>
        </w:rPr>
        <w:tab/>
      </w:r>
      <w:r>
        <w:rPr>
          <w:sz w:val="28"/>
          <w:szCs w:val="28"/>
        </w:rPr>
        <w:fldChar w:fldCharType="begin"/>
      </w:r>
      <w:r>
        <w:rPr>
          <w:sz w:val="28"/>
          <w:szCs w:val="28"/>
        </w:rPr>
        <w:instrText xml:space="preserve"> PAGEREF _Toc9841 \h </w:instrText>
      </w:r>
      <w:r>
        <w:rPr>
          <w:sz w:val="28"/>
          <w:szCs w:val="28"/>
        </w:rPr>
        <w:fldChar w:fldCharType="separate"/>
      </w:r>
      <w:r>
        <w:rPr>
          <w:sz w:val="28"/>
          <w:szCs w:val="28"/>
        </w:rPr>
        <w:t>38</w:t>
      </w:r>
      <w:r>
        <w:rPr>
          <w:sz w:val="28"/>
          <w:szCs w:val="28"/>
        </w:rPr>
        <w:fldChar w:fldCharType="end"/>
      </w:r>
      <w:r>
        <w:rPr>
          <w:rFonts w:hint="eastAsia" w:ascii="仿宋_GB2312" w:eastAsia="仿宋_GB2312"/>
          <w:sz w:val="28"/>
          <w:szCs w:val="28"/>
        </w:rPr>
        <w:fldChar w:fldCharType="end"/>
      </w:r>
    </w:p>
    <w:p>
      <w:pPr>
        <w:pStyle w:val="9"/>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_Toc5934 </w:instrText>
      </w:r>
      <w:r>
        <w:rPr>
          <w:rFonts w:hint="eastAsia" w:ascii="仿宋_GB2312" w:eastAsia="仿宋_GB2312"/>
          <w:sz w:val="28"/>
          <w:szCs w:val="28"/>
        </w:rPr>
        <w:fldChar w:fldCharType="separate"/>
      </w:r>
      <w:r>
        <w:rPr>
          <w:rFonts w:hint="eastAsia" w:ascii="黑体" w:hAnsi="黑体" w:eastAsia="黑体" w:cs="仿宋_GB2312"/>
          <w:kern w:val="0"/>
          <w:sz w:val="28"/>
          <w:szCs w:val="28"/>
          <w:highlight w:val="none"/>
        </w:rPr>
        <w:t>六、保障措施</w:t>
      </w:r>
      <w:r>
        <w:rPr>
          <w:sz w:val="28"/>
          <w:szCs w:val="28"/>
        </w:rPr>
        <w:tab/>
      </w:r>
      <w:r>
        <w:rPr>
          <w:sz w:val="28"/>
          <w:szCs w:val="28"/>
        </w:rPr>
        <w:fldChar w:fldCharType="begin"/>
      </w:r>
      <w:r>
        <w:rPr>
          <w:sz w:val="28"/>
          <w:szCs w:val="28"/>
        </w:rPr>
        <w:instrText xml:space="preserve"> PAGEREF _Toc5934 \h </w:instrText>
      </w:r>
      <w:r>
        <w:rPr>
          <w:sz w:val="28"/>
          <w:szCs w:val="28"/>
        </w:rPr>
        <w:fldChar w:fldCharType="separate"/>
      </w:r>
      <w:r>
        <w:rPr>
          <w:sz w:val="28"/>
          <w:szCs w:val="28"/>
        </w:rPr>
        <w:t>39</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_Toc9432 </w:instrText>
      </w:r>
      <w:r>
        <w:rPr>
          <w:rFonts w:hint="eastAsia" w:ascii="仿宋_GB2312" w:eastAsia="仿宋_GB2312"/>
          <w:sz w:val="28"/>
          <w:szCs w:val="28"/>
        </w:rPr>
        <w:fldChar w:fldCharType="separate"/>
      </w:r>
      <w:r>
        <w:rPr>
          <w:rFonts w:hint="eastAsia" w:ascii="楷体_GB2312" w:hAnsi="仿宋" w:eastAsia="楷体_GB2312"/>
          <w:bCs w:val="0"/>
          <w:sz w:val="28"/>
          <w:szCs w:val="28"/>
          <w:highlight w:val="none"/>
        </w:rPr>
        <w:t>（一）加强组织领导</w:t>
      </w:r>
      <w:r>
        <w:rPr>
          <w:sz w:val="28"/>
          <w:szCs w:val="28"/>
        </w:rPr>
        <w:tab/>
      </w:r>
      <w:r>
        <w:rPr>
          <w:sz w:val="28"/>
          <w:szCs w:val="28"/>
        </w:rPr>
        <w:fldChar w:fldCharType="begin"/>
      </w:r>
      <w:r>
        <w:rPr>
          <w:sz w:val="28"/>
          <w:szCs w:val="28"/>
        </w:rPr>
        <w:instrText xml:space="preserve"> PAGEREF _Toc9432 \h </w:instrText>
      </w:r>
      <w:r>
        <w:rPr>
          <w:sz w:val="28"/>
          <w:szCs w:val="28"/>
        </w:rPr>
        <w:fldChar w:fldCharType="separate"/>
      </w:r>
      <w:r>
        <w:rPr>
          <w:sz w:val="28"/>
          <w:szCs w:val="28"/>
        </w:rPr>
        <w:t>39</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_Toc6891 </w:instrText>
      </w:r>
      <w:r>
        <w:rPr>
          <w:rFonts w:hint="eastAsia" w:ascii="仿宋_GB2312" w:eastAsia="仿宋_GB2312"/>
          <w:sz w:val="28"/>
          <w:szCs w:val="28"/>
        </w:rPr>
        <w:fldChar w:fldCharType="separate"/>
      </w:r>
      <w:r>
        <w:rPr>
          <w:rFonts w:hint="eastAsia" w:ascii="楷体_GB2312" w:hAnsi="仿宋" w:eastAsia="楷体_GB2312"/>
          <w:bCs w:val="0"/>
          <w:sz w:val="28"/>
          <w:szCs w:val="28"/>
          <w:highlight w:val="none"/>
        </w:rPr>
        <w:t>（二）保证资金投入</w:t>
      </w:r>
      <w:r>
        <w:rPr>
          <w:sz w:val="28"/>
          <w:szCs w:val="28"/>
        </w:rPr>
        <w:tab/>
      </w:r>
      <w:r>
        <w:rPr>
          <w:sz w:val="28"/>
          <w:szCs w:val="28"/>
        </w:rPr>
        <w:fldChar w:fldCharType="begin"/>
      </w:r>
      <w:r>
        <w:rPr>
          <w:sz w:val="28"/>
          <w:szCs w:val="28"/>
        </w:rPr>
        <w:instrText xml:space="preserve"> PAGEREF _Toc6891 \h </w:instrText>
      </w:r>
      <w:r>
        <w:rPr>
          <w:sz w:val="28"/>
          <w:szCs w:val="28"/>
        </w:rPr>
        <w:fldChar w:fldCharType="separate"/>
      </w:r>
      <w:r>
        <w:rPr>
          <w:sz w:val="28"/>
          <w:szCs w:val="28"/>
        </w:rPr>
        <w:t>39</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_Toc24433 </w:instrText>
      </w:r>
      <w:r>
        <w:rPr>
          <w:rFonts w:hint="eastAsia" w:ascii="仿宋_GB2312" w:eastAsia="仿宋_GB2312"/>
          <w:sz w:val="28"/>
          <w:szCs w:val="28"/>
        </w:rPr>
        <w:fldChar w:fldCharType="separate"/>
      </w:r>
      <w:r>
        <w:rPr>
          <w:rFonts w:hint="eastAsia" w:ascii="楷体_GB2312" w:hAnsi="仿宋" w:eastAsia="楷体_GB2312"/>
          <w:bCs w:val="0"/>
          <w:sz w:val="28"/>
          <w:szCs w:val="28"/>
          <w:highlight w:val="none"/>
        </w:rPr>
        <w:t>（三）定期督查考核</w:t>
      </w:r>
      <w:r>
        <w:rPr>
          <w:sz w:val="28"/>
          <w:szCs w:val="28"/>
        </w:rPr>
        <w:tab/>
      </w:r>
      <w:r>
        <w:rPr>
          <w:sz w:val="28"/>
          <w:szCs w:val="28"/>
        </w:rPr>
        <w:fldChar w:fldCharType="begin"/>
      </w:r>
      <w:r>
        <w:rPr>
          <w:sz w:val="28"/>
          <w:szCs w:val="28"/>
        </w:rPr>
        <w:instrText xml:space="preserve"> PAGEREF _Toc24433 \h </w:instrText>
      </w:r>
      <w:r>
        <w:rPr>
          <w:sz w:val="28"/>
          <w:szCs w:val="28"/>
        </w:rPr>
        <w:fldChar w:fldCharType="separate"/>
      </w:r>
      <w:r>
        <w:rPr>
          <w:sz w:val="28"/>
          <w:szCs w:val="28"/>
        </w:rPr>
        <w:t>40</w:t>
      </w:r>
      <w:r>
        <w:rPr>
          <w:sz w:val="28"/>
          <w:szCs w:val="28"/>
        </w:rPr>
        <w:fldChar w:fldCharType="end"/>
      </w:r>
      <w:r>
        <w:rPr>
          <w:rFonts w:hint="eastAsia" w:ascii="仿宋_GB2312" w:eastAsia="仿宋_GB2312"/>
          <w:sz w:val="28"/>
          <w:szCs w:val="28"/>
        </w:rPr>
        <w:fldChar w:fldCharType="end"/>
      </w:r>
    </w:p>
    <w:p>
      <w:pPr>
        <w:pStyle w:val="10"/>
        <w:tabs>
          <w:tab w:val="right" w:leader="dot" w:pos="8306"/>
        </w:tabs>
        <w:rPr>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_Toc20946 </w:instrText>
      </w:r>
      <w:r>
        <w:rPr>
          <w:rFonts w:hint="eastAsia" w:ascii="仿宋_GB2312" w:eastAsia="仿宋_GB2312"/>
          <w:sz w:val="28"/>
          <w:szCs w:val="28"/>
        </w:rPr>
        <w:fldChar w:fldCharType="separate"/>
      </w:r>
      <w:r>
        <w:rPr>
          <w:rFonts w:hint="eastAsia" w:ascii="楷体_GB2312" w:hAnsi="仿宋" w:eastAsia="楷体_GB2312"/>
          <w:bCs w:val="0"/>
          <w:sz w:val="28"/>
          <w:szCs w:val="28"/>
          <w:highlight w:val="none"/>
        </w:rPr>
        <w:t>（四）注重协调衔接</w:t>
      </w:r>
      <w:r>
        <w:rPr>
          <w:sz w:val="28"/>
          <w:szCs w:val="28"/>
        </w:rPr>
        <w:tab/>
      </w:r>
      <w:r>
        <w:rPr>
          <w:sz w:val="28"/>
          <w:szCs w:val="28"/>
        </w:rPr>
        <w:fldChar w:fldCharType="begin"/>
      </w:r>
      <w:r>
        <w:rPr>
          <w:sz w:val="28"/>
          <w:szCs w:val="28"/>
        </w:rPr>
        <w:instrText xml:space="preserve"> PAGEREF _Toc20946 \h </w:instrText>
      </w:r>
      <w:r>
        <w:rPr>
          <w:sz w:val="28"/>
          <w:szCs w:val="28"/>
        </w:rPr>
        <w:fldChar w:fldCharType="separate"/>
      </w:r>
      <w:r>
        <w:rPr>
          <w:sz w:val="28"/>
          <w:szCs w:val="28"/>
        </w:rPr>
        <w:t>40</w:t>
      </w:r>
      <w:r>
        <w:rPr>
          <w:sz w:val="28"/>
          <w:szCs w:val="28"/>
        </w:rPr>
        <w:fldChar w:fldCharType="end"/>
      </w:r>
      <w:r>
        <w:rPr>
          <w:rFonts w:hint="eastAsia" w:ascii="仿宋_GB2312" w:eastAsia="仿宋_GB2312"/>
          <w:sz w:val="28"/>
          <w:szCs w:val="28"/>
        </w:rPr>
        <w:fldChar w:fldCharType="end"/>
      </w:r>
    </w:p>
    <w:p>
      <w:pPr>
        <w:pStyle w:val="10"/>
        <w:tabs>
          <w:tab w:val="right" w:leader="dot" w:pos="8306"/>
        </w:tabs>
      </w:pPr>
      <w:r>
        <w:rPr>
          <w:rFonts w:hint="eastAsia" w:ascii="仿宋_GB2312" w:eastAsia="仿宋_GB2312"/>
          <w:sz w:val="28"/>
          <w:szCs w:val="28"/>
        </w:rPr>
        <w:fldChar w:fldCharType="begin"/>
      </w:r>
      <w:r>
        <w:rPr>
          <w:rFonts w:hint="eastAsia" w:ascii="仿宋_GB2312" w:eastAsia="仿宋_GB2312"/>
          <w:sz w:val="28"/>
          <w:szCs w:val="28"/>
        </w:rPr>
        <w:instrText xml:space="preserve"> HYPERLINK \l _Toc24137 </w:instrText>
      </w:r>
      <w:r>
        <w:rPr>
          <w:rFonts w:hint="eastAsia" w:ascii="仿宋_GB2312" w:eastAsia="仿宋_GB2312"/>
          <w:sz w:val="28"/>
          <w:szCs w:val="28"/>
        </w:rPr>
        <w:fldChar w:fldCharType="separate"/>
      </w:r>
      <w:r>
        <w:rPr>
          <w:rFonts w:hint="eastAsia" w:ascii="楷体_GB2312" w:hAnsi="仿宋" w:eastAsia="楷体_GB2312"/>
          <w:bCs w:val="0"/>
          <w:sz w:val="28"/>
          <w:szCs w:val="28"/>
          <w:highlight w:val="none"/>
        </w:rPr>
        <w:t>（五）强调纪律要求</w:t>
      </w:r>
      <w:r>
        <w:rPr>
          <w:sz w:val="28"/>
          <w:szCs w:val="28"/>
        </w:rPr>
        <w:tab/>
      </w:r>
      <w:r>
        <w:rPr>
          <w:sz w:val="28"/>
          <w:szCs w:val="28"/>
        </w:rPr>
        <w:fldChar w:fldCharType="begin"/>
      </w:r>
      <w:r>
        <w:rPr>
          <w:sz w:val="28"/>
          <w:szCs w:val="28"/>
        </w:rPr>
        <w:instrText xml:space="preserve"> PAGEREF _Toc24137 \h </w:instrText>
      </w:r>
      <w:r>
        <w:rPr>
          <w:sz w:val="28"/>
          <w:szCs w:val="28"/>
        </w:rPr>
        <w:fldChar w:fldCharType="separate"/>
      </w:r>
      <w:r>
        <w:rPr>
          <w:sz w:val="28"/>
          <w:szCs w:val="28"/>
        </w:rPr>
        <w:t>41</w:t>
      </w:r>
      <w:r>
        <w:rPr>
          <w:sz w:val="28"/>
          <w:szCs w:val="28"/>
        </w:rPr>
        <w:fldChar w:fldCharType="end"/>
      </w:r>
      <w:r>
        <w:rPr>
          <w:rFonts w:hint="eastAsia" w:ascii="仿宋_GB2312" w:eastAsia="仿宋_GB2312"/>
          <w:sz w:val="28"/>
          <w:szCs w:val="28"/>
        </w:rPr>
        <w:fldChar w:fldCharType="end"/>
      </w:r>
    </w:p>
    <w:p>
      <w:pPr>
        <w:spacing w:line="640" w:lineRule="exact"/>
      </w:pPr>
      <w:r>
        <w:rPr>
          <w:rFonts w:hint="eastAsia" w:ascii="仿宋_GB2312" w:eastAsia="仿宋_GB2312"/>
          <w:szCs w:val="28"/>
        </w:rPr>
        <w:fldChar w:fldCharType="end"/>
      </w: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ascii="方正小标宋简体" w:hAnsi="方正小标宋简体" w:eastAsia="方正小标宋简体"/>
          <w:color w:val="000000"/>
          <w:sz w:val="28"/>
          <w:szCs w:val="28"/>
        </w:rPr>
      </w:pPr>
    </w:p>
    <w:p>
      <w:pPr>
        <w:spacing w:line="640" w:lineRule="exact"/>
        <w:jc w:val="center"/>
        <w:rPr>
          <w:rFonts w:hint="default" w:ascii="方正小标宋简体" w:hAnsi="方正小标宋简体" w:eastAsia="方正小标宋简体"/>
          <w:color w:val="000000"/>
          <w:sz w:val="44"/>
          <w:szCs w:val="44"/>
          <w:lang w:eastAsia="zh-CN"/>
        </w:rPr>
        <w:sectPr>
          <w:footerReference r:id="rId5" w:type="default"/>
          <w:pgSz w:w="11906" w:h="16838"/>
          <w:pgMar w:top="1440" w:right="1800" w:bottom="1440" w:left="1800" w:header="851" w:footer="992" w:gutter="0"/>
          <w:pgNumType w:fmt="decimal" w:start="1"/>
          <w:cols w:space="425" w:num="1"/>
          <w:docGrid w:type="lines" w:linePitch="312" w:charSpace="0"/>
        </w:sectPr>
      </w:pPr>
    </w:p>
    <w:p>
      <w:pPr>
        <w:spacing w:line="640" w:lineRule="exact"/>
        <w:jc w:val="center"/>
        <w:rPr>
          <w:rFonts w:hint="eastAsia" w:ascii="方正小标宋简体" w:hAnsi="方正小标宋简体" w:eastAsia="方正小标宋简体"/>
          <w:color w:val="000000"/>
          <w:sz w:val="44"/>
          <w:szCs w:val="44"/>
          <w:lang w:eastAsia="zh-CN"/>
        </w:rPr>
      </w:pPr>
      <w:r>
        <w:rPr>
          <w:rFonts w:hint="default" w:ascii="方正小标宋简体" w:hAnsi="方正小标宋简体" w:eastAsia="方正小标宋简体"/>
          <w:color w:val="000000"/>
          <w:sz w:val="44"/>
          <w:szCs w:val="44"/>
          <w:lang w:eastAsia="zh-CN"/>
        </w:rPr>
        <w:t>望城</w:t>
      </w:r>
      <w:r>
        <w:rPr>
          <w:rFonts w:hint="eastAsia" w:ascii="方正小标宋简体" w:hAnsi="方正小标宋简体" w:eastAsia="方正小标宋简体"/>
          <w:color w:val="000000"/>
          <w:sz w:val="44"/>
          <w:szCs w:val="44"/>
          <w:lang w:eastAsia="zh-CN"/>
        </w:rPr>
        <w:t>区“十四五”应急管理和</w:t>
      </w:r>
    </w:p>
    <w:p>
      <w:pPr>
        <w:spacing w:line="640" w:lineRule="exact"/>
        <w:jc w:val="center"/>
        <w:rPr>
          <w:rFonts w:ascii="方正小标宋简体" w:hAnsi="方正小标宋简体" w:eastAsia="方正小标宋简体"/>
          <w:color w:val="000000"/>
          <w:sz w:val="44"/>
          <w:szCs w:val="44"/>
        </w:rPr>
      </w:pPr>
      <w:r>
        <w:rPr>
          <w:rFonts w:hint="eastAsia" w:ascii="方正小标宋简体" w:hAnsi="方正小标宋简体" w:eastAsia="方正小标宋简体"/>
          <w:color w:val="000000"/>
          <w:sz w:val="44"/>
          <w:szCs w:val="44"/>
          <w:lang w:eastAsia="zh-CN"/>
        </w:rPr>
        <w:t>安全生产规划</w:t>
      </w:r>
    </w:p>
    <w:p>
      <w:pPr>
        <w:spacing w:line="640" w:lineRule="exact"/>
        <w:jc w:val="center"/>
        <w:rPr>
          <w:rFonts w:ascii="方正小标宋简体" w:hAnsi="方正小标宋简体" w:eastAsia="方正小标宋简体"/>
          <w:color w:val="000000"/>
          <w:sz w:val="44"/>
          <w:szCs w:val="44"/>
        </w:rPr>
      </w:pPr>
    </w:p>
    <w:p>
      <w:pPr>
        <w:pStyle w:val="2"/>
        <w:spacing w:before="0" w:after="0" w:line="640" w:lineRule="exact"/>
        <w:jc w:val="center"/>
        <w:rPr>
          <w:rFonts w:ascii="黑体" w:hAnsi="黑体" w:eastAsia="黑体"/>
          <w:sz w:val="32"/>
          <w:szCs w:val="32"/>
        </w:rPr>
      </w:pPr>
      <w:bookmarkStart w:id="0" w:name="_Toc4901"/>
      <w:r>
        <w:rPr>
          <w:rFonts w:ascii="黑体" w:hAnsi="黑体" w:eastAsia="黑体"/>
          <w:sz w:val="32"/>
          <w:szCs w:val="32"/>
        </w:rPr>
        <w:t>前  言</w:t>
      </w:r>
      <w:bookmarkEnd w:id="0"/>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应急管理工作，事关人民生命财产安全，事关经济发展和社会大局稳定。“十四五”时期，是</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融入</w:t>
      </w:r>
      <w:r>
        <w:rPr>
          <w:rFonts w:hint="default" w:ascii="仿宋_GB2312" w:hAnsi="仿宋_GB2312" w:eastAsia="仿宋_GB2312" w:cs="仿宋_GB2312"/>
          <w:color w:val="000000" w:themeColor="text1"/>
          <w:kern w:val="0"/>
          <w:sz w:val="32"/>
          <w:szCs w:val="32"/>
          <w:highlight w:val="none"/>
          <w:lang w:eastAsia="zh-CN"/>
          <w14:textFill>
            <w14:solidFill>
              <w14:schemeClr w14:val="tx1"/>
            </w14:solidFill>
          </w14:textFill>
        </w:rPr>
        <w:t>长沙</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市发展大局，实施“三高四新”战略，聚焦“四个定位”，紧扣“三个</w:t>
      </w:r>
      <w:r>
        <w:rPr>
          <w:rFonts w:hint="default" w:ascii="仿宋_GB2312" w:hAnsi="仿宋_GB2312" w:eastAsia="仿宋_GB2312" w:cs="仿宋_GB2312"/>
          <w:color w:val="000000" w:themeColor="text1"/>
          <w:kern w:val="0"/>
          <w:sz w:val="32"/>
          <w:szCs w:val="32"/>
          <w:highlight w:val="none"/>
          <w:lang w:eastAsia="zh-CN"/>
          <w14:textFill>
            <w14:solidFill>
              <w14:schemeClr w14:val="tx1"/>
            </w14:solidFill>
          </w14:textFill>
        </w:rPr>
        <w:t>望城</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奋力谱写现代化新</w:t>
      </w:r>
      <w:r>
        <w:rPr>
          <w:rFonts w:hint="default" w:ascii="仿宋_GB2312" w:hAnsi="仿宋_GB2312" w:eastAsia="仿宋_GB2312" w:cs="仿宋_GB2312"/>
          <w:color w:val="000000" w:themeColor="text1"/>
          <w:kern w:val="0"/>
          <w:sz w:val="32"/>
          <w:szCs w:val="32"/>
          <w:highlight w:val="none"/>
          <w:lang w:eastAsia="zh-CN"/>
          <w14:textFill>
            <w14:solidFill>
              <w14:schemeClr w14:val="tx1"/>
            </w14:solidFill>
          </w14:textFill>
        </w:rPr>
        <w:t>望城</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建设崭新篇章</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的</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关键时期</w:t>
      </w:r>
      <w:r>
        <w:rPr>
          <w:rFonts w:hint="default" w:ascii="仿宋_GB2312" w:hAnsi="仿宋_GB2312" w:eastAsia="仿宋_GB2312" w:cs="仿宋_GB2312"/>
          <w:color w:val="000000" w:themeColor="text1"/>
          <w:kern w:val="0"/>
          <w:sz w:val="32"/>
          <w:szCs w:val="32"/>
          <w:highlight w:val="none"/>
          <w:lang w:eastAsia="zh-CN"/>
          <w14:textFill>
            <w14:solidFill>
              <w14:schemeClr w14:val="tx1"/>
            </w14:solidFill>
          </w14:textFill>
        </w:rPr>
        <w:t>。望城</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是湖南“一核两副三带四区”区域经济发展格局的战略支点，也是长沙融入长江中游城市群的重要纽带，编制好</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“十四五”应急管理和安全生产规划，对推进应急管理体系和能力现代化，</w:t>
      </w:r>
      <w:r>
        <w:rPr>
          <w:rFonts w:hint="default" w:ascii="仿宋_GB2312" w:hAnsi="仿宋_GB2312" w:eastAsia="仿宋_GB2312" w:cs="仿宋_GB2312"/>
          <w:color w:val="000000" w:themeColor="text1"/>
          <w:kern w:val="0"/>
          <w:sz w:val="32"/>
          <w:szCs w:val="32"/>
          <w:highlight w:val="none"/>
          <w:lang w:eastAsia="zh-CN"/>
          <w14:textFill>
            <w14:solidFill>
              <w14:schemeClr w14:val="tx1"/>
            </w14:solidFill>
          </w14:textFill>
        </w:rPr>
        <w:t>实现</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“一江两岸”区域协调发展、“一园三区”片区协同并进、“一园三带”乡村协作振兴的</w:t>
      </w:r>
      <w:r>
        <w:rPr>
          <w:rFonts w:hint="default" w:ascii="仿宋_GB2312" w:hAnsi="仿宋_GB2312" w:eastAsia="仿宋_GB2312" w:cs="仿宋_GB2312"/>
          <w:color w:val="000000" w:themeColor="text1"/>
          <w:kern w:val="0"/>
          <w:sz w:val="32"/>
          <w:szCs w:val="32"/>
          <w:highlight w:val="none"/>
          <w:lang w:eastAsia="zh-CN"/>
          <w14:textFill>
            <w14:solidFill>
              <w14:schemeClr w14:val="tx1"/>
            </w14:solidFill>
          </w14:textFill>
        </w:rPr>
        <w:t>战略布局</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具有十分重要的意义。</w:t>
      </w:r>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本规划依据《中华人民共和国安全生产法》《长沙市国民经济和社会发展第十四个五年规划纲要和二〇三五年远景目标纲要》</w:t>
      </w:r>
      <w:r>
        <w:rPr>
          <w:rFonts w:hint="default"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《长沙市</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十四五</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default"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应急管理和安全生产规划》</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《长沙市</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国民经济和社会发展第十四个五年规划纲要和二〇三五年远景目标纲要》等法律和政府“十四五”规划编制，提出2021年至2025年本区应急管理工作的总体思路、主要任务、重点建设项目和保障措施。本规划是全区各级人民政府依法履行应急管理监管职责、制定实施年度工作计划和各项政策措施的重要依据，是今后五年本区应急管理工作的行动纲领。</w:t>
      </w:r>
    </w:p>
    <w:p>
      <w:pPr>
        <w:pStyle w:val="2"/>
        <w:spacing w:before="0" w:after="0" w:line="640" w:lineRule="exact"/>
        <w:ind w:firstLine="640" w:firstLineChars="200"/>
        <w:jc w:val="both"/>
        <w:rPr>
          <w:rFonts w:ascii="黑体" w:hAnsi="黑体" w:eastAsia="黑体"/>
          <w:b w:val="0"/>
          <w:bCs w:val="0"/>
          <w:sz w:val="32"/>
          <w:szCs w:val="32"/>
        </w:rPr>
      </w:pPr>
      <w:bookmarkStart w:id="1" w:name="_Toc1448"/>
      <w:r>
        <w:rPr>
          <w:rFonts w:ascii="黑体" w:hAnsi="黑体" w:eastAsia="黑体"/>
          <w:b w:val="0"/>
          <w:bCs w:val="0"/>
          <w:sz w:val="32"/>
          <w:szCs w:val="32"/>
        </w:rPr>
        <w:t>一、</w:t>
      </w:r>
      <w:r>
        <w:rPr>
          <w:rFonts w:hint="eastAsia" w:ascii="黑体" w:hAnsi="黑体" w:eastAsia="黑体"/>
          <w:b w:val="0"/>
          <w:bCs w:val="0"/>
          <w:sz w:val="32"/>
          <w:szCs w:val="32"/>
          <w:lang w:eastAsia="zh-CN"/>
        </w:rPr>
        <w:t>“</w:t>
      </w:r>
      <w:r>
        <w:rPr>
          <w:rFonts w:ascii="黑体" w:hAnsi="黑体" w:eastAsia="黑体"/>
          <w:b w:val="0"/>
          <w:bCs w:val="0"/>
          <w:sz w:val="32"/>
          <w:szCs w:val="32"/>
        </w:rPr>
        <w:t>十三五</w:t>
      </w:r>
      <w:r>
        <w:rPr>
          <w:rFonts w:hint="eastAsia" w:ascii="黑体" w:hAnsi="黑体" w:eastAsia="黑体"/>
          <w:b w:val="0"/>
          <w:bCs w:val="0"/>
          <w:sz w:val="32"/>
          <w:szCs w:val="32"/>
          <w:lang w:eastAsia="zh-CN"/>
        </w:rPr>
        <w:t>”</w:t>
      </w:r>
      <w:r>
        <w:rPr>
          <w:rFonts w:ascii="黑体" w:hAnsi="黑体" w:eastAsia="黑体"/>
          <w:b w:val="0"/>
          <w:bCs w:val="0"/>
          <w:sz w:val="32"/>
          <w:szCs w:val="32"/>
        </w:rPr>
        <w:t>时期主要工作回顾</w:t>
      </w:r>
      <w:bookmarkEnd w:id="1"/>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十三五</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以来，在区委、区政府的正确领导下，全区各级各部门以党的十八大、十九大精神和习近平总书记关于应急管理</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和安全生产</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的重要论述为指导，坚持</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安全第一、预防为主、综合治理</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的方针，根据国务院机构改革的要求，稳妥完成了区应急管理机构的改革和调整，大力推进应急管理体系和能力建设，狠抓</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风险防控责任落实，防范化解重大安全风险</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。全区安全生产责任体系、安全风险分级管控和隐患排查治理</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双重预防</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机制、应急管理体系、基础保障体系、考核和责任追究体系逐步完善，安全生产基础不断夯实</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全民安全防范意识明显增强</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全社会安全保障能力明显提高</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安全生产领域改革创新取得明显进展。以</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标准化班组</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为抓手，持续推进企业主体责任落实，全面推行</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一会三卡</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，督促企业严格按照</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五落实五到位</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要求全面落实企业安全生产主体责任。通过政府购买专业机构服务等形式</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加强对企业落实安全生产教育培训、日常监管、隐患排查治理等方面主体责任的指导</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强力推进应急管理信息化建设，完成了</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北斗+公共安全综合监测预警服务</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项目。通过与区人武部签署合作协议，实现了人员、装备共享共用共储，采购了无人机、应急电源车等应急装备。长沙</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市</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应急救援基地（湖南危险化学品应急救援基地）</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一期项目主体工程已竣工</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。全区各类生产安全事故起数、死亡人数大幅下降，全</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安全生产形势</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持续</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稳定向好，为推动</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经济社会健康发展提供了安全稳定的社会环境，区政府获评湖南省</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2017年、</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2019年度全省安全生产工作先进单位。</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2" w:name="_Toc9046"/>
      <w:r>
        <w:rPr>
          <w:rFonts w:hint="eastAsia" w:ascii="楷体_GB2312" w:eastAsia="楷体_GB2312"/>
          <w:b w:val="0"/>
          <w:bCs w:val="0"/>
          <w:color w:val="000000" w:themeColor="text1"/>
          <w:highlight w:val="none"/>
          <w14:textFill>
            <w14:solidFill>
              <w14:schemeClr w14:val="tx1"/>
            </w14:solidFill>
          </w14:textFill>
        </w:rPr>
        <w:t>（一）</w:t>
      </w:r>
      <w:r>
        <w:rPr>
          <w:rFonts w:hint="eastAsia" w:ascii="楷体_GB2312" w:eastAsia="楷体_GB2312"/>
          <w:b w:val="0"/>
          <w:bCs w:val="0"/>
          <w:color w:val="000000" w:themeColor="text1"/>
          <w:highlight w:val="none"/>
          <w:lang w:eastAsia="zh-CN"/>
          <w14:textFill>
            <w14:solidFill>
              <w14:schemeClr w14:val="tx1"/>
            </w14:solidFill>
          </w14:textFill>
        </w:rPr>
        <w:t>“</w:t>
      </w:r>
      <w:r>
        <w:rPr>
          <w:rFonts w:hint="eastAsia" w:ascii="楷体_GB2312" w:eastAsia="楷体_GB2312"/>
          <w:b w:val="0"/>
          <w:bCs w:val="0"/>
          <w:color w:val="000000" w:themeColor="text1"/>
          <w:highlight w:val="none"/>
          <w14:textFill>
            <w14:solidFill>
              <w14:schemeClr w14:val="tx1"/>
            </w14:solidFill>
          </w14:textFill>
        </w:rPr>
        <w:t>十三五</w:t>
      </w:r>
      <w:r>
        <w:rPr>
          <w:rFonts w:hint="eastAsia" w:ascii="楷体_GB2312" w:eastAsia="楷体_GB2312"/>
          <w:b w:val="0"/>
          <w:bCs w:val="0"/>
          <w:color w:val="000000" w:themeColor="text1"/>
          <w:highlight w:val="none"/>
          <w:lang w:eastAsia="zh-CN"/>
          <w14:textFill>
            <w14:solidFill>
              <w14:schemeClr w14:val="tx1"/>
            </w14:solidFill>
          </w14:textFill>
        </w:rPr>
        <w:t>”</w:t>
      </w:r>
      <w:r>
        <w:rPr>
          <w:rFonts w:hint="eastAsia" w:ascii="楷体_GB2312" w:eastAsia="楷体_GB2312"/>
          <w:b w:val="0"/>
          <w:bCs w:val="0"/>
          <w:color w:val="000000" w:themeColor="text1"/>
          <w:highlight w:val="none"/>
          <w14:textFill>
            <w14:solidFill>
              <w14:schemeClr w14:val="tx1"/>
            </w14:solidFill>
          </w14:textFill>
        </w:rPr>
        <w:t>主要任务完成情况</w:t>
      </w:r>
      <w:bookmarkEnd w:id="2"/>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color w:val="000000"/>
          <w:kern w:val="0"/>
          <w:sz w:val="32"/>
          <w:szCs w:val="32"/>
          <w:lang w:val="en-US" w:eastAsia="zh-CN" w:bidi="ar"/>
        </w:rPr>
        <w:t>整体安全生产形势呈持续</w:t>
      </w:r>
      <w:r>
        <w:rPr>
          <w:rFonts w:hint="eastAsia" w:ascii="仿宋_GB2312" w:hAnsi="等线" w:eastAsia="仿宋_GB2312" w:cs="仿宋_GB2312"/>
          <w:color w:val="000000"/>
          <w:kern w:val="0"/>
          <w:sz w:val="32"/>
          <w:szCs w:val="32"/>
          <w:lang w:val="en-US" w:eastAsia="zh-CN" w:bidi="ar"/>
        </w:rPr>
        <w:t>稳定</w:t>
      </w:r>
      <w:r>
        <w:rPr>
          <w:rFonts w:hint="default" w:ascii="仿宋_GB2312" w:hAnsi="等线" w:eastAsia="仿宋_GB2312" w:cs="仿宋_GB2312"/>
          <w:color w:val="000000"/>
          <w:kern w:val="0"/>
          <w:sz w:val="32"/>
          <w:szCs w:val="32"/>
          <w:lang w:val="en-US" w:eastAsia="zh-CN" w:bidi="ar"/>
        </w:rPr>
        <w:t>向好态势。</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十三五</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期间，无较大及以上事故，</w:t>
      </w:r>
      <w:r>
        <w:rPr>
          <w:rFonts w:hint="default" w:ascii="仿宋_GB2312" w:hAnsi="等线" w:eastAsia="仿宋_GB2312" w:cs="仿宋_GB2312"/>
          <w:color w:val="000000"/>
          <w:kern w:val="0"/>
          <w:sz w:val="32"/>
          <w:szCs w:val="32"/>
          <w:highlight w:val="none"/>
          <w:lang w:val="en-US" w:eastAsia="zh-CN" w:bidi="ar"/>
        </w:rPr>
        <w:t>自然</w:t>
      </w:r>
      <w:r>
        <w:rPr>
          <w:rFonts w:hint="default" w:ascii="仿宋_GB2312" w:hAnsi="等线" w:eastAsia="仿宋_GB2312" w:cs="仿宋_GB2312"/>
          <w:color w:val="000000"/>
          <w:kern w:val="0"/>
          <w:sz w:val="32"/>
          <w:szCs w:val="32"/>
          <w:lang w:val="en-US" w:eastAsia="zh-CN" w:bidi="ar"/>
        </w:rPr>
        <w:t>灾害死亡</w:t>
      </w:r>
      <w:r>
        <w:rPr>
          <w:rFonts w:hint="eastAsia" w:ascii="仿宋_GB2312" w:hAnsi="等线" w:eastAsia="仿宋_GB2312" w:cs="仿宋_GB2312"/>
          <w:color w:val="000000"/>
          <w:kern w:val="0"/>
          <w:sz w:val="32"/>
          <w:szCs w:val="32"/>
          <w:lang w:val="en-US" w:eastAsia="zh-CN" w:bidi="ar"/>
        </w:rPr>
        <w:t>人数</w:t>
      </w:r>
      <w:r>
        <w:rPr>
          <w:rFonts w:hint="default" w:ascii="仿宋_GB2312" w:hAnsi="等线" w:eastAsia="仿宋_GB2312" w:cs="仿宋_GB2312"/>
          <w:color w:val="000000"/>
          <w:kern w:val="0"/>
          <w:sz w:val="32"/>
          <w:szCs w:val="32"/>
          <w:lang w:val="en-US" w:eastAsia="zh-CN" w:bidi="ar"/>
        </w:rPr>
        <w:t>为零，生产安全事故控制指标全面下降。2020年亿元GDP</w:t>
      </w:r>
      <w:r>
        <w:rPr>
          <w:rFonts w:hint="eastAsia" w:ascii="仿宋_GB2312" w:hAnsi="等线" w:eastAsia="仿宋_GB2312" w:cs="仿宋_GB2312"/>
          <w:color w:val="000000"/>
          <w:kern w:val="0"/>
          <w:sz w:val="32"/>
          <w:szCs w:val="32"/>
          <w:lang w:val="en-US" w:eastAsia="zh-CN" w:bidi="ar"/>
        </w:rPr>
        <w:t>生产安全事故</w:t>
      </w:r>
      <w:r>
        <w:rPr>
          <w:rFonts w:hint="default" w:ascii="仿宋_GB2312" w:hAnsi="等线" w:eastAsia="仿宋_GB2312" w:cs="仿宋_GB2312"/>
          <w:color w:val="000000"/>
          <w:kern w:val="0"/>
          <w:sz w:val="32"/>
          <w:szCs w:val="32"/>
          <w:lang w:val="en-US" w:eastAsia="zh-CN" w:bidi="ar"/>
        </w:rPr>
        <w:t>死亡率为0.0152</w:t>
      </w:r>
      <w:r>
        <w:rPr>
          <w:rFonts w:hint="eastAsia" w:ascii="仿宋_GB2312" w:hAnsi="等线" w:eastAsia="仿宋_GB2312" w:cs="仿宋_GB2312"/>
          <w:color w:val="000000"/>
          <w:kern w:val="0"/>
          <w:sz w:val="32"/>
          <w:szCs w:val="32"/>
          <w:lang w:val="en-US" w:eastAsia="zh-CN" w:bidi="ar"/>
        </w:rPr>
        <w:t>，实现了</w:t>
      </w:r>
      <w:r>
        <w:rPr>
          <w:rFonts w:hint="default" w:ascii="仿宋_GB2312" w:hAnsi="等线" w:eastAsia="仿宋_GB2312" w:cs="仿宋_GB2312"/>
          <w:color w:val="000000"/>
          <w:kern w:val="0"/>
          <w:sz w:val="32"/>
          <w:szCs w:val="32"/>
          <w:lang w:val="en-US" w:eastAsia="zh-CN" w:bidi="ar"/>
        </w:rPr>
        <w:t>亿元</w:t>
      </w:r>
      <w:r>
        <w:rPr>
          <w:rFonts w:hint="eastAsia" w:ascii="仿宋_GB2312" w:hAnsi="等线" w:eastAsia="仿宋_GB2312" w:cs="仿宋_GB2312"/>
          <w:color w:val="000000"/>
          <w:kern w:val="0"/>
          <w:sz w:val="32"/>
          <w:szCs w:val="32"/>
          <w:lang w:val="en-US" w:eastAsia="zh-CN" w:bidi="ar"/>
        </w:rPr>
        <w:t>地区</w:t>
      </w:r>
      <w:r>
        <w:rPr>
          <w:rFonts w:hint="default" w:ascii="仿宋_GB2312" w:hAnsi="等线" w:eastAsia="仿宋_GB2312" w:cs="仿宋_GB2312"/>
          <w:color w:val="000000"/>
          <w:kern w:val="0"/>
          <w:sz w:val="32"/>
          <w:szCs w:val="32"/>
          <w:lang w:val="en-US" w:eastAsia="zh-CN" w:bidi="ar"/>
        </w:rPr>
        <w:t>生产总值生产安全事故死亡率下降55%以上</w:t>
      </w:r>
      <w:r>
        <w:rPr>
          <w:rFonts w:hint="eastAsia" w:ascii="仿宋_GB2312" w:hAnsi="等线" w:eastAsia="仿宋_GB2312" w:cs="仿宋_GB2312"/>
          <w:color w:val="000000"/>
          <w:kern w:val="0"/>
          <w:sz w:val="32"/>
          <w:szCs w:val="32"/>
          <w:lang w:val="en-US" w:eastAsia="zh-CN" w:bidi="ar"/>
        </w:rPr>
        <w:t>的目标；</w:t>
      </w:r>
      <w:r>
        <w:rPr>
          <w:rFonts w:hint="default" w:ascii="仿宋_GB2312" w:hAnsi="等线" w:eastAsia="仿宋_GB2312" w:cs="仿宋_GB2312"/>
          <w:color w:val="000000"/>
          <w:kern w:val="0"/>
          <w:sz w:val="32"/>
          <w:szCs w:val="32"/>
          <w:lang w:val="en-US" w:eastAsia="zh-CN" w:bidi="ar"/>
        </w:rPr>
        <w:t>工矿商贸事故死亡</w:t>
      </w:r>
      <w:r>
        <w:rPr>
          <w:rFonts w:hint="eastAsia" w:ascii="仿宋_GB2312" w:hAnsi="等线" w:eastAsia="仿宋_GB2312" w:cs="仿宋_GB2312"/>
          <w:color w:val="000000"/>
          <w:kern w:val="0"/>
          <w:sz w:val="32"/>
          <w:szCs w:val="32"/>
          <w:lang w:val="en-US" w:eastAsia="zh-CN" w:bidi="ar"/>
        </w:rPr>
        <w:t>3人，实现了</w:t>
      </w:r>
      <w:r>
        <w:rPr>
          <w:rFonts w:hint="default" w:ascii="仿宋_GB2312" w:hAnsi="等线" w:eastAsia="仿宋_GB2312" w:cs="仿宋_GB2312"/>
          <w:color w:val="000000"/>
          <w:kern w:val="0"/>
          <w:sz w:val="32"/>
          <w:szCs w:val="32"/>
          <w:lang w:val="en-US" w:eastAsia="zh-CN" w:bidi="ar"/>
        </w:rPr>
        <w:t>工矿商贸事故死亡人数控制在15人以内</w:t>
      </w:r>
      <w:r>
        <w:rPr>
          <w:rFonts w:hint="eastAsia" w:ascii="仿宋_GB2312" w:hAnsi="等线" w:eastAsia="仿宋_GB2312" w:cs="仿宋_GB2312"/>
          <w:color w:val="000000"/>
          <w:kern w:val="0"/>
          <w:sz w:val="32"/>
          <w:szCs w:val="32"/>
          <w:lang w:val="en-US" w:eastAsia="zh-CN" w:bidi="ar"/>
        </w:rPr>
        <w:t>的目标。</w:t>
      </w:r>
      <w:r>
        <w:rPr>
          <w:rFonts w:hint="default" w:ascii="仿宋_GB2312" w:hAnsi="等线" w:eastAsia="仿宋_GB2312" w:cs="仿宋_GB2312"/>
          <w:color w:val="000000"/>
          <w:kern w:val="0"/>
          <w:sz w:val="32"/>
          <w:szCs w:val="32"/>
          <w:lang w:val="en-US" w:eastAsia="zh-CN" w:bidi="ar"/>
        </w:rPr>
        <w:t>交通安全事故共45起，死亡4</w:t>
      </w:r>
      <w:r>
        <w:rPr>
          <w:rFonts w:hint="eastAsia" w:ascii="仿宋_GB2312" w:hAnsi="等线" w:eastAsia="仿宋_GB2312" w:cs="仿宋_GB2312"/>
          <w:color w:val="000000"/>
          <w:kern w:val="0"/>
          <w:sz w:val="32"/>
          <w:szCs w:val="32"/>
          <w:lang w:val="en-US" w:eastAsia="zh-CN" w:bidi="ar"/>
        </w:rPr>
        <w:t>6</w:t>
      </w:r>
      <w:r>
        <w:rPr>
          <w:rFonts w:hint="default" w:ascii="仿宋_GB2312" w:hAnsi="等线" w:eastAsia="仿宋_GB2312" w:cs="仿宋_GB2312"/>
          <w:color w:val="000000"/>
          <w:kern w:val="0"/>
          <w:sz w:val="32"/>
          <w:szCs w:val="32"/>
          <w:lang w:val="en-US" w:eastAsia="zh-CN" w:bidi="ar"/>
        </w:rPr>
        <w:t>人。道路交通安全形势严峻，事故数量和死亡人数均占比90%以上。</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3" w:firstLineChars="200"/>
        <w:jc w:val="both"/>
        <w:rPr>
          <w:rFonts w:hint="default" w:ascii="仿宋_GB2312" w:hAnsi="等线" w:eastAsia="仿宋_GB2312" w:cs="仿宋_GB2312"/>
          <w:color w:val="000000"/>
          <w:kern w:val="0"/>
          <w:sz w:val="32"/>
          <w:szCs w:val="32"/>
          <w:lang w:val="en-US" w:eastAsia="zh-CN" w:bidi="ar"/>
        </w:rPr>
      </w:pPr>
      <w:r>
        <w:rPr>
          <w:rFonts w:hint="eastAsia" w:ascii="仿宋_GB2312" w:hAnsi="等线" w:eastAsia="仿宋_GB2312" w:cs="仿宋_GB2312"/>
          <w:b/>
          <w:bCs/>
          <w:color w:val="000000"/>
          <w:kern w:val="0"/>
          <w:sz w:val="32"/>
          <w:szCs w:val="32"/>
          <w:lang w:val="en-US" w:eastAsia="zh-CN" w:bidi="ar"/>
        </w:rPr>
        <w:t>1.安全生产责任体系基本完善。</w:t>
      </w:r>
      <w:r>
        <w:rPr>
          <w:rFonts w:hint="default" w:ascii="仿宋_GB2312" w:hAnsi="等线" w:eastAsia="仿宋_GB2312" w:cs="仿宋_GB2312"/>
          <w:color w:val="000000"/>
          <w:kern w:val="0"/>
          <w:sz w:val="32"/>
          <w:szCs w:val="32"/>
          <w:lang w:val="en-US" w:eastAsia="zh-CN" w:bidi="ar"/>
        </w:rPr>
        <w:t>先后出台了《党政领导干部</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党政同责、一岗双责</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安全生产责任制》《长沙市</w:t>
      </w:r>
      <w:r>
        <w:rPr>
          <w:rFonts w:hint="eastAsia" w:ascii="仿宋_GB2312" w:hAnsi="等线" w:eastAsia="仿宋_GB2312" w:cs="仿宋_GB2312"/>
          <w:color w:val="000000"/>
          <w:kern w:val="0"/>
          <w:sz w:val="32"/>
          <w:szCs w:val="32"/>
          <w:lang w:eastAsia="zh-CN" w:bidi="ar"/>
        </w:rPr>
        <w:t>望城区“</w:t>
      </w:r>
      <w:r>
        <w:rPr>
          <w:rFonts w:hint="default" w:ascii="仿宋_GB2312" w:hAnsi="等线" w:eastAsia="仿宋_GB2312" w:cs="仿宋_GB2312"/>
          <w:color w:val="000000"/>
          <w:kern w:val="0"/>
          <w:sz w:val="32"/>
          <w:szCs w:val="32"/>
          <w:lang w:val="en-US" w:eastAsia="zh-CN" w:bidi="ar"/>
        </w:rPr>
        <w:t>五级五覆盖</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五落实五到位</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安全生产责任制度》《长沙市</w:t>
      </w:r>
      <w:r>
        <w:rPr>
          <w:rFonts w:hint="eastAsia" w:ascii="仿宋_GB2312" w:hAnsi="等线" w:eastAsia="仿宋_GB2312" w:cs="仿宋_GB2312"/>
          <w:color w:val="000000"/>
          <w:kern w:val="0"/>
          <w:sz w:val="32"/>
          <w:szCs w:val="32"/>
          <w:lang w:eastAsia="zh-CN" w:bidi="ar"/>
        </w:rPr>
        <w:t>望城区</w:t>
      </w:r>
      <w:r>
        <w:rPr>
          <w:rFonts w:hint="default" w:ascii="仿宋_GB2312" w:hAnsi="等线" w:eastAsia="仿宋_GB2312" w:cs="仿宋_GB2312"/>
          <w:color w:val="000000"/>
          <w:kern w:val="0"/>
          <w:sz w:val="32"/>
          <w:szCs w:val="32"/>
          <w:lang w:val="en-US" w:eastAsia="zh-CN" w:bidi="ar"/>
        </w:rPr>
        <w:t>人民政府有关部门及有关单位（机构）安全生产工作职责分工暂行规定》《区委区政府领导安全生产工作责任清单》等文件，分层分级明确了区委领导、区政府主导、人大监督、政协建议、部门行业主管、街镇属地监管、企业主体责任等单位的安全生产职能职责体系。区委</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区政府主要领导每年至少召开2次区委常委会专题会议、4次区政府常务会议，4次全区安全生产例会听取和研究安全生产工作。坚持安全生产</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月调度、双月通报、季度讲评、半年总结</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，定期开展区级领导干部带队检查安全生产和谈心对话活动。</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3"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b/>
          <w:bCs/>
          <w:color w:val="000000"/>
          <w:kern w:val="0"/>
          <w:sz w:val="32"/>
          <w:szCs w:val="32"/>
          <w:lang w:val="en-US" w:eastAsia="zh-CN" w:bidi="ar"/>
        </w:rPr>
        <w:t>2.安全风险预防控制体系基本形成。</w:t>
      </w:r>
      <w:r>
        <w:rPr>
          <w:rFonts w:hint="default" w:ascii="仿宋_GB2312" w:hAnsi="等线" w:eastAsia="仿宋_GB2312" w:cs="仿宋_GB2312"/>
          <w:color w:val="000000"/>
          <w:kern w:val="0"/>
          <w:sz w:val="32"/>
          <w:szCs w:val="32"/>
          <w:lang w:val="en-US" w:eastAsia="zh-CN" w:bidi="ar"/>
        </w:rPr>
        <w:t>按照分级分类的监管要求，建立了全区动态安全风险评估制度，组织开展动态排查、辨识公共区域内安全风险，确定安全风险等级，明确管控层级</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落实责任单位、责任人和管控措施，通过微信公众号、官方网站、新闻媒体等</w:t>
      </w:r>
      <w:r>
        <w:rPr>
          <w:rFonts w:hint="eastAsia" w:ascii="仿宋_GB2312" w:hAnsi="等线" w:eastAsia="仿宋_GB2312" w:cs="仿宋_GB2312"/>
          <w:color w:val="000000"/>
          <w:kern w:val="0"/>
          <w:sz w:val="32"/>
          <w:szCs w:val="32"/>
          <w:lang w:val="en-US" w:eastAsia="zh-CN" w:bidi="ar"/>
        </w:rPr>
        <w:t>平台</w:t>
      </w:r>
      <w:r>
        <w:rPr>
          <w:rFonts w:hint="default" w:ascii="仿宋_GB2312" w:hAnsi="等线" w:eastAsia="仿宋_GB2312" w:cs="仿宋_GB2312"/>
          <w:color w:val="000000"/>
          <w:kern w:val="0"/>
          <w:sz w:val="32"/>
          <w:szCs w:val="32"/>
          <w:lang w:val="en-US" w:eastAsia="zh-CN" w:bidi="ar"/>
        </w:rPr>
        <w:t>发布风险公告、重大风险预警公告。区应急、住建、交通、消防、市场</w:t>
      </w:r>
      <w:r>
        <w:rPr>
          <w:rFonts w:hint="eastAsia" w:ascii="仿宋_GB2312" w:hAnsi="等线" w:eastAsia="仿宋_GB2312" w:cs="仿宋_GB2312"/>
          <w:color w:val="000000"/>
          <w:kern w:val="0"/>
          <w:sz w:val="32"/>
          <w:szCs w:val="32"/>
          <w:lang w:val="en-US" w:eastAsia="zh-CN" w:bidi="ar"/>
        </w:rPr>
        <w:t>监管</w:t>
      </w:r>
      <w:r>
        <w:rPr>
          <w:rFonts w:hint="default" w:ascii="仿宋_GB2312" w:hAnsi="等线" w:eastAsia="仿宋_GB2312" w:cs="仿宋_GB2312"/>
          <w:color w:val="000000"/>
          <w:kern w:val="0"/>
          <w:sz w:val="32"/>
          <w:szCs w:val="32"/>
          <w:lang w:val="en-US" w:eastAsia="zh-CN" w:bidi="ar"/>
        </w:rPr>
        <w:t>、海事、</w:t>
      </w:r>
      <w:r>
        <w:rPr>
          <w:rFonts w:hint="eastAsia" w:ascii="仿宋_GB2312" w:hAnsi="等线" w:eastAsia="仿宋_GB2312" w:cs="仿宋_GB2312"/>
          <w:color w:val="000000"/>
          <w:kern w:val="0"/>
          <w:sz w:val="32"/>
          <w:szCs w:val="32"/>
          <w:lang w:val="en-US" w:eastAsia="zh-CN" w:bidi="ar"/>
        </w:rPr>
        <w:t>公安</w:t>
      </w:r>
      <w:r>
        <w:rPr>
          <w:rFonts w:hint="default" w:ascii="仿宋_GB2312" w:hAnsi="等线" w:eastAsia="仿宋_GB2312" w:cs="仿宋_GB2312"/>
          <w:color w:val="000000"/>
          <w:kern w:val="0"/>
          <w:sz w:val="32"/>
          <w:szCs w:val="32"/>
          <w:lang w:val="en-US" w:eastAsia="zh-CN" w:bidi="ar"/>
        </w:rPr>
        <w:t>等负有安全监管职责的部门建立完善了重大危险源分级管控机制，实施重大危险源在线监控和事故预警。重点企业、重点区域和铜官工业园区进行</w:t>
      </w:r>
      <w:r>
        <w:rPr>
          <w:rFonts w:hint="eastAsia" w:ascii="仿宋_GB2312" w:hAnsi="等线" w:eastAsia="仿宋_GB2312" w:cs="仿宋_GB2312"/>
          <w:color w:val="000000"/>
          <w:kern w:val="0"/>
          <w:sz w:val="32"/>
          <w:szCs w:val="32"/>
          <w:lang w:val="en-US" w:eastAsia="zh-CN" w:bidi="ar"/>
        </w:rPr>
        <w:t>了</w:t>
      </w:r>
      <w:r>
        <w:rPr>
          <w:rFonts w:hint="default" w:ascii="仿宋_GB2312" w:hAnsi="等线" w:eastAsia="仿宋_GB2312" w:cs="仿宋_GB2312"/>
          <w:color w:val="000000"/>
          <w:kern w:val="0"/>
          <w:sz w:val="32"/>
          <w:szCs w:val="32"/>
          <w:lang w:val="en-US" w:eastAsia="zh-CN" w:bidi="ar"/>
        </w:rPr>
        <w:t>重大风险评估，并将重点区域和关键部位纳入监控系统。</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3"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b/>
          <w:bCs/>
          <w:color w:val="000000"/>
          <w:kern w:val="0"/>
          <w:sz w:val="32"/>
          <w:szCs w:val="32"/>
          <w:lang w:val="en-US" w:eastAsia="zh-CN" w:bidi="ar"/>
        </w:rPr>
        <w:t>3.应急救援体系初见成效。</w:t>
      </w:r>
      <w:r>
        <w:rPr>
          <w:rFonts w:hint="eastAsia" w:ascii="仿宋_GB2312" w:hAnsi="等线" w:eastAsia="仿宋_GB2312" w:cs="仿宋_GB2312"/>
          <w:color w:val="000000"/>
          <w:kern w:val="0"/>
          <w:sz w:val="32"/>
          <w:szCs w:val="32"/>
          <w:lang w:eastAsia="zh-CN" w:bidi="ar"/>
        </w:rPr>
        <w:t>望城区</w:t>
      </w:r>
      <w:r>
        <w:rPr>
          <w:rFonts w:hint="default" w:ascii="仿宋_GB2312" w:hAnsi="等线" w:eastAsia="仿宋_GB2312" w:cs="仿宋_GB2312"/>
          <w:color w:val="000000"/>
          <w:kern w:val="0"/>
          <w:sz w:val="32"/>
          <w:szCs w:val="32"/>
          <w:lang w:val="en-US" w:eastAsia="zh-CN" w:bidi="ar"/>
        </w:rPr>
        <w:t>率先建立了智慧应急指挥中心。根据</w:t>
      </w:r>
      <w:r>
        <w:rPr>
          <w:rFonts w:hint="default" w:ascii="仿宋_GB2312" w:hAnsi="等线" w:eastAsia="仿宋_GB2312" w:cs="仿宋_GB2312"/>
          <w:color w:val="000000"/>
          <w:kern w:val="0"/>
          <w:sz w:val="32"/>
          <w:szCs w:val="32"/>
          <w:lang w:eastAsia="zh-CN" w:bidi="ar"/>
        </w:rPr>
        <w:t>望城区</w:t>
      </w:r>
      <w:r>
        <w:rPr>
          <w:rFonts w:hint="default" w:ascii="仿宋_GB2312" w:hAnsi="等线" w:eastAsia="仿宋_GB2312" w:cs="仿宋_GB2312"/>
          <w:color w:val="000000"/>
          <w:kern w:val="0"/>
          <w:sz w:val="32"/>
          <w:szCs w:val="32"/>
          <w:lang w:val="en-US" w:eastAsia="zh-CN" w:bidi="ar"/>
        </w:rPr>
        <w:t>生产生活和自然灾害风险特性系统编制并颁布实施了总体和专项应急预案。参与承办了以</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人民至上，生命至上</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为主题的</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湖南省2020年抗洪抢险应急演练</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区应急管理局与区人武部签署合作协议，采取人员、装备共享共用共储模式，可随时出动30人参与各类应急救援任务；采购了无人机、应急电源车等40余样应急装备、设备。在全区38个社区、156个重点单位完成微型消防站建设，启动铜官特勤消防站建设，</w:t>
      </w:r>
      <w:r>
        <w:rPr>
          <w:rFonts w:hint="default" w:ascii="仿宋_GB2312" w:hAnsi="等线" w:eastAsia="仿宋_GB2312" w:cs="仿宋_GB2312"/>
          <w:color w:val="000000"/>
          <w:kern w:val="0"/>
          <w:sz w:val="32"/>
          <w:szCs w:val="32"/>
          <w:highlight w:val="none"/>
          <w:lang w:val="en-US" w:eastAsia="zh-CN" w:bidi="ar"/>
        </w:rPr>
        <w:t>2020年6月</w:t>
      </w:r>
      <w:r>
        <w:rPr>
          <w:rFonts w:hint="eastAsia" w:ascii="仿宋_GB2312" w:hAnsi="等线" w:eastAsia="仿宋_GB2312" w:cs="仿宋_GB2312"/>
          <w:color w:val="000000"/>
          <w:kern w:val="0"/>
          <w:sz w:val="32"/>
          <w:szCs w:val="32"/>
          <w:highlight w:val="none"/>
          <w:lang w:val="en-US" w:eastAsia="zh-CN" w:bidi="ar"/>
        </w:rPr>
        <w:t>，</w:t>
      </w:r>
      <w:r>
        <w:rPr>
          <w:rFonts w:hint="default" w:ascii="仿宋_GB2312" w:hAnsi="等线" w:eastAsia="仿宋_GB2312" w:cs="仿宋_GB2312"/>
          <w:color w:val="000000"/>
          <w:kern w:val="0"/>
          <w:sz w:val="32"/>
          <w:szCs w:val="32"/>
          <w:highlight w:val="none"/>
          <w:lang w:val="en-US" w:eastAsia="zh-CN" w:bidi="ar"/>
        </w:rPr>
        <w:t>长沙市危化品应急救援基地与铜官园区特勤消防站合建，</w:t>
      </w:r>
      <w:r>
        <w:rPr>
          <w:rFonts w:hint="default" w:ascii="仿宋_GB2312" w:hAnsi="等线" w:eastAsia="仿宋_GB2312" w:cs="仿宋_GB2312"/>
          <w:color w:val="000000"/>
          <w:kern w:val="0"/>
          <w:sz w:val="32"/>
          <w:szCs w:val="32"/>
          <w:lang w:val="en-US" w:eastAsia="zh-CN" w:bidi="ar"/>
        </w:rPr>
        <w:t>提高应急反应能力。在重点区域、重点行业开展应急常识普及和应急演练活动，组织危险化学品、非煤矿山、烟花爆竹等企业开展应急救援演练</w:t>
      </w:r>
      <w:r>
        <w:rPr>
          <w:rFonts w:hint="eastAsia" w:ascii="仿宋_GB2312" w:hAnsi="等线" w:eastAsia="仿宋_GB2312" w:cs="仿宋_GB2312"/>
          <w:color w:val="000000"/>
          <w:kern w:val="0"/>
          <w:sz w:val="32"/>
          <w:szCs w:val="32"/>
          <w:lang w:val="en-US" w:eastAsia="zh-CN" w:bidi="ar"/>
        </w:rPr>
        <w:t>2</w:t>
      </w:r>
      <w:r>
        <w:rPr>
          <w:rFonts w:hint="default" w:ascii="仿宋_GB2312" w:hAnsi="等线" w:eastAsia="仿宋_GB2312" w:cs="仿宋_GB2312"/>
          <w:color w:val="000000"/>
          <w:kern w:val="0"/>
          <w:sz w:val="32"/>
          <w:szCs w:val="32"/>
          <w:lang w:val="en-US" w:eastAsia="zh-CN" w:bidi="ar"/>
        </w:rPr>
        <w:t>00多次，其中危险化学品企业开展应急救援演练</w:t>
      </w:r>
      <w:r>
        <w:rPr>
          <w:rFonts w:hint="eastAsia" w:ascii="仿宋_GB2312" w:hAnsi="等线" w:eastAsia="仿宋_GB2312" w:cs="仿宋_GB2312"/>
          <w:color w:val="000000"/>
          <w:kern w:val="0"/>
          <w:sz w:val="32"/>
          <w:szCs w:val="32"/>
          <w:lang w:val="en-US" w:eastAsia="zh-CN" w:bidi="ar"/>
        </w:rPr>
        <w:t>率</w:t>
      </w:r>
      <w:r>
        <w:rPr>
          <w:rFonts w:hint="default" w:ascii="仿宋_GB2312" w:hAnsi="等线" w:eastAsia="仿宋_GB2312" w:cs="仿宋_GB2312"/>
          <w:color w:val="000000"/>
          <w:kern w:val="0"/>
          <w:sz w:val="32"/>
          <w:szCs w:val="32"/>
          <w:lang w:val="en-US" w:eastAsia="zh-CN" w:bidi="ar"/>
        </w:rPr>
        <w:t>达到100%。</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3"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b/>
          <w:bCs/>
          <w:color w:val="000000"/>
          <w:kern w:val="0"/>
          <w:sz w:val="32"/>
          <w:szCs w:val="32"/>
          <w:lang w:val="en-US" w:eastAsia="zh-CN" w:bidi="ar"/>
        </w:rPr>
        <w:t>4.安全生产基础保障体系日趋完善。</w:t>
      </w:r>
      <w:r>
        <w:rPr>
          <w:rFonts w:hint="default" w:ascii="仿宋_GB2312" w:hAnsi="等线" w:eastAsia="仿宋_GB2312" w:cs="仿宋_GB2312"/>
          <w:color w:val="000000"/>
          <w:kern w:val="0"/>
          <w:sz w:val="32"/>
          <w:szCs w:val="32"/>
          <w:lang w:val="en-US" w:eastAsia="zh-CN" w:bidi="ar"/>
        </w:rPr>
        <w:t>加强了基层安监队伍建设，开展了乡镇（街道）安监站（所）标准化创建工作，2019年</w:t>
      </w:r>
      <w:r>
        <w:rPr>
          <w:rFonts w:hint="eastAsia" w:ascii="仿宋_GB2312" w:hAnsi="等线" w:eastAsia="仿宋_GB2312" w:cs="仿宋_GB2312"/>
          <w:color w:val="000000"/>
          <w:kern w:val="0"/>
          <w:sz w:val="32"/>
          <w:szCs w:val="32"/>
          <w:lang w:eastAsia="zh-CN" w:bidi="ar"/>
        </w:rPr>
        <w:t>望城区</w:t>
      </w:r>
      <w:r>
        <w:rPr>
          <w:rFonts w:hint="default" w:ascii="仿宋_GB2312" w:hAnsi="等线" w:eastAsia="仿宋_GB2312" w:cs="仿宋_GB2312"/>
          <w:color w:val="000000"/>
          <w:kern w:val="0"/>
          <w:sz w:val="32"/>
          <w:szCs w:val="32"/>
          <w:lang w:val="en-US" w:eastAsia="zh-CN" w:bidi="ar"/>
        </w:rPr>
        <w:t>获评</w:t>
      </w:r>
      <w:r>
        <w:rPr>
          <w:rFonts w:hint="eastAsia" w:ascii="Times New Roman" w:hAnsi="Times New Roman" w:eastAsia="仿宋_GB2312" w:cs="Times New Roman"/>
          <w:sz w:val="32"/>
          <w:szCs w:val="32"/>
        </w:rPr>
        <w:t>全省安全生产先进区</w:t>
      </w:r>
      <w:r>
        <w:rPr>
          <w:rFonts w:hint="eastAsia" w:ascii="仿宋_GB2312" w:hAnsi="仿宋_GB2312" w:eastAsia="仿宋_GB2312" w:cs="仿宋_GB2312"/>
          <w:sz w:val="32"/>
          <w:szCs w:val="32"/>
        </w:rPr>
        <w:t>（县）</w:t>
      </w:r>
      <w:r>
        <w:rPr>
          <w:rFonts w:hint="eastAsia" w:ascii="仿宋_GB2312" w:hAnsi="等线" w:eastAsia="仿宋_GB2312" w:cs="仿宋_GB2312"/>
          <w:color w:val="000000"/>
          <w:kern w:val="0"/>
          <w:sz w:val="32"/>
          <w:szCs w:val="32"/>
          <w:lang w:val="en-US" w:eastAsia="zh-CN" w:bidi="ar"/>
        </w:rPr>
        <w:t>和</w:t>
      </w:r>
      <w:r>
        <w:rPr>
          <w:rFonts w:hint="eastAsia" w:ascii="Times New Roman" w:hAnsi="Times New Roman" w:eastAsia="仿宋_GB2312" w:cs="Times New Roman"/>
          <w:sz w:val="32"/>
          <w:szCs w:val="32"/>
        </w:rPr>
        <w:t>全市安全生产先进区（县）</w:t>
      </w:r>
      <w:r>
        <w:rPr>
          <w:rFonts w:hint="default" w:ascii="仿宋_GB2312" w:hAnsi="等线" w:eastAsia="仿宋_GB2312" w:cs="仿宋_GB2312"/>
          <w:color w:val="000000"/>
          <w:kern w:val="0"/>
          <w:sz w:val="32"/>
          <w:szCs w:val="32"/>
          <w:lang w:val="en-US" w:eastAsia="zh-CN" w:bidi="ar"/>
        </w:rPr>
        <w:t>，201</w:t>
      </w:r>
      <w:r>
        <w:rPr>
          <w:rFonts w:hint="eastAsia" w:ascii="仿宋_GB2312" w:hAnsi="等线" w:eastAsia="仿宋_GB2312" w:cs="仿宋_GB2312"/>
          <w:color w:val="000000"/>
          <w:kern w:val="0"/>
          <w:sz w:val="32"/>
          <w:szCs w:val="32"/>
          <w:lang w:val="en-US" w:eastAsia="zh-CN" w:bidi="ar"/>
        </w:rPr>
        <w:t>8</w:t>
      </w:r>
      <w:r>
        <w:rPr>
          <w:rFonts w:hint="default" w:ascii="仿宋_GB2312" w:hAnsi="等线" w:eastAsia="仿宋_GB2312" w:cs="仿宋_GB2312"/>
          <w:color w:val="000000"/>
          <w:kern w:val="0"/>
          <w:sz w:val="32"/>
          <w:szCs w:val="32"/>
          <w:lang w:val="en-US" w:eastAsia="zh-CN" w:bidi="ar"/>
        </w:rPr>
        <w:t>年丁字湾街道获评省级安全生产示范街镇</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2017年白沙洲、乔口获评省级安全生产示范街镇。加大了科技资金投入，推进了安全生产技术改造，打造了信息化监管平台，充分利用大数据和信息化系统管安全。</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3"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b/>
          <w:bCs/>
          <w:color w:val="000000"/>
          <w:kern w:val="0"/>
          <w:sz w:val="32"/>
          <w:szCs w:val="32"/>
          <w:lang w:val="en-US" w:eastAsia="zh-CN" w:bidi="ar"/>
        </w:rPr>
        <w:t>5.依法治安步伐进一步加快。</w:t>
      </w:r>
      <w:r>
        <w:rPr>
          <w:rFonts w:hint="default" w:ascii="仿宋_GB2312" w:hAnsi="等线" w:eastAsia="仿宋_GB2312" w:cs="仿宋_GB2312"/>
          <w:color w:val="000000"/>
          <w:kern w:val="0"/>
          <w:sz w:val="32"/>
          <w:szCs w:val="32"/>
          <w:lang w:val="en-US" w:eastAsia="zh-CN" w:bidi="ar"/>
        </w:rPr>
        <w:t>强化了全社会安全生产法治意识和思维，坚持依法行政，完善了执法机制，依法打击取缔非法违法生产经营建设行为。持续保持危险化学品、建筑施工、道路交通、水上交通等重点行业领域打非治违高压态势，深化道路交通</w:t>
      </w:r>
      <w:r>
        <w:rPr>
          <w:rFonts w:hint="eastAsia" w:ascii="仿宋_GB2312" w:hAnsi="等线" w:eastAsia="仿宋_GB2312" w:cs="仿宋_GB2312"/>
          <w:color w:val="000000"/>
          <w:kern w:val="0"/>
          <w:sz w:val="32"/>
          <w:szCs w:val="32"/>
          <w:lang w:val="en-US" w:eastAsia="zh-CN" w:bidi="ar"/>
        </w:rPr>
        <w:t>顽瘴痼疾</w:t>
      </w:r>
      <w:r>
        <w:rPr>
          <w:rFonts w:hint="default" w:ascii="仿宋_GB2312" w:hAnsi="等线" w:eastAsia="仿宋_GB2312" w:cs="仿宋_GB2312"/>
          <w:color w:val="000000"/>
          <w:kern w:val="0"/>
          <w:sz w:val="32"/>
          <w:szCs w:val="32"/>
          <w:lang w:val="en-US" w:eastAsia="zh-CN" w:bidi="ar"/>
        </w:rPr>
        <w:t>深度整治、马路市场重点路段等一系列专项整治行动，有效防范了安全事故。</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3"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b/>
          <w:bCs/>
          <w:color w:val="000000"/>
          <w:kern w:val="0"/>
          <w:sz w:val="32"/>
          <w:szCs w:val="32"/>
          <w:lang w:val="en-US" w:eastAsia="zh-CN" w:bidi="ar"/>
        </w:rPr>
        <w:t>6.安全文化宣教多维度推进。</w:t>
      </w:r>
      <w:r>
        <w:rPr>
          <w:rFonts w:hint="default" w:ascii="仿宋_GB2312" w:hAnsi="等线" w:eastAsia="仿宋_GB2312" w:cs="仿宋_GB2312"/>
          <w:color w:val="000000"/>
          <w:kern w:val="0"/>
          <w:sz w:val="32"/>
          <w:szCs w:val="32"/>
          <w:lang w:val="en-US" w:eastAsia="zh-CN" w:bidi="ar"/>
        </w:rPr>
        <w:t>开展安全生产宣传教育工作，促进安全文化建设。通过开展</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安全生产月</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、安全知识</w:t>
      </w:r>
      <w:r>
        <w:rPr>
          <w:rFonts w:hint="eastAsia" w:ascii="仿宋_GB2312" w:hAnsi="等线" w:eastAsia="仿宋_GB2312" w:cs="仿宋_GB2312"/>
          <w:color w:val="000000"/>
          <w:kern w:val="0"/>
          <w:sz w:val="32"/>
          <w:szCs w:val="32"/>
          <w:lang w:val="en-US" w:eastAsia="zh-CN" w:bidi="ar"/>
        </w:rPr>
        <w:t>“五</w:t>
      </w:r>
      <w:r>
        <w:rPr>
          <w:rFonts w:hint="default" w:ascii="仿宋_GB2312" w:hAnsi="等线" w:eastAsia="仿宋_GB2312" w:cs="仿宋_GB2312"/>
          <w:color w:val="000000"/>
          <w:kern w:val="0"/>
          <w:sz w:val="32"/>
          <w:szCs w:val="32"/>
          <w:lang w:val="en-US" w:eastAsia="zh-CN" w:bidi="ar"/>
        </w:rPr>
        <w:t>进</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等宣传教育活动，切实提高广大群众的安全意识，营造浓厚的安全</w:t>
      </w:r>
      <w:r>
        <w:rPr>
          <w:rFonts w:hint="eastAsia" w:ascii="仿宋_GB2312" w:hAnsi="等线" w:eastAsia="仿宋_GB2312" w:cs="仿宋_GB2312"/>
          <w:color w:val="000000"/>
          <w:kern w:val="0"/>
          <w:sz w:val="32"/>
          <w:szCs w:val="32"/>
          <w:lang w:val="en-US" w:eastAsia="zh-CN" w:bidi="ar"/>
        </w:rPr>
        <w:t>文化</w:t>
      </w:r>
      <w:r>
        <w:rPr>
          <w:rFonts w:hint="default" w:ascii="仿宋_GB2312" w:hAnsi="等线" w:eastAsia="仿宋_GB2312" w:cs="仿宋_GB2312"/>
          <w:color w:val="000000"/>
          <w:kern w:val="0"/>
          <w:sz w:val="32"/>
          <w:szCs w:val="32"/>
          <w:lang w:val="en-US" w:eastAsia="zh-CN" w:bidi="ar"/>
        </w:rPr>
        <w:t>氛围。全面开展安全教育培训</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切实提高党政领导干部、系统执法人员和企业主要负责人及安全管理人员的安全生产意识和安全监管能力。</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3"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b/>
          <w:bCs/>
          <w:color w:val="000000"/>
          <w:kern w:val="0"/>
          <w:sz w:val="32"/>
          <w:szCs w:val="32"/>
          <w:lang w:val="en-US" w:eastAsia="zh-CN" w:bidi="ar"/>
        </w:rPr>
        <w:t>7.突出重点行业领域安全监管。</w:t>
      </w:r>
      <w:r>
        <w:rPr>
          <w:rFonts w:hint="default" w:ascii="仿宋_GB2312" w:hAnsi="等线" w:eastAsia="仿宋_GB2312" w:cs="仿宋_GB2312"/>
          <w:color w:val="000000"/>
          <w:kern w:val="0"/>
          <w:sz w:val="32"/>
          <w:szCs w:val="32"/>
          <w:lang w:val="en-US" w:eastAsia="zh-CN" w:bidi="ar"/>
        </w:rPr>
        <w:t>全区煤矿</w:t>
      </w:r>
      <w:r>
        <w:rPr>
          <w:rFonts w:hint="eastAsia" w:ascii="仿宋_GB2312" w:hAnsi="等线" w:eastAsia="仿宋_GB2312" w:cs="仿宋_GB2312"/>
          <w:color w:val="000000"/>
          <w:kern w:val="0"/>
          <w:sz w:val="32"/>
          <w:szCs w:val="32"/>
          <w:lang w:val="en-US" w:eastAsia="zh-CN" w:bidi="ar"/>
        </w:rPr>
        <w:t>企业</w:t>
      </w:r>
      <w:r>
        <w:rPr>
          <w:rFonts w:hint="default" w:ascii="仿宋_GB2312" w:hAnsi="等线" w:eastAsia="仿宋_GB2312" w:cs="仿宋_GB2312"/>
          <w:color w:val="000000"/>
          <w:kern w:val="0"/>
          <w:sz w:val="32"/>
          <w:szCs w:val="32"/>
          <w:lang w:val="en-US" w:eastAsia="zh-CN" w:bidi="ar"/>
        </w:rPr>
        <w:t>全部关闭退出；非煤矿山企业仅剩1家；烟花爆竹生产企业全部关闭退出，仅剩1家综合批发点；作为</w:t>
      </w:r>
      <w:r>
        <w:rPr>
          <w:rFonts w:hint="eastAsia" w:ascii="仿宋_GB2312" w:hAnsi="等线" w:eastAsia="仿宋_GB2312" w:cs="仿宋_GB2312"/>
          <w:color w:val="000000"/>
          <w:kern w:val="0"/>
          <w:sz w:val="32"/>
          <w:szCs w:val="32"/>
          <w:lang w:val="en-US" w:eastAsia="zh-CN" w:bidi="ar"/>
        </w:rPr>
        <w:t>长沙市</w:t>
      </w:r>
      <w:r>
        <w:rPr>
          <w:rFonts w:hint="default" w:ascii="仿宋_GB2312" w:hAnsi="等线" w:eastAsia="仿宋_GB2312" w:cs="仿宋_GB2312"/>
          <w:color w:val="000000"/>
          <w:kern w:val="0"/>
          <w:sz w:val="32"/>
          <w:szCs w:val="32"/>
          <w:lang w:val="en-US" w:eastAsia="zh-CN" w:bidi="ar"/>
        </w:rPr>
        <w:t>正在推动的危险化学品</w:t>
      </w:r>
      <w:r>
        <w:rPr>
          <w:rFonts w:hint="eastAsia" w:ascii="仿宋_GB2312" w:hAnsi="等线" w:eastAsia="仿宋_GB2312" w:cs="仿宋_GB2312"/>
          <w:color w:val="000000"/>
          <w:kern w:val="0"/>
          <w:sz w:val="32"/>
          <w:szCs w:val="32"/>
          <w:lang w:val="en-US" w:eastAsia="zh-CN" w:bidi="ar"/>
        </w:rPr>
        <w:t>“</w:t>
      </w:r>
      <w:r>
        <w:rPr>
          <w:rFonts w:hint="default" w:ascii="Times New Roman" w:hAnsi="Times New Roman" w:eastAsia="仿宋_GB2312" w:cs="Times New Roman"/>
          <w:color w:val="000000" w:themeColor="text1"/>
          <w:kern w:val="0"/>
          <w:sz w:val="32"/>
          <w:szCs w:val="32"/>
          <w14:textFill>
            <w14:solidFill>
              <w14:schemeClr w14:val="tx1"/>
            </w14:solidFill>
          </w14:textFill>
        </w:rPr>
        <w:t>三园区一市场七基地</w:t>
      </w:r>
      <w:r>
        <w:rPr>
          <w:rFonts w:hint="eastAsia" w:ascii="仿宋_GB2312" w:hAnsi="等线" w:eastAsia="仿宋_GB2312" w:cs="仿宋_GB2312"/>
          <w:color w:val="000000"/>
          <w:kern w:val="0"/>
          <w:sz w:val="32"/>
          <w:szCs w:val="32"/>
          <w:lang w:val="en-US" w:eastAsia="zh-CN" w:bidi="ar"/>
        </w:rPr>
        <w:t>”项目的</w:t>
      </w:r>
      <w:r>
        <w:rPr>
          <w:rFonts w:hint="default" w:ascii="仿宋_GB2312" w:hAnsi="等线" w:eastAsia="仿宋_GB2312" w:cs="仿宋_GB2312"/>
          <w:color w:val="000000"/>
          <w:kern w:val="0"/>
          <w:sz w:val="32"/>
          <w:szCs w:val="32"/>
          <w:lang w:val="en-US" w:eastAsia="zh-CN" w:bidi="ar"/>
        </w:rPr>
        <w:t>核心建设单位，危险化学品生产企业全部</w:t>
      </w:r>
      <w:r>
        <w:rPr>
          <w:rFonts w:hint="eastAsia" w:ascii="仿宋_GB2312" w:hAnsi="等线" w:eastAsia="仿宋_GB2312" w:cs="仿宋_GB2312"/>
          <w:color w:val="000000"/>
          <w:kern w:val="0"/>
          <w:sz w:val="32"/>
          <w:szCs w:val="32"/>
          <w:lang w:val="en-US" w:eastAsia="zh-CN" w:bidi="ar"/>
        </w:rPr>
        <w:t>落户</w:t>
      </w:r>
      <w:r>
        <w:rPr>
          <w:rFonts w:hint="default" w:ascii="仿宋_GB2312" w:hAnsi="等线" w:eastAsia="仿宋_GB2312" w:cs="仿宋_GB2312"/>
          <w:color w:val="000000"/>
          <w:kern w:val="0"/>
          <w:sz w:val="32"/>
          <w:szCs w:val="32"/>
          <w:lang w:eastAsia="zh-CN" w:bidi="ar"/>
        </w:rPr>
        <w:t>望城区</w:t>
      </w:r>
      <w:r>
        <w:rPr>
          <w:rFonts w:hint="eastAsia" w:ascii="仿宋_GB2312" w:hAnsi="等线" w:eastAsia="仿宋_GB2312" w:cs="仿宋_GB2312"/>
          <w:color w:val="000000"/>
          <w:kern w:val="0"/>
          <w:sz w:val="32"/>
          <w:szCs w:val="32"/>
          <w:lang w:val="en-US" w:eastAsia="zh-CN" w:bidi="ar"/>
        </w:rPr>
        <w:t>，大部分位于铜官片区</w:t>
      </w:r>
      <w:r>
        <w:rPr>
          <w:rFonts w:hint="default" w:ascii="仿宋_GB2312" w:hAnsi="等线" w:eastAsia="仿宋_GB2312" w:cs="仿宋_GB2312"/>
          <w:color w:val="000000"/>
          <w:kern w:val="0"/>
          <w:sz w:val="32"/>
          <w:szCs w:val="32"/>
          <w:lang w:val="en-US" w:eastAsia="zh-CN" w:bidi="ar"/>
        </w:rPr>
        <w:t>；工贸行业持续开展有限空间作业和</w:t>
      </w:r>
      <w:r>
        <w:rPr>
          <w:rFonts w:hint="eastAsia" w:ascii="仿宋_GB2312" w:hAnsi="等线" w:eastAsia="仿宋_GB2312" w:cs="仿宋_GB2312"/>
          <w:color w:val="000000"/>
          <w:kern w:val="0"/>
          <w:sz w:val="32"/>
          <w:szCs w:val="32"/>
          <w:lang w:val="en-US" w:eastAsia="zh-CN" w:bidi="ar"/>
        </w:rPr>
        <w:t>粉尘涉爆</w:t>
      </w:r>
      <w:r>
        <w:rPr>
          <w:rFonts w:hint="default" w:ascii="仿宋_GB2312" w:hAnsi="等线" w:eastAsia="仿宋_GB2312" w:cs="仿宋_GB2312"/>
          <w:color w:val="000000"/>
          <w:kern w:val="0"/>
          <w:sz w:val="32"/>
          <w:szCs w:val="32"/>
          <w:lang w:val="en-US" w:eastAsia="zh-CN" w:bidi="ar"/>
        </w:rPr>
        <w:t>等重大风险专项整治工作；建筑施工开展了危大工程等重大危险源专项整治、安全生产标准化考评</w:t>
      </w:r>
      <w:r>
        <w:rPr>
          <w:rFonts w:hint="eastAsia" w:ascii="仿宋_GB2312" w:hAnsi="等线" w:eastAsia="仿宋_GB2312" w:cs="仿宋_GB2312"/>
          <w:color w:val="000000"/>
          <w:kern w:val="0"/>
          <w:sz w:val="32"/>
          <w:szCs w:val="32"/>
          <w:lang w:val="en-US" w:eastAsia="zh-CN" w:bidi="ar"/>
        </w:rPr>
        <w:t>以及</w:t>
      </w:r>
      <w:r>
        <w:rPr>
          <w:rFonts w:hint="default" w:ascii="仿宋_GB2312" w:hAnsi="等线" w:eastAsia="仿宋_GB2312" w:cs="仿宋_GB2312"/>
          <w:color w:val="000000"/>
          <w:kern w:val="0"/>
          <w:sz w:val="32"/>
          <w:szCs w:val="32"/>
          <w:lang w:val="en-US" w:eastAsia="zh-CN" w:bidi="ar"/>
        </w:rPr>
        <w:t>示范观摩工地创建等工作；深入开展道路交通安全专项整治，重点查处交通违法行为；消防部门深入开展大排查、大执法、大宣传、大警示、大培训活动；针对重点设备深入开展专项整治工作，深化机制改革创新，有效保证了全</w:t>
      </w:r>
      <w:r>
        <w:rPr>
          <w:rFonts w:hint="eastAsia" w:ascii="仿宋_GB2312" w:hAnsi="等线" w:eastAsia="仿宋_GB2312" w:cs="仿宋_GB2312"/>
          <w:color w:val="000000"/>
          <w:kern w:val="0"/>
          <w:sz w:val="32"/>
          <w:szCs w:val="32"/>
          <w:lang w:val="en-US" w:eastAsia="zh-CN" w:bidi="ar"/>
        </w:rPr>
        <w:t>区</w:t>
      </w:r>
      <w:r>
        <w:rPr>
          <w:rFonts w:hint="default" w:ascii="仿宋_GB2312" w:hAnsi="等线" w:eastAsia="仿宋_GB2312" w:cs="仿宋_GB2312"/>
          <w:color w:val="000000"/>
          <w:kern w:val="0"/>
          <w:sz w:val="32"/>
          <w:szCs w:val="32"/>
          <w:lang w:val="en-US" w:eastAsia="zh-CN" w:bidi="ar"/>
        </w:rPr>
        <w:t>特种设备运行安全；建成水上应急指挥救援中心，依靠信息化技术，实施远程动态监控和指挥调度。</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color w:val="000000"/>
          <w:kern w:val="0"/>
          <w:sz w:val="32"/>
          <w:szCs w:val="32"/>
          <w:lang w:val="en-US" w:eastAsia="zh-CN" w:bidi="ar"/>
        </w:rPr>
        <w:t>其中具体各行业安全生产工作完成情况如下：</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firstLine="643" w:firstLineChars="200"/>
        <w:textAlignment w:val="auto"/>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t>1.非煤矿山</w:t>
      </w:r>
    </w:p>
    <w:p>
      <w:pPr>
        <w:spacing w:line="640" w:lineRule="exact"/>
        <w:ind w:firstLine="640" w:firstLineChars="200"/>
        <w:rPr>
          <w:rFonts w:hint="default" w:ascii="仿宋_GB2312" w:hAnsi="等线" w:eastAsia="仿宋_GB2312" w:cs="仿宋_GB2312"/>
          <w:color w:val="000000"/>
          <w:kern w:val="0"/>
          <w:sz w:val="32"/>
          <w:szCs w:val="32"/>
          <w:lang w:val="en-US" w:eastAsia="zh-CN" w:bidi="ar"/>
        </w:rPr>
      </w:pPr>
      <w:r>
        <w:rPr>
          <w:rFonts w:ascii="仿宋" w:hAnsi="仿宋" w:eastAsia="仿宋"/>
          <w:color w:val="000000"/>
          <w:sz w:val="32"/>
          <w:szCs w:val="32"/>
        </w:rPr>
        <w:t>关闭了22家高能耗高污染高风险矿山</w:t>
      </w:r>
      <w:r>
        <w:rPr>
          <w:rFonts w:hint="eastAsia" w:ascii="仿宋" w:hAnsi="仿宋" w:eastAsia="仿宋"/>
          <w:color w:val="000000"/>
          <w:sz w:val="32"/>
          <w:szCs w:val="32"/>
          <w:lang w:val="en-US" w:eastAsia="zh-CN"/>
        </w:rPr>
        <w:t>企业</w:t>
      </w:r>
      <w:r>
        <w:rPr>
          <w:rFonts w:ascii="仿宋" w:hAnsi="仿宋" w:eastAsia="仿宋"/>
          <w:color w:val="000000"/>
          <w:sz w:val="32"/>
          <w:szCs w:val="32"/>
        </w:rPr>
        <w:t>，仅剩1家地面采石场。</w:t>
      </w:r>
      <w:r>
        <w:rPr>
          <w:rFonts w:hint="eastAsia" w:ascii="仿宋" w:hAnsi="仿宋" w:eastAsia="仿宋"/>
          <w:color w:val="000000"/>
          <w:sz w:val="32"/>
          <w:szCs w:val="32"/>
        </w:rPr>
        <w:t>“</w:t>
      </w:r>
      <w:r>
        <w:rPr>
          <w:rFonts w:ascii="仿宋" w:hAnsi="仿宋" w:eastAsia="仿宋"/>
          <w:color w:val="000000"/>
          <w:sz w:val="32"/>
          <w:szCs w:val="32"/>
        </w:rPr>
        <w:t>十三五”期间无一般及以上事故发生。</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firstLine="643" w:firstLineChars="200"/>
        <w:textAlignment w:val="auto"/>
        <w:rPr>
          <w:rFonts w:hint="eastAsia" w:ascii="仿宋_GB2312" w:eastAsia="仿宋_GB2312" w:hAnsiTheme="minorHAnsi" w:cstheme="minorBidi"/>
          <w:b/>
          <w:bCs/>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t>2</w:t>
      </w:r>
      <w:r>
        <w:rPr>
          <w:rFonts w:hint="eastAsia" w:ascii="仿宋_GB2312" w:eastAsia="仿宋_GB2312" w:hAnsiTheme="minorHAnsi" w:cstheme="minorBidi"/>
          <w:b/>
          <w:bCs/>
          <w:color w:val="000000" w:themeColor="text1"/>
          <w:kern w:val="2"/>
          <w:sz w:val="32"/>
          <w:szCs w:val="32"/>
          <w:highlight w:val="none"/>
          <w:lang w:val="en-US" w:eastAsia="zh-CN" w:bidi="ar-SA"/>
          <w14:textFill>
            <w14:solidFill>
              <w14:schemeClr w14:val="tx1"/>
            </w14:solidFill>
          </w14:textFill>
        </w:rPr>
        <w:t>.危险化学品</w:t>
      </w:r>
    </w:p>
    <w:p>
      <w:pPr>
        <w:spacing w:line="640" w:lineRule="exact"/>
        <w:ind w:firstLine="640" w:firstLineChars="200"/>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危险化学品生产企业入驻</w:t>
      </w:r>
      <w:r>
        <w:rPr>
          <w:rFonts w:hint="default" w:ascii="仿宋_GB2312" w:eastAsia="仿宋_GB2312" w:cstheme="minorBidi"/>
          <w:b w:val="0"/>
          <w:bCs w:val="0"/>
          <w:color w:val="000000" w:themeColor="text1"/>
          <w:kern w:val="2"/>
          <w:sz w:val="32"/>
          <w:szCs w:val="32"/>
          <w:highlight w:val="none"/>
          <w:lang w:eastAsia="zh-CN" w:bidi="ar-SA"/>
          <w14:textFill>
            <w14:solidFill>
              <w14:schemeClr w14:val="tx1"/>
            </w14:solidFill>
          </w14:textFill>
        </w:rPr>
        <w:t>望城区</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，且大部分位于铜官片区，危化品储运和经营企业也主要集中在</w:t>
      </w:r>
      <w:r>
        <w:rPr>
          <w:rFonts w:hint="default" w:ascii="仿宋_GB2312" w:eastAsia="仿宋_GB2312" w:cstheme="minorBidi"/>
          <w:b w:val="0"/>
          <w:bCs w:val="0"/>
          <w:color w:val="000000" w:themeColor="text1"/>
          <w:kern w:val="2"/>
          <w:sz w:val="32"/>
          <w:szCs w:val="32"/>
          <w:highlight w:val="none"/>
          <w:lang w:eastAsia="zh-CN" w:bidi="ar-SA"/>
          <w14:textFill>
            <w14:solidFill>
              <w14:schemeClr w14:val="tx1"/>
            </w14:solidFill>
          </w14:textFill>
        </w:rPr>
        <w:t>望城</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经开区铜官片区和铜官街道中山村，危险化学品经营（纯贸易）公司主要集中在湾田国际建材城，危化铁路专线已做规划。</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十三五</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期间无一般及以上事故发生。</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firstLine="643" w:firstLineChars="200"/>
        <w:textAlignment w:val="auto"/>
        <w:rPr>
          <w:rFonts w:hint="eastAsia" w:ascii="仿宋_GB2312" w:eastAsia="仿宋_GB2312" w:hAnsiTheme="minorHAnsi" w:cstheme="minorBidi"/>
          <w:b/>
          <w:bCs/>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t>3</w:t>
      </w:r>
      <w:r>
        <w:rPr>
          <w:rFonts w:hint="eastAsia" w:ascii="仿宋_GB2312" w:eastAsia="仿宋_GB2312" w:hAnsiTheme="minorHAnsi" w:cstheme="minorBidi"/>
          <w:b/>
          <w:bCs/>
          <w:color w:val="000000" w:themeColor="text1"/>
          <w:kern w:val="2"/>
          <w:sz w:val="32"/>
          <w:szCs w:val="32"/>
          <w:highlight w:val="none"/>
          <w:lang w:val="en-US" w:eastAsia="zh-CN" w:bidi="ar-SA"/>
          <w14:textFill>
            <w14:solidFill>
              <w14:schemeClr w14:val="tx1"/>
            </w14:solidFill>
          </w14:textFill>
        </w:rPr>
        <w:t>.工贸行业</w:t>
      </w:r>
    </w:p>
    <w:p>
      <w:pPr>
        <w:spacing w:line="640" w:lineRule="exact"/>
        <w:ind w:firstLine="640" w:firstLineChars="200"/>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在册工贸企业300余家，95%以上企业已创建安全</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生产</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标准化。重点监管粉尘涉爆和有限空间作业。</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十三五</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期间无一般及以上事故发生。</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firstLine="643" w:firstLineChars="200"/>
        <w:textAlignment w:val="auto"/>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t>4.烟花爆竹</w:t>
      </w:r>
    </w:p>
    <w:p>
      <w:pPr>
        <w:spacing w:line="640" w:lineRule="exact"/>
        <w:ind w:firstLine="640" w:firstLineChars="200"/>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十三五</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期间已关停了烟花爆竹生产企业，加大流通环节管制，全区仅剩一个烟花爆竹批发点。</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十三五</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期间无一般及以上事故发生。</w:t>
      </w:r>
    </w:p>
    <w:p>
      <w:pPr>
        <w:spacing w:line="640" w:lineRule="exact"/>
        <w:ind w:firstLine="640" w:firstLineChars="200"/>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firstLine="643" w:firstLineChars="200"/>
        <w:textAlignment w:val="auto"/>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t>5.消防安全</w:t>
      </w:r>
    </w:p>
    <w:p>
      <w:pPr>
        <w:spacing w:line="640" w:lineRule="exact"/>
        <w:ind w:firstLine="640" w:firstLineChars="200"/>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从2009年至2018年底，近十年全区有统计的火灾起数达到1154起，直接经济损失总额为3123.37万元，死亡人数3人，均为一般事故。</w:t>
      </w:r>
      <w:r>
        <w:rPr>
          <w:rFonts w:hint="eastAsia" w:ascii="仿宋_GB2312" w:eastAsia="仿宋_GB2312" w:cstheme="minorBidi"/>
          <w:b w:val="0"/>
          <w:bCs w:val="0"/>
          <w:color w:val="000000" w:themeColor="text1"/>
          <w:kern w:val="2"/>
          <w:sz w:val="32"/>
          <w:szCs w:val="32"/>
          <w:highlight w:val="none"/>
          <w:lang w:eastAsia="zh-CN" w:bidi="ar-SA"/>
          <w14:textFill>
            <w14:solidFill>
              <w14:schemeClr w14:val="tx1"/>
            </w14:solidFill>
          </w14:textFill>
        </w:rPr>
        <w:t>望城</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探索形成了</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巡、控、拆</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三位一体的拆违控违机制，搭建动态巡违的立体网络、</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落实</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严格拆违控违的工作措施、营造铁腕拆违的高压态势，取得了拆违控违工作的胜利，维护了区内消防安全形势。现已投入使用的消防站共3个，包括</w:t>
      </w:r>
      <w:r>
        <w:rPr>
          <w:rFonts w:hint="default" w:ascii="仿宋_GB2312" w:eastAsia="仿宋_GB2312" w:cstheme="minorBidi"/>
          <w:b w:val="0"/>
          <w:bCs w:val="0"/>
          <w:color w:val="000000" w:themeColor="text1"/>
          <w:kern w:val="2"/>
          <w:sz w:val="32"/>
          <w:szCs w:val="32"/>
          <w:highlight w:val="none"/>
          <w:lang w:eastAsia="zh-CN" w:bidi="ar-SA"/>
          <w14:textFill>
            <w14:solidFill>
              <w14:schemeClr w14:val="tx1"/>
            </w14:solidFill>
          </w14:textFill>
        </w:rPr>
        <w:t>望城区</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消防二站、</w:t>
      </w:r>
      <w:r>
        <w:rPr>
          <w:rFonts w:hint="default" w:ascii="仿宋_GB2312" w:eastAsia="仿宋_GB2312" w:cstheme="minorBidi"/>
          <w:b w:val="0"/>
          <w:bCs w:val="0"/>
          <w:color w:val="000000" w:themeColor="text1"/>
          <w:kern w:val="2"/>
          <w:sz w:val="32"/>
          <w:szCs w:val="32"/>
          <w:highlight w:val="none"/>
          <w:lang w:eastAsia="zh-CN" w:bidi="ar-SA"/>
          <w14:textFill>
            <w14:solidFill>
              <w14:schemeClr w14:val="tx1"/>
            </w14:solidFill>
          </w14:textFill>
        </w:rPr>
        <w:t>望城区</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中队消防站和长沙市直管的特勤三中队。现在建消防站3个；控规规划待建消防站共14个，乡镇、园区总规划待建消防站共6个；待建消防训练基地1个。</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firstLine="643" w:firstLineChars="200"/>
        <w:textAlignment w:val="auto"/>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t>6.道路交通</w:t>
      </w:r>
    </w:p>
    <w:p>
      <w:pPr>
        <w:spacing w:line="640" w:lineRule="exact"/>
        <w:ind w:firstLine="640" w:firstLineChars="200"/>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2016至2018年</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农村公路提质改造500余公里</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2019年，</w:t>
      </w:r>
      <w:r>
        <w:rPr>
          <w:rFonts w:hint="eastAsia" w:ascii="仿宋_GB2312" w:eastAsia="仿宋_GB2312" w:cstheme="minorBidi"/>
          <w:b w:val="0"/>
          <w:bCs w:val="0"/>
          <w:color w:val="000000" w:themeColor="text1"/>
          <w:kern w:val="2"/>
          <w:sz w:val="32"/>
          <w:szCs w:val="32"/>
          <w:highlight w:val="none"/>
          <w:lang w:eastAsia="zh-CN" w:bidi="ar-SA"/>
          <w14:textFill>
            <w14:solidFill>
              <w14:schemeClr w14:val="tx1"/>
            </w14:solidFill>
          </w14:textFill>
        </w:rPr>
        <w:t>望城区</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获评</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四好农村路</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省级示范区。截至2019年底，</w:t>
      </w:r>
      <w:r>
        <w:rPr>
          <w:rFonts w:hint="eastAsia" w:ascii="仿宋_GB2312" w:eastAsia="仿宋_GB2312" w:cstheme="minorBidi"/>
          <w:b w:val="0"/>
          <w:bCs w:val="0"/>
          <w:color w:val="000000" w:themeColor="text1"/>
          <w:kern w:val="2"/>
          <w:sz w:val="32"/>
          <w:szCs w:val="32"/>
          <w:highlight w:val="none"/>
          <w:lang w:eastAsia="zh-CN" w:bidi="ar-SA"/>
          <w14:textFill>
            <w14:solidFill>
              <w14:schemeClr w14:val="tx1"/>
            </w14:solidFill>
          </w14:textFill>
        </w:rPr>
        <w:t>望城区</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公路总里程达3758公里（高速公路74.10公里，普通国道47.7公里，普通省道105.3公里），全区路网密度由</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十二五</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末的261公里/百万平方公里提高到387.8公里/百万平方公里，公路网密度是全省平均水平的2倍多。</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十三五</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期间共发生交通安全事故45起，死亡46人，均为一般事故。</w:t>
      </w:r>
    </w:p>
    <w:p>
      <w:pPr>
        <w:spacing w:line="640" w:lineRule="exact"/>
        <w:ind w:firstLine="640" w:firstLineChars="200"/>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firstLine="643" w:firstLineChars="200"/>
        <w:textAlignment w:val="auto"/>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t>7.建筑施工</w:t>
      </w:r>
    </w:p>
    <w:p>
      <w:pPr>
        <w:spacing w:line="640" w:lineRule="exact"/>
        <w:ind w:firstLine="640" w:firstLineChars="200"/>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重点强化了深坑基作业、吊装、高处作业和现场车辆进出等方面的监管。2017年和2019年各发生一起1人死亡事故。</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0" w:leftChars="0" w:firstLine="643" w:firstLineChars="200"/>
        <w:textAlignment w:val="auto"/>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cstheme="minorBidi"/>
          <w:b/>
          <w:bCs/>
          <w:color w:val="000000" w:themeColor="text1"/>
          <w:kern w:val="2"/>
          <w:sz w:val="32"/>
          <w:szCs w:val="32"/>
          <w:highlight w:val="none"/>
          <w:lang w:val="en-US" w:eastAsia="zh-CN" w:bidi="ar-SA"/>
          <w14:textFill>
            <w14:solidFill>
              <w14:schemeClr w14:val="tx1"/>
            </w14:solidFill>
          </w14:textFill>
        </w:rPr>
        <w:t>8.特种设备</w:t>
      </w:r>
    </w:p>
    <w:p>
      <w:pPr>
        <w:spacing w:line="640" w:lineRule="exact"/>
        <w:ind w:firstLine="640" w:firstLineChars="200"/>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本区现有液化气充装企业4家，特种设备使用企业或单位有1300余家，在册特种设备1万余台，并且以每年1400台左右的速度增加。所有电梯已纳入长沙市96366电梯应急监管平台。</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十三五</w:t>
      </w:r>
      <w:r>
        <w:rPr>
          <w:rFonts w:hint="eastAsia" w:ascii="仿宋_GB2312" w:eastAsia="仿宋_GB2312" w:cstheme="minorBidi"/>
          <w:b w:val="0"/>
          <w:bCs w:val="0"/>
          <w:color w:val="000000" w:themeColor="text1"/>
          <w:kern w:val="2"/>
          <w:sz w:val="32"/>
          <w:szCs w:val="32"/>
          <w:highlight w:val="none"/>
          <w:lang w:val="en-US" w:eastAsia="zh-CN" w:bidi="ar-SA"/>
          <w14:textFill>
            <w14:solidFill>
              <w14:schemeClr w14:val="tx1"/>
            </w14:solidFill>
          </w14:textFill>
        </w:rPr>
        <w:t>”</w:t>
      </w:r>
      <w:r>
        <w:rPr>
          <w:rFonts w:hint="eastAsia" w:ascii="仿宋_GB2312" w:eastAsia="仿宋_GB2312" w:hAnsiTheme="minorHAnsi" w:cstheme="minorBidi"/>
          <w:b w:val="0"/>
          <w:bCs w:val="0"/>
          <w:color w:val="000000" w:themeColor="text1"/>
          <w:kern w:val="2"/>
          <w:sz w:val="32"/>
          <w:szCs w:val="32"/>
          <w:highlight w:val="none"/>
          <w:lang w:val="en-US" w:eastAsia="zh-CN" w:bidi="ar-SA"/>
          <w14:textFill>
            <w14:solidFill>
              <w14:schemeClr w14:val="tx1"/>
            </w14:solidFill>
          </w14:textFill>
        </w:rPr>
        <w:t>期间无一般及以上事故发生。</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3" w:name="_Toc19094"/>
      <w:r>
        <w:rPr>
          <w:rFonts w:hint="eastAsia" w:ascii="楷体_GB2312" w:eastAsia="楷体_GB2312"/>
          <w:b w:val="0"/>
          <w:bCs w:val="0"/>
          <w:color w:val="000000" w:themeColor="text1"/>
          <w:highlight w:val="none"/>
          <w14:textFill>
            <w14:solidFill>
              <w14:schemeClr w14:val="tx1"/>
            </w14:solidFill>
          </w14:textFill>
        </w:rPr>
        <w:t>（二）主要亮点工作</w:t>
      </w:r>
      <w:bookmarkEnd w:id="3"/>
    </w:p>
    <w:p>
      <w:pPr>
        <w:keepNext w:val="0"/>
        <w:keepLines w:val="0"/>
        <w:pageBreakBefore w:val="0"/>
        <w:widowControl/>
        <w:kinsoku/>
        <w:wordWrap/>
        <w:overflowPunct/>
        <w:topLinePunct w:val="0"/>
        <w:autoSpaceDE/>
        <w:autoSpaceDN/>
        <w:bidi w:val="0"/>
        <w:adjustRightInd/>
        <w:snapToGrid/>
        <w:spacing w:line="640" w:lineRule="exact"/>
        <w:ind w:firstLine="643" w:firstLineChars="200"/>
        <w:textAlignment w:val="auto"/>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1.率先建立应急联动指挥中心</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2016年整合平台资源，率先建立应急联动指挥中心，将应急、环保、城管、综治、公安等部门业务纳入133个应急管理网格，实现</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一张网格管到底</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，平均每天处置交办</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事件</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300件以上，实现了应急事件信息共享、应急处置统筹调度、应急反应高效快速。健全领导包案机制，妥善化解各类信访问题。健全社会治安防控体系，强化社会治安综合治理，严厉打击各类违法犯罪行为，努力建设</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平安</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2.推进网格化社会治理创新</w:t>
      </w:r>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建立</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指导在区、主抓在镇、主体在社区</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的三级联动机制，构建共建共享的基层治理新模式。全力落实安全生产</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一岗双责</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r>
        <w:rPr>
          <w:rFonts w:hint="default"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以生命至上的担当保障人民生命财产安全。</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构建立体化防控体系，促进城区安全网、民生网、服务网</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三网合一</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，让广大人民群众在社会治理现代化中感受到公平正义、幸福安宁。</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3.提高基础设施本质安全水平</w:t>
      </w:r>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整合各类水利资金28亿元，实施大众垸堤防</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建设</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、综合整治、病险水库治理、中小河流综合治理等2600多处水利</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设施</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工程，完善现代化农田水利设施，</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解决农村</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14.2万人口饮水安全问题</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。改造农村危房1500户，加强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农村</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居民建房管理，进一步提高群众居住品质。</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4.推进智慧城市建设</w:t>
      </w:r>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深化与华为等公司合作，启动智慧城市一期建设，完成云底座、智慧城市运营中心、智慧园区、智慧水务、智慧交通、智慧教育、智慧医疗、智慧消防、社会治理等建设项目，打造具有</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特色的新型智慧城市。</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5</w:t>
      </w:r>
      <w:r>
        <w:rPr>
          <w:rFonts w:hint="eastAsia" w:ascii="仿宋_GB2312" w:hAnsi="仿宋_GB2312" w:eastAsia="仿宋_GB2312" w:cs="仿宋_GB2312"/>
          <w:b/>
          <w:bCs/>
          <w:color w:val="000000" w:themeColor="text1"/>
          <w:kern w:val="0"/>
          <w:sz w:val="32"/>
          <w:szCs w:val="32"/>
          <w:highlight w:val="none"/>
          <w:lang w:eastAsia="zh-CN"/>
          <w14:textFill>
            <w14:solidFill>
              <w14:schemeClr w14:val="tx1"/>
            </w14:solidFill>
          </w14:textFill>
        </w:rPr>
        <w:t>.</w:t>
      </w:r>
      <w:r>
        <w:rPr>
          <w:rFonts w:hint="default" w:ascii="仿宋_GB2312" w:hAnsi="仿宋_GB2312" w:eastAsia="仿宋_GB2312" w:cs="仿宋_GB2312"/>
          <w:b/>
          <w:bCs/>
          <w:color w:val="000000" w:themeColor="text1"/>
          <w:kern w:val="0"/>
          <w:sz w:val="32"/>
          <w:szCs w:val="32"/>
          <w:highlight w:val="none"/>
          <w:lang w:eastAsia="zh-CN"/>
          <w14:textFill>
            <w14:solidFill>
              <w14:schemeClr w14:val="tx1"/>
            </w14:solidFill>
          </w14:textFill>
        </w:rPr>
        <w:t>取得成绩</w:t>
      </w:r>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2017年，加快新型城镇化试点、海绵城市试点建设，率先全省编制海绵城市建设技术导则，雷锋公园、工农东路等海绵城市试点项目建成投运。全年未发生重特大安全事故，白沙洲、乔口获评省级安全生产示范街镇。</w:t>
      </w:r>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2018年，获评中国工业百强区，</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望城</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经开区荣获</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国家新型工业化产业示范基地</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。157处水毁</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修复</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工程和55处</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应急</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处险工程全部完工，大众垸防洪整治、河湖水系连通等重点水利项目加快推进，农村水利建设实现新突破。完成农村公路提质改造140公里、安保工程101公里，丁字联络线、新阳公路建成通车，获评</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四好农村路</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省级示范区（县）。</w:t>
      </w:r>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2019年，全年安全生产事故起数、死亡人数同比均下降33.3%，获评全省安全生产工作先进单位。</w:t>
      </w:r>
    </w:p>
    <w:p>
      <w:pPr>
        <w:pStyle w:val="2"/>
        <w:spacing w:before="0" w:after="0" w:line="640" w:lineRule="exact"/>
        <w:ind w:firstLine="640" w:firstLineChars="200"/>
        <w:jc w:val="both"/>
        <w:rPr>
          <w:rFonts w:ascii="黑体" w:hAnsi="黑体" w:eastAsia="黑体"/>
          <w:b w:val="0"/>
          <w:bCs w:val="0"/>
          <w:sz w:val="32"/>
          <w:szCs w:val="32"/>
        </w:rPr>
      </w:pPr>
      <w:bookmarkStart w:id="4" w:name="_Toc29735"/>
      <w:r>
        <w:rPr>
          <w:rFonts w:ascii="黑体" w:hAnsi="黑体" w:eastAsia="黑体"/>
          <w:b w:val="0"/>
          <w:bCs w:val="0"/>
          <w:sz w:val="32"/>
          <w:szCs w:val="32"/>
        </w:rPr>
        <w:t>二、面临的挑战与机遇</w:t>
      </w:r>
      <w:bookmarkEnd w:id="4"/>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5" w:name="_Toc30961"/>
      <w:r>
        <w:rPr>
          <w:rFonts w:hint="eastAsia" w:ascii="楷体_GB2312" w:eastAsia="楷体_GB2312"/>
          <w:b w:val="0"/>
          <w:bCs w:val="0"/>
          <w:color w:val="000000" w:themeColor="text1"/>
          <w:highlight w:val="none"/>
          <w14:textFill>
            <w14:solidFill>
              <w14:schemeClr w14:val="tx1"/>
            </w14:solidFill>
          </w14:textFill>
        </w:rPr>
        <w:t>（一）面临的挑战</w:t>
      </w:r>
      <w:bookmarkEnd w:id="5"/>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eastAsia" w:ascii="仿宋_GB2312" w:hAnsi="等线" w:eastAsia="仿宋_GB2312" w:cs="仿宋_GB2312"/>
          <w:color w:val="000000"/>
          <w:kern w:val="0"/>
          <w:sz w:val="32"/>
          <w:szCs w:val="32"/>
          <w:lang w:eastAsia="zh-CN" w:bidi="ar"/>
        </w:rPr>
        <w:t>望城区</w:t>
      </w:r>
      <w:r>
        <w:rPr>
          <w:rFonts w:hint="default" w:ascii="仿宋_GB2312" w:hAnsi="等线" w:eastAsia="仿宋_GB2312" w:cs="仿宋_GB2312"/>
          <w:color w:val="000000"/>
          <w:kern w:val="0"/>
          <w:sz w:val="32"/>
          <w:szCs w:val="32"/>
          <w:lang w:eastAsia="zh-CN" w:bidi="ar"/>
        </w:rPr>
        <w:t>是长沙市</w:t>
      </w:r>
      <w:r>
        <w:rPr>
          <w:rFonts w:hint="eastAsia" w:ascii="仿宋_GB2312" w:hAnsi="等线" w:eastAsia="仿宋_GB2312" w:cs="仿宋_GB2312"/>
          <w:color w:val="000000"/>
          <w:kern w:val="0"/>
          <w:sz w:val="32"/>
          <w:szCs w:val="32"/>
          <w:lang w:eastAsia="zh-CN" w:bidi="ar"/>
        </w:rPr>
        <w:t>“</w:t>
      </w:r>
      <w:r>
        <w:rPr>
          <w:rFonts w:hint="default" w:ascii="仿宋_GB2312" w:hAnsi="等线" w:eastAsia="仿宋_GB2312" w:cs="仿宋_GB2312"/>
          <w:color w:val="000000"/>
          <w:kern w:val="0"/>
          <w:sz w:val="32"/>
          <w:szCs w:val="32"/>
          <w:lang w:eastAsia="zh-CN" w:bidi="ar"/>
        </w:rPr>
        <w:t>东拓、西提、南融、北进、中优</w:t>
      </w:r>
      <w:r>
        <w:rPr>
          <w:rFonts w:hint="eastAsia" w:ascii="仿宋_GB2312" w:hAnsi="等线" w:eastAsia="仿宋_GB2312" w:cs="仿宋_GB2312"/>
          <w:color w:val="000000"/>
          <w:kern w:val="0"/>
          <w:sz w:val="32"/>
          <w:szCs w:val="32"/>
          <w:lang w:eastAsia="zh-CN" w:bidi="ar"/>
        </w:rPr>
        <w:t>”</w:t>
      </w:r>
      <w:r>
        <w:rPr>
          <w:rFonts w:hint="default" w:ascii="仿宋_GB2312" w:hAnsi="等线" w:eastAsia="仿宋_GB2312" w:cs="仿宋_GB2312"/>
          <w:color w:val="000000"/>
          <w:kern w:val="0"/>
          <w:sz w:val="32"/>
          <w:szCs w:val="32"/>
          <w:lang w:val="en-US" w:eastAsia="zh-CN" w:bidi="ar"/>
        </w:rPr>
        <w:t>发展战略中</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西提</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和</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北进</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的核心发展区域。作为湖南省省会长沙市</w:t>
      </w:r>
      <w:r>
        <w:rPr>
          <w:rFonts w:hint="eastAsia" w:ascii="仿宋_GB2312" w:hAnsi="等线" w:eastAsia="仿宋_GB2312" w:cs="仿宋_GB2312"/>
          <w:color w:val="000000"/>
          <w:kern w:val="0"/>
          <w:sz w:val="32"/>
          <w:szCs w:val="32"/>
          <w:lang w:val="en-US" w:eastAsia="zh-CN" w:bidi="ar"/>
        </w:rPr>
        <w:t>的</w:t>
      </w:r>
      <w:r>
        <w:rPr>
          <w:rFonts w:hint="default" w:ascii="仿宋_GB2312" w:hAnsi="等线" w:eastAsia="仿宋_GB2312" w:cs="仿宋_GB2312"/>
          <w:color w:val="000000"/>
          <w:kern w:val="0"/>
          <w:sz w:val="32"/>
          <w:szCs w:val="32"/>
          <w:lang w:val="en-US" w:eastAsia="zh-CN" w:bidi="ar"/>
        </w:rPr>
        <w:t>重要区级单位，</w:t>
      </w:r>
      <w:r>
        <w:rPr>
          <w:rFonts w:hint="eastAsia" w:ascii="仿宋_GB2312" w:hAnsi="等线" w:eastAsia="仿宋_GB2312" w:cs="仿宋_GB2312"/>
          <w:color w:val="000000"/>
          <w:kern w:val="0"/>
          <w:sz w:val="32"/>
          <w:szCs w:val="32"/>
          <w:lang w:eastAsia="zh-CN" w:bidi="ar"/>
        </w:rPr>
        <w:t>望城区</w:t>
      </w:r>
      <w:r>
        <w:rPr>
          <w:rFonts w:hint="default" w:ascii="仿宋_GB2312" w:hAnsi="等线" w:eastAsia="仿宋_GB2312" w:cs="仿宋_GB2312"/>
          <w:color w:val="000000"/>
          <w:kern w:val="0"/>
          <w:sz w:val="32"/>
          <w:szCs w:val="32"/>
          <w:lang w:val="en-US" w:eastAsia="zh-CN" w:bidi="ar"/>
        </w:rPr>
        <w:t>产业调整和升级压力大，危化产业入园管理，基础设施和建筑业迅猛发展</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人口密集，城市建设规模大，公众聚集场所多，道路交通压力大，应急管理和安全生产基础薄弱。受生产力发展水平、企业本质安全程度、从业人员素质、政府监管体制与机制、自然灾害预警和应急救援能力、社会安全生产意识等多种因素的影响和制约，应急管理和安全生产仍存在一定的不足，主要表现为：</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eastAsia="zh-CN" w:bidi="ar"/>
        </w:rPr>
      </w:pPr>
      <w:r>
        <w:rPr>
          <w:rFonts w:hint="default" w:ascii="仿宋_GB2312" w:hAnsi="等线" w:eastAsia="仿宋_GB2312" w:cs="仿宋_GB2312"/>
          <w:color w:val="000000"/>
          <w:kern w:val="0"/>
          <w:sz w:val="32"/>
          <w:szCs w:val="32"/>
          <w:lang w:eastAsia="zh-CN" w:bidi="ar"/>
        </w:rPr>
        <w:t>1.制造业安全风险不容忽视。望城将打造国家重要先进制造业高地，</w:t>
      </w:r>
      <w:r>
        <w:rPr>
          <w:rFonts w:hint="default" w:ascii="仿宋_GB2312" w:hAnsi="等线" w:eastAsia="仿宋_GB2312" w:cs="仿宋_GB2312"/>
          <w:color w:val="000000"/>
          <w:kern w:val="0"/>
          <w:sz w:val="32"/>
          <w:szCs w:val="32"/>
          <w:lang w:val="en-US" w:eastAsia="zh-CN" w:bidi="ar"/>
        </w:rPr>
        <w:t>打造</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1个千亿级+N个500亿级</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产业集群</w:t>
      </w:r>
      <w:r>
        <w:rPr>
          <w:rFonts w:hint="default" w:ascii="仿宋_GB2312" w:hAnsi="等线" w:eastAsia="仿宋_GB2312" w:cs="仿宋_GB2312"/>
          <w:color w:val="000000"/>
          <w:kern w:val="0"/>
          <w:sz w:val="32"/>
          <w:szCs w:val="32"/>
          <w:lang w:eastAsia="zh-CN" w:bidi="ar"/>
        </w:rPr>
        <w:t>，新产业新集群带来新安全风险和新挑战，迫切需要新的监管思路和方法与之相适应。传统</w:t>
      </w:r>
      <w:r>
        <w:rPr>
          <w:rFonts w:hint="default" w:ascii="仿宋_GB2312" w:hAnsi="等线" w:eastAsia="仿宋_GB2312" w:cs="仿宋_GB2312"/>
          <w:color w:val="000000"/>
          <w:kern w:val="0"/>
          <w:sz w:val="32"/>
          <w:szCs w:val="32"/>
          <w:lang w:val="en-US" w:eastAsia="zh-CN" w:bidi="ar"/>
        </w:rPr>
        <w:t>工贸企业数量大、体量小、分散、涉及行业多且企业安全管理水平普遍不高，粉尘</w:t>
      </w:r>
      <w:r>
        <w:rPr>
          <w:rFonts w:hint="eastAsia" w:ascii="仿宋_GB2312" w:hAnsi="等线" w:eastAsia="仿宋_GB2312" w:cs="仿宋_GB2312"/>
          <w:color w:val="000000"/>
          <w:kern w:val="0"/>
          <w:sz w:val="32"/>
          <w:szCs w:val="32"/>
          <w:lang w:val="en-US" w:eastAsia="zh-CN" w:bidi="ar"/>
        </w:rPr>
        <w:t>涉爆</w:t>
      </w:r>
      <w:r>
        <w:rPr>
          <w:rFonts w:hint="default" w:ascii="仿宋_GB2312" w:hAnsi="等线" w:eastAsia="仿宋_GB2312" w:cs="仿宋_GB2312"/>
          <w:color w:val="000000"/>
          <w:kern w:val="0"/>
          <w:sz w:val="32"/>
          <w:szCs w:val="32"/>
          <w:lang w:val="en-US" w:eastAsia="zh-CN" w:bidi="ar"/>
        </w:rPr>
        <w:t>和有限空间风险突</w:t>
      </w:r>
      <w:r>
        <w:rPr>
          <w:rFonts w:hint="default" w:ascii="仿宋_GB2312" w:hAnsi="等线" w:eastAsia="仿宋_GB2312" w:cs="仿宋_GB2312"/>
          <w:color w:val="000000"/>
          <w:kern w:val="0"/>
          <w:sz w:val="32"/>
          <w:szCs w:val="32"/>
          <w:lang w:eastAsia="zh-CN" w:bidi="ar"/>
        </w:rPr>
        <w:t>出。</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color w:val="000000"/>
          <w:kern w:val="0"/>
          <w:sz w:val="32"/>
          <w:szCs w:val="32"/>
          <w:lang w:eastAsia="zh-CN" w:bidi="ar"/>
        </w:rPr>
        <w:t>2</w:t>
      </w:r>
      <w:r>
        <w:rPr>
          <w:rFonts w:hint="default" w:ascii="仿宋_GB2312" w:hAnsi="等线" w:eastAsia="仿宋_GB2312" w:cs="仿宋_GB2312"/>
          <w:color w:val="000000"/>
          <w:kern w:val="0"/>
          <w:sz w:val="32"/>
          <w:szCs w:val="32"/>
          <w:lang w:val="en-US" w:eastAsia="zh-CN" w:bidi="ar"/>
        </w:rPr>
        <w:t>.承接长沙市危化生产、存储、经营等产业转移</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风险增大。长沙市内所有化工生产企业和危化品存储经营</w:t>
      </w:r>
      <w:r>
        <w:rPr>
          <w:rFonts w:hint="eastAsia" w:ascii="仿宋_GB2312" w:hAnsi="等线" w:eastAsia="仿宋_GB2312" w:cs="仿宋_GB2312"/>
          <w:color w:val="000000"/>
          <w:kern w:val="0"/>
          <w:sz w:val="32"/>
          <w:szCs w:val="32"/>
          <w:lang w:val="en-US" w:eastAsia="zh-CN" w:bidi="ar"/>
        </w:rPr>
        <w:t>企业</w:t>
      </w:r>
      <w:r>
        <w:rPr>
          <w:rFonts w:hint="default" w:ascii="仿宋_GB2312" w:hAnsi="等线" w:eastAsia="仿宋_GB2312" w:cs="仿宋_GB2312"/>
          <w:color w:val="000000"/>
          <w:kern w:val="0"/>
          <w:sz w:val="32"/>
          <w:szCs w:val="32"/>
          <w:lang w:val="en-US" w:eastAsia="zh-CN" w:bidi="ar"/>
        </w:rPr>
        <w:t>都已统一纳入</w:t>
      </w:r>
      <w:r>
        <w:rPr>
          <w:rFonts w:hint="default" w:ascii="仿宋_GB2312" w:hAnsi="等线" w:eastAsia="仿宋_GB2312" w:cs="仿宋_GB2312"/>
          <w:color w:val="000000"/>
          <w:kern w:val="0"/>
          <w:sz w:val="32"/>
          <w:szCs w:val="32"/>
          <w:lang w:eastAsia="zh-CN" w:bidi="ar"/>
        </w:rPr>
        <w:t>望城</w:t>
      </w:r>
      <w:r>
        <w:rPr>
          <w:rFonts w:hint="default" w:ascii="仿宋_GB2312" w:hAnsi="等线" w:eastAsia="仿宋_GB2312" w:cs="仿宋_GB2312"/>
          <w:color w:val="000000"/>
          <w:kern w:val="0"/>
          <w:sz w:val="32"/>
          <w:szCs w:val="32"/>
          <w:lang w:val="en-US" w:eastAsia="zh-CN" w:bidi="ar"/>
        </w:rPr>
        <w:t>经开区、铜官片区、湾田国际建材城、长沙化工原料总公司651仓储基地等</w:t>
      </w:r>
      <w:r>
        <w:rPr>
          <w:rFonts w:hint="default" w:ascii="仿宋_GB2312" w:hAnsi="等线" w:eastAsia="仿宋_GB2312" w:cs="仿宋_GB2312"/>
          <w:color w:val="000000"/>
          <w:kern w:val="0"/>
          <w:sz w:val="32"/>
          <w:szCs w:val="32"/>
          <w:lang w:eastAsia="zh-CN" w:bidi="ar"/>
        </w:rPr>
        <w:t>望城区</w:t>
      </w:r>
      <w:r>
        <w:rPr>
          <w:rFonts w:hint="default" w:ascii="仿宋_GB2312" w:hAnsi="等线" w:eastAsia="仿宋_GB2312" w:cs="仿宋_GB2312"/>
          <w:color w:val="000000"/>
          <w:kern w:val="0"/>
          <w:sz w:val="32"/>
          <w:szCs w:val="32"/>
          <w:lang w:val="en-US" w:eastAsia="zh-CN" w:bidi="ar"/>
        </w:rPr>
        <w:t>域内，使得</w:t>
      </w:r>
      <w:r>
        <w:rPr>
          <w:rFonts w:hint="default" w:ascii="仿宋_GB2312" w:hAnsi="等线" w:eastAsia="仿宋_GB2312" w:cs="仿宋_GB2312"/>
          <w:color w:val="000000"/>
          <w:kern w:val="0"/>
          <w:sz w:val="32"/>
          <w:szCs w:val="32"/>
          <w:lang w:eastAsia="zh-CN" w:bidi="ar"/>
        </w:rPr>
        <w:t>望城区</w:t>
      </w:r>
      <w:r>
        <w:rPr>
          <w:rFonts w:hint="default" w:ascii="仿宋_GB2312" w:hAnsi="等线" w:eastAsia="仿宋_GB2312" w:cs="仿宋_GB2312"/>
          <w:color w:val="000000"/>
          <w:kern w:val="0"/>
          <w:sz w:val="32"/>
          <w:szCs w:val="32"/>
          <w:lang w:val="en-US" w:eastAsia="zh-CN" w:bidi="ar"/>
        </w:rPr>
        <w:t>危化品的生产、储运、经营安全压力剧增，风险叠加更为明显。</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color w:val="000000"/>
          <w:kern w:val="0"/>
          <w:sz w:val="32"/>
          <w:szCs w:val="32"/>
          <w:lang w:eastAsia="zh-CN" w:bidi="ar"/>
        </w:rPr>
        <w:t>3</w:t>
      </w:r>
      <w:r>
        <w:rPr>
          <w:rFonts w:hint="default" w:ascii="仿宋_GB2312" w:hAnsi="等线" w:eastAsia="仿宋_GB2312" w:cs="仿宋_GB2312"/>
          <w:color w:val="000000"/>
          <w:kern w:val="0"/>
          <w:sz w:val="32"/>
          <w:szCs w:val="32"/>
          <w:lang w:val="en-US" w:eastAsia="zh-CN" w:bidi="ar"/>
        </w:rPr>
        <w:t>.建筑工程和基础设施建设数量大、分布广，监管难度大。</w:t>
      </w:r>
      <w:r>
        <w:rPr>
          <w:rFonts w:hint="eastAsia" w:ascii="仿宋_GB2312" w:hAnsi="等线" w:eastAsia="仿宋_GB2312" w:cs="仿宋_GB2312"/>
          <w:color w:val="000000"/>
          <w:kern w:val="0"/>
          <w:sz w:val="32"/>
          <w:szCs w:val="32"/>
          <w:lang w:eastAsia="zh-CN" w:bidi="ar"/>
        </w:rPr>
        <w:t>望城区</w:t>
      </w:r>
      <w:r>
        <w:rPr>
          <w:rFonts w:hint="default" w:ascii="仿宋_GB2312" w:hAnsi="等线" w:eastAsia="仿宋_GB2312" w:cs="仿宋_GB2312"/>
          <w:color w:val="000000"/>
          <w:kern w:val="0"/>
          <w:sz w:val="32"/>
          <w:szCs w:val="32"/>
          <w:lang w:val="en-US" w:eastAsia="zh-CN" w:bidi="ar"/>
        </w:rPr>
        <w:t>的飞速发展，城区面积迅速扩张，</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十三五</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期间实际开工面积累计1432万</w:t>
      </w:r>
      <w:r>
        <w:rPr>
          <w:rFonts w:hint="default" w:ascii="仿宋_GB2312" w:hAnsi="等线" w:eastAsia="仿宋_GB2312" w:cs="仿宋_GB2312"/>
          <w:color w:val="000000"/>
          <w:kern w:val="0"/>
          <w:sz w:val="32"/>
          <w:szCs w:val="32"/>
          <w:lang w:eastAsia="zh-CN" w:bidi="ar"/>
        </w:rPr>
        <w:t>平方米</w:t>
      </w:r>
      <w:r>
        <w:rPr>
          <w:rFonts w:hint="default" w:ascii="仿宋_GB2312" w:hAnsi="等线" w:eastAsia="仿宋_GB2312" w:cs="仿宋_GB2312"/>
          <w:color w:val="000000"/>
          <w:kern w:val="0"/>
          <w:sz w:val="32"/>
          <w:szCs w:val="32"/>
          <w:lang w:val="en-US" w:eastAsia="zh-CN" w:bidi="ar"/>
        </w:rPr>
        <w:t>，年均新增实际开工面积358万</w:t>
      </w:r>
      <w:r>
        <w:rPr>
          <w:rFonts w:hint="default" w:ascii="仿宋_GB2312" w:hAnsi="等线" w:eastAsia="仿宋_GB2312" w:cs="仿宋_GB2312"/>
          <w:color w:val="000000"/>
          <w:kern w:val="0"/>
          <w:sz w:val="32"/>
          <w:szCs w:val="32"/>
          <w:lang w:eastAsia="zh-CN" w:bidi="ar"/>
        </w:rPr>
        <w:t>平方米</w:t>
      </w:r>
      <w:r>
        <w:rPr>
          <w:rFonts w:hint="default" w:ascii="仿宋_GB2312" w:hAnsi="等线" w:eastAsia="仿宋_GB2312" w:cs="仿宋_GB2312"/>
          <w:color w:val="000000"/>
          <w:kern w:val="0"/>
          <w:sz w:val="32"/>
          <w:szCs w:val="32"/>
          <w:lang w:val="en-US" w:eastAsia="zh-CN" w:bidi="ar"/>
        </w:rPr>
        <w:t>。新竣工面积累计1329万</w:t>
      </w:r>
      <w:r>
        <w:rPr>
          <w:rFonts w:hint="default" w:ascii="仿宋_GB2312" w:hAnsi="等线" w:eastAsia="仿宋_GB2312" w:cs="仿宋_GB2312"/>
          <w:color w:val="000000"/>
          <w:kern w:val="0"/>
          <w:sz w:val="32"/>
          <w:szCs w:val="32"/>
          <w:lang w:eastAsia="zh-CN" w:bidi="ar"/>
        </w:rPr>
        <w:t>平方米</w:t>
      </w:r>
      <w:r>
        <w:rPr>
          <w:rFonts w:hint="default" w:ascii="仿宋_GB2312" w:hAnsi="等线" w:eastAsia="仿宋_GB2312" w:cs="仿宋_GB2312"/>
          <w:color w:val="000000"/>
          <w:kern w:val="0"/>
          <w:sz w:val="32"/>
          <w:szCs w:val="32"/>
          <w:lang w:val="en-US" w:eastAsia="zh-CN" w:bidi="ar"/>
        </w:rPr>
        <w:t>，年均新竣工面积332万</w:t>
      </w:r>
      <w:r>
        <w:rPr>
          <w:rFonts w:hint="default" w:ascii="仿宋_GB2312" w:hAnsi="等线" w:eastAsia="仿宋_GB2312" w:cs="仿宋_GB2312"/>
          <w:color w:val="000000"/>
          <w:kern w:val="0"/>
          <w:sz w:val="32"/>
          <w:szCs w:val="32"/>
          <w:lang w:eastAsia="zh-CN" w:bidi="ar"/>
        </w:rPr>
        <w:t>平方米</w:t>
      </w:r>
      <w:r>
        <w:rPr>
          <w:rFonts w:hint="default" w:ascii="仿宋_GB2312" w:hAnsi="等线" w:eastAsia="仿宋_GB2312" w:cs="仿宋_GB2312"/>
          <w:color w:val="000000"/>
          <w:kern w:val="0"/>
          <w:sz w:val="32"/>
          <w:szCs w:val="32"/>
          <w:lang w:val="en-US" w:eastAsia="zh-CN" w:bidi="ar"/>
        </w:rPr>
        <w:t>。</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十四五</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eastAsia="zh-CN" w:bidi="ar"/>
        </w:rPr>
        <w:t>时期，</w:t>
      </w:r>
      <w:r>
        <w:rPr>
          <w:rFonts w:hint="default" w:ascii="仿宋_GB2312" w:hAnsi="等线" w:eastAsia="仿宋_GB2312" w:cs="仿宋_GB2312"/>
          <w:color w:val="000000"/>
          <w:kern w:val="0"/>
          <w:sz w:val="32"/>
          <w:szCs w:val="32"/>
          <w:lang w:val="en-US" w:eastAsia="zh-CN" w:bidi="ar"/>
        </w:rPr>
        <w:t>城市功能拓展区计划住宅累计供应131万</w:t>
      </w:r>
      <w:r>
        <w:rPr>
          <w:rFonts w:hint="default" w:ascii="仿宋_GB2312" w:hAnsi="等线" w:eastAsia="仿宋_GB2312" w:cs="仿宋_GB2312"/>
          <w:color w:val="000000"/>
          <w:kern w:val="0"/>
          <w:sz w:val="32"/>
          <w:szCs w:val="32"/>
          <w:lang w:eastAsia="zh-CN" w:bidi="ar"/>
        </w:rPr>
        <w:t>平方米</w:t>
      </w:r>
      <w:r>
        <w:rPr>
          <w:rFonts w:hint="default" w:ascii="仿宋_GB2312" w:hAnsi="等线" w:eastAsia="仿宋_GB2312" w:cs="仿宋_GB2312"/>
          <w:color w:val="000000"/>
          <w:kern w:val="0"/>
          <w:sz w:val="32"/>
          <w:szCs w:val="32"/>
          <w:lang w:val="en-US" w:eastAsia="zh-CN" w:bidi="ar"/>
        </w:rPr>
        <w:t>，商业累计供应19万</w:t>
      </w:r>
      <w:r>
        <w:rPr>
          <w:rFonts w:hint="default" w:ascii="仿宋_GB2312" w:hAnsi="等线" w:eastAsia="仿宋_GB2312" w:cs="仿宋_GB2312"/>
          <w:color w:val="000000"/>
          <w:kern w:val="0"/>
          <w:sz w:val="32"/>
          <w:szCs w:val="32"/>
          <w:lang w:eastAsia="zh-CN" w:bidi="ar"/>
        </w:rPr>
        <w:t>平方米</w:t>
      </w:r>
      <w:r>
        <w:rPr>
          <w:rFonts w:hint="default" w:ascii="仿宋_GB2312" w:hAnsi="等线" w:eastAsia="仿宋_GB2312" w:cs="仿宋_GB2312"/>
          <w:color w:val="000000"/>
          <w:kern w:val="0"/>
          <w:sz w:val="32"/>
          <w:szCs w:val="32"/>
          <w:lang w:val="en-US" w:eastAsia="zh-CN" w:bidi="ar"/>
        </w:rPr>
        <w:t>，办公累计17万</w:t>
      </w:r>
      <w:r>
        <w:rPr>
          <w:rFonts w:hint="default" w:ascii="仿宋_GB2312" w:hAnsi="等线" w:eastAsia="仿宋_GB2312" w:cs="仿宋_GB2312"/>
          <w:color w:val="000000"/>
          <w:kern w:val="0"/>
          <w:sz w:val="32"/>
          <w:szCs w:val="32"/>
          <w:lang w:eastAsia="zh-CN" w:bidi="ar"/>
        </w:rPr>
        <w:t>平方米</w:t>
      </w:r>
      <w:r>
        <w:rPr>
          <w:rFonts w:hint="default" w:ascii="仿宋_GB2312" w:hAnsi="等线" w:eastAsia="仿宋_GB2312" w:cs="仿宋_GB2312"/>
          <w:color w:val="000000"/>
          <w:kern w:val="0"/>
          <w:sz w:val="32"/>
          <w:szCs w:val="32"/>
          <w:lang w:val="en-US" w:eastAsia="zh-CN" w:bidi="ar"/>
        </w:rPr>
        <w:t>，工业及其他累计供应4万</w:t>
      </w:r>
      <w:r>
        <w:rPr>
          <w:rFonts w:hint="default" w:ascii="仿宋_GB2312" w:hAnsi="等线" w:eastAsia="仿宋_GB2312" w:cs="仿宋_GB2312"/>
          <w:color w:val="000000"/>
          <w:kern w:val="0"/>
          <w:sz w:val="32"/>
          <w:szCs w:val="32"/>
          <w:lang w:eastAsia="zh-CN" w:bidi="ar"/>
        </w:rPr>
        <w:t>平方米</w:t>
      </w:r>
      <w:r>
        <w:rPr>
          <w:rFonts w:hint="default" w:ascii="仿宋_GB2312" w:hAnsi="等线" w:eastAsia="仿宋_GB2312" w:cs="仿宋_GB2312"/>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color w:val="000000"/>
          <w:kern w:val="0"/>
          <w:sz w:val="32"/>
          <w:szCs w:val="32"/>
          <w:lang w:eastAsia="zh-CN" w:bidi="ar"/>
        </w:rPr>
        <w:t>4</w:t>
      </w:r>
      <w:r>
        <w:rPr>
          <w:rFonts w:hint="default" w:ascii="仿宋_GB2312" w:hAnsi="等线" w:eastAsia="仿宋_GB2312" w:cs="仿宋_GB2312"/>
          <w:color w:val="000000"/>
          <w:kern w:val="0"/>
          <w:sz w:val="32"/>
          <w:szCs w:val="32"/>
          <w:lang w:val="en-US" w:eastAsia="zh-CN" w:bidi="ar"/>
        </w:rPr>
        <w:t>.道路交通安全压力大。</w:t>
      </w:r>
      <w:r>
        <w:rPr>
          <w:rFonts w:hint="default" w:ascii="仿宋_GB2312" w:hAnsi="等线" w:eastAsia="仿宋_GB2312" w:cs="仿宋_GB2312"/>
          <w:color w:val="000000"/>
          <w:kern w:val="0"/>
          <w:sz w:val="32"/>
          <w:szCs w:val="32"/>
          <w:lang w:eastAsia="zh-CN" w:bidi="ar"/>
        </w:rPr>
        <w:t>望城</w:t>
      </w:r>
      <w:r>
        <w:rPr>
          <w:rFonts w:hint="default" w:ascii="仿宋_GB2312" w:hAnsi="等线" w:eastAsia="仿宋_GB2312" w:cs="仿宋_GB2312"/>
          <w:color w:val="000000"/>
          <w:kern w:val="0"/>
          <w:sz w:val="32"/>
          <w:szCs w:val="32"/>
          <w:lang w:val="en-US" w:eastAsia="zh-CN" w:bidi="ar"/>
        </w:rPr>
        <w:t>区公路总里程达3758公里</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高速公路74.10公里</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普通国道47.7公里，普通省道105.3公里</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，全区路网密度由</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十二五</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末的261公里/百万平方公里提高到387.8公里/百万平方公里</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公路网密度是全省平均水平的2倍多。道路行人、非机动车和机动车不安全行为时有发生。</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color w:val="000000"/>
          <w:kern w:val="0"/>
          <w:sz w:val="32"/>
          <w:szCs w:val="32"/>
          <w:lang w:val="en-US" w:eastAsia="zh-CN" w:bidi="ar"/>
        </w:rPr>
        <w:t>5.公众风险意识和能力与社会经济迅速发展不匹配。不少住宅小区缺乏统一的物业管理机构负责消防安全管理工作，消防部门没有执法权，对各业主或租户违反消防安全的行为无法</w:t>
      </w:r>
      <w:r>
        <w:rPr>
          <w:rFonts w:hint="eastAsia" w:ascii="仿宋_GB2312" w:hAnsi="等线" w:eastAsia="仿宋_GB2312" w:cs="仿宋_GB2312"/>
          <w:color w:val="000000"/>
          <w:kern w:val="0"/>
          <w:sz w:val="32"/>
          <w:szCs w:val="32"/>
          <w:lang w:val="en-US" w:eastAsia="zh-CN" w:bidi="ar"/>
        </w:rPr>
        <w:t>有效地进行</w:t>
      </w:r>
      <w:r>
        <w:rPr>
          <w:rFonts w:hint="default" w:ascii="仿宋_GB2312" w:hAnsi="等线" w:eastAsia="仿宋_GB2312" w:cs="仿宋_GB2312"/>
          <w:color w:val="000000"/>
          <w:kern w:val="0"/>
          <w:sz w:val="32"/>
          <w:szCs w:val="32"/>
          <w:lang w:val="en-US" w:eastAsia="zh-CN" w:bidi="ar"/>
        </w:rPr>
        <w:t>制止，消防安全管理不到位。住宅小区内居民，缺乏统一组织的消防安全培训和演练，再加上人员密集，火灾时争相逃生，有可能发生踩踏事件。</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color w:val="000000"/>
          <w:kern w:val="0"/>
          <w:sz w:val="32"/>
          <w:szCs w:val="32"/>
          <w:lang w:val="en-US" w:eastAsia="zh-CN" w:bidi="ar"/>
        </w:rPr>
        <w:t>6.机构改革和职能职责仍需进一步优化调整。自应急管理局成立</w:t>
      </w:r>
      <w:r>
        <w:rPr>
          <w:rFonts w:hint="eastAsia" w:ascii="仿宋_GB2312" w:hAnsi="等线" w:eastAsia="仿宋_GB2312" w:cs="仿宋_GB2312"/>
          <w:color w:val="000000"/>
          <w:kern w:val="0"/>
          <w:sz w:val="32"/>
          <w:szCs w:val="32"/>
          <w:lang w:val="en-US" w:eastAsia="zh-CN" w:bidi="ar"/>
        </w:rPr>
        <w:t>以及</w:t>
      </w:r>
      <w:r>
        <w:rPr>
          <w:rFonts w:hint="default" w:ascii="仿宋_GB2312" w:hAnsi="等线" w:eastAsia="仿宋_GB2312" w:cs="仿宋_GB2312"/>
          <w:color w:val="000000"/>
          <w:kern w:val="0"/>
          <w:sz w:val="32"/>
          <w:szCs w:val="32"/>
          <w:lang w:val="en-US" w:eastAsia="zh-CN" w:bidi="ar"/>
        </w:rPr>
        <w:t>其他部门机构改革</w:t>
      </w:r>
      <w:r>
        <w:rPr>
          <w:rFonts w:hint="eastAsia" w:ascii="仿宋_GB2312" w:hAnsi="等线" w:eastAsia="仿宋_GB2312" w:cs="仿宋_GB2312"/>
          <w:color w:val="000000"/>
          <w:kern w:val="0"/>
          <w:sz w:val="32"/>
          <w:szCs w:val="32"/>
          <w:lang w:val="en-US" w:eastAsia="zh-CN" w:bidi="ar"/>
        </w:rPr>
        <w:t>以来</w:t>
      </w:r>
      <w:r>
        <w:rPr>
          <w:rFonts w:hint="default" w:ascii="仿宋_GB2312" w:hAnsi="等线" w:eastAsia="仿宋_GB2312" w:cs="仿宋_GB2312"/>
          <w:color w:val="000000"/>
          <w:kern w:val="0"/>
          <w:sz w:val="32"/>
          <w:szCs w:val="32"/>
          <w:lang w:val="en-US" w:eastAsia="zh-CN" w:bidi="ar"/>
        </w:rPr>
        <w:t>，各部门之间和应急管理局科室之间仍有不少具体应急管理职能职责优化和细化的提升空间。</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6" w:name="_Toc1998"/>
      <w:r>
        <w:rPr>
          <w:rFonts w:hint="eastAsia" w:ascii="楷体_GB2312" w:eastAsia="楷体_GB2312"/>
          <w:b w:val="0"/>
          <w:bCs w:val="0"/>
          <w:color w:val="000000" w:themeColor="text1"/>
          <w:highlight w:val="none"/>
          <w14:textFill>
            <w14:solidFill>
              <w14:schemeClr w14:val="tx1"/>
            </w14:solidFill>
          </w14:textFill>
        </w:rPr>
        <w:t>（二）面临的机遇</w:t>
      </w:r>
      <w:bookmarkEnd w:id="6"/>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十四五</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时期，应急管理工作面临许多有利条件和发展机遇。</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color w:val="000000"/>
          <w:kern w:val="0"/>
          <w:sz w:val="32"/>
          <w:szCs w:val="32"/>
          <w:lang w:val="en-US" w:eastAsia="zh-CN" w:bidi="ar"/>
        </w:rPr>
        <w:t>1.党中央、国务院高度重视应急管理工作，并作出了一系列重大决策部署，深入推进安全生产领域改革发展，为应急管理工作提供了强大政策支持。</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color w:val="000000"/>
          <w:kern w:val="0"/>
          <w:sz w:val="32"/>
          <w:szCs w:val="32"/>
          <w:lang w:val="en-US" w:eastAsia="zh-CN" w:bidi="ar"/>
        </w:rPr>
        <w:t>2.区委区政府及各级党委政府加强</w:t>
      </w:r>
      <w:r>
        <w:rPr>
          <w:rFonts w:hint="eastAsia" w:ascii="仿宋_GB2312" w:hAnsi="等线" w:eastAsia="仿宋_GB2312" w:cs="仿宋_GB2312"/>
          <w:color w:val="000000"/>
          <w:kern w:val="0"/>
          <w:sz w:val="32"/>
          <w:szCs w:val="32"/>
          <w:lang w:val="en-US" w:eastAsia="zh-CN" w:bidi="ar"/>
        </w:rPr>
        <w:t>组织</w:t>
      </w:r>
      <w:r>
        <w:rPr>
          <w:rFonts w:hint="default" w:ascii="仿宋_GB2312" w:hAnsi="等线" w:eastAsia="仿宋_GB2312" w:cs="仿宋_GB2312"/>
          <w:color w:val="000000"/>
          <w:kern w:val="0"/>
          <w:sz w:val="32"/>
          <w:szCs w:val="32"/>
          <w:lang w:val="en-US" w:eastAsia="zh-CN" w:bidi="ar"/>
        </w:rPr>
        <w:t>领导，强化部门监管，狠抓责任落实，为应急管理工作提供了有力的组织保障。</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color w:val="000000"/>
          <w:kern w:val="0"/>
          <w:sz w:val="32"/>
          <w:szCs w:val="32"/>
          <w:lang w:val="en-US" w:eastAsia="zh-CN" w:bidi="ar"/>
        </w:rPr>
        <w:t>3.社会治理能力不断提高</w:t>
      </w:r>
      <w:r>
        <w:rPr>
          <w:rFonts w:hint="eastAsia" w:ascii="仿宋_GB2312" w:hAnsi="等线" w:eastAsia="仿宋_GB2312" w:cs="仿宋_GB2312"/>
          <w:color w:val="000000"/>
          <w:kern w:val="0"/>
          <w:sz w:val="32"/>
          <w:szCs w:val="32"/>
          <w:lang w:val="en-US" w:eastAsia="zh-CN" w:bidi="ar"/>
        </w:rPr>
        <w:t>，</w:t>
      </w:r>
      <w:r>
        <w:rPr>
          <w:rFonts w:hint="default" w:ascii="仿宋_GB2312" w:hAnsi="等线" w:eastAsia="仿宋_GB2312" w:cs="仿宋_GB2312"/>
          <w:color w:val="000000"/>
          <w:kern w:val="0"/>
          <w:sz w:val="32"/>
          <w:szCs w:val="32"/>
          <w:lang w:val="en-US" w:eastAsia="zh-CN" w:bidi="ar"/>
        </w:rPr>
        <w:t>社会文明素质、安全需求和法治观念加快提升，以及全社会对安全的高度关注，为推动应急管理工作提供了巨大动能。</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color w:val="000000"/>
          <w:kern w:val="0"/>
          <w:sz w:val="32"/>
          <w:szCs w:val="32"/>
          <w:lang w:val="en-US" w:eastAsia="zh-CN" w:bidi="ar"/>
        </w:rPr>
        <w:t>4.社会快速发展推动经济提质增效、产业结构优化升级、科技创新快速发展，将加快淘汰落后工艺、技术、装备和产能，自然灾害预警能力提升，提高本质安全水平，为应急管理打下坚实物质基础。</w:t>
      </w: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640" w:lineRule="exact"/>
        <w:ind w:left="0" w:right="0" w:firstLine="640" w:firstLineChars="200"/>
        <w:jc w:val="both"/>
        <w:rPr>
          <w:rFonts w:hint="default" w:ascii="仿宋_GB2312" w:hAnsi="等线" w:eastAsia="仿宋_GB2312" w:cs="仿宋_GB2312"/>
          <w:color w:val="000000"/>
          <w:kern w:val="0"/>
          <w:sz w:val="32"/>
          <w:szCs w:val="32"/>
          <w:lang w:val="en-US" w:eastAsia="zh-CN" w:bidi="ar"/>
        </w:rPr>
      </w:pPr>
      <w:r>
        <w:rPr>
          <w:rFonts w:hint="default" w:ascii="仿宋_GB2312" w:hAnsi="等线" w:eastAsia="仿宋_GB2312" w:cs="仿宋_GB2312"/>
          <w:color w:val="000000"/>
          <w:kern w:val="0"/>
          <w:sz w:val="32"/>
          <w:szCs w:val="32"/>
          <w:lang w:val="en-US" w:eastAsia="zh-CN" w:bidi="ar"/>
        </w:rPr>
        <w:t>5.区应急管理局挂牌成立以后，积极适应新体制新要求，以创新的思路、改革的办法和有力的举措奋力破解难题，为新时代应急管理工作打开了良好</w:t>
      </w:r>
      <w:r>
        <w:rPr>
          <w:rFonts w:hint="eastAsia" w:ascii="仿宋_GB2312" w:hAnsi="等线" w:eastAsia="仿宋_GB2312" w:cs="仿宋_GB2312"/>
          <w:color w:val="000000"/>
          <w:kern w:val="0"/>
          <w:sz w:val="32"/>
          <w:szCs w:val="32"/>
          <w:lang w:val="en-US" w:eastAsia="zh-CN" w:bidi="ar"/>
        </w:rPr>
        <w:t>局面</w:t>
      </w:r>
      <w:r>
        <w:rPr>
          <w:rFonts w:hint="default" w:ascii="仿宋_GB2312" w:hAnsi="等线" w:eastAsia="仿宋_GB2312" w:cs="仿宋_GB2312"/>
          <w:color w:val="000000"/>
          <w:kern w:val="0"/>
          <w:sz w:val="32"/>
          <w:szCs w:val="32"/>
          <w:lang w:val="en-US" w:eastAsia="zh-CN" w:bidi="ar"/>
        </w:rPr>
        <w:t>。</w:t>
      </w:r>
    </w:p>
    <w:p>
      <w:pPr>
        <w:pStyle w:val="2"/>
        <w:spacing w:before="0" w:after="0" w:line="640" w:lineRule="exact"/>
        <w:ind w:firstLine="640" w:firstLineChars="200"/>
        <w:jc w:val="both"/>
        <w:rPr>
          <w:rFonts w:ascii="黑体" w:hAnsi="黑体" w:eastAsia="黑体"/>
          <w:b w:val="0"/>
          <w:bCs w:val="0"/>
          <w:kern w:val="0"/>
          <w:sz w:val="32"/>
          <w:szCs w:val="32"/>
        </w:rPr>
      </w:pPr>
      <w:bookmarkStart w:id="7" w:name="_Toc24185"/>
      <w:r>
        <w:rPr>
          <w:rFonts w:ascii="黑体" w:hAnsi="黑体" w:eastAsia="黑体"/>
          <w:b w:val="0"/>
          <w:bCs w:val="0"/>
          <w:kern w:val="0"/>
          <w:sz w:val="32"/>
          <w:szCs w:val="32"/>
        </w:rPr>
        <w:t>三、总体思路</w:t>
      </w:r>
      <w:bookmarkEnd w:id="7"/>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8" w:name="_Toc32737"/>
      <w:r>
        <w:rPr>
          <w:rFonts w:hint="eastAsia" w:ascii="楷体_GB2312" w:eastAsia="楷体_GB2312"/>
          <w:b w:val="0"/>
          <w:bCs w:val="0"/>
          <w:color w:val="000000" w:themeColor="text1"/>
          <w:highlight w:val="none"/>
          <w14:textFill>
            <w14:solidFill>
              <w14:schemeClr w14:val="tx1"/>
            </w14:solidFill>
          </w14:textFill>
        </w:rPr>
        <w:t>（一）指导思想</w:t>
      </w:r>
      <w:bookmarkEnd w:id="8"/>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以习近平新时代中国特色社会主义思想为指导，</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深入</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贯彻党的十九大和十九届二中、三中、四中、五中全会精神，深入贯彻落实习近平总书记关于安全生产、应急管理、防灾减灾救灾重要论述和</w:t>
      </w:r>
      <w:r>
        <w:rPr>
          <w:rFonts w:hint="default"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关于湖南工作系列重要讲话指示精神</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，认真落实中央和省委、</w:t>
      </w:r>
      <w:r>
        <w:rPr>
          <w:rFonts w:hint="default"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市委</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、区委</w:t>
      </w:r>
      <w:r>
        <w:rPr>
          <w:rFonts w:hint="default"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决策部</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署，把握新发展阶段，贯彻新发展理念，构建新发展格局，</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牢固树立以人民为中心的发展思想和</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人民至上、生命至上</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理念，</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统筹发展和安全，坚决守住不发生系统性、区域性风险的底线，</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健全应急管理体系，提高应急管理能力，全面提高灾害防御能力，坚持以防为主、防抗救相结合，强化重大工程建设、补齐重要基础设施短板、治理城市内涝、加强防灾备灾体系和能力建设，促进社会和谐稳定，树立安全发展理念，为实现</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两个一百年</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”奋斗</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目标和</w:t>
      </w:r>
      <w:bookmarkStart w:id="56" w:name="_GoBack"/>
      <w:bookmarkEnd w:id="56"/>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中华民族伟大复兴的中国梦</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提供</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良好的安全保障</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实施</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三高四新</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战略，聚焦</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四个定位</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，紧扣</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三个</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望城</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，奋力谱写现代化新</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望城</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建设的崭新篇章</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筑牢安全根基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 xml:space="preserve">。 </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9" w:name="_Toc24027"/>
      <w:r>
        <w:rPr>
          <w:rFonts w:hint="eastAsia" w:ascii="楷体_GB2312" w:eastAsia="楷体_GB2312"/>
          <w:b w:val="0"/>
          <w:bCs w:val="0"/>
          <w:color w:val="000000" w:themeColor="text1"/>
          <w:highlight w:val="none"/>
          <w14:textFill>
            <w14:solidFill>
              <w14:schemeClr w14:val="tx1"/>
            </w14:solidFill>
          </w14:textFill>
        </w:rPr>
        <w:t>（二）基本原则</w:t>
      </w:r>
      <w:bookmarkEnd w:id="9"/>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1.合法性原则。</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以《中华人民共和国突发事件应对法》《中华人民共和国安全生产法》《湖南省实施〈中华人民共和国突发事件应对法〉办法》等法律法规为主要依据，全面依法行政，加强法律法规宣贯，加强执法监督，规范权力运行，细化权责清单，明确权责边界，科学追责，依法定责，以法制化思维方法推动应急管理工作向制度化、科学化、精细化方向发展。　</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2.系统性原则。</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统筹规划全区应急体系，全面推进应急管理体系和能力</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现代化</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做好与长沙市相关专项规划衔接，重点解决跨部门、跨区域的全局性、共通性问题，以及制约应急体系发展的体制性、机制性、法制性和基础性问题。注重问题导向，重点加强应急体系薄弱环节建设，坚持以防为主、防抗救相结合。对全区各部门各单位应急资源信息进行集中普查和统计，并进行总体规划布局，充分利用存量资源，促进各方面资源的有机整合和共享，避免条块分割、各自为政、重复建设。</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3.协同性原则。</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充分发挥政策导向和市场配置作用，调动企事业单位、社会组织和公众等各方力量参与应急管理体系建设，形成政府与社会力量共同应对突发事件的良性互动机制，提高应急管理工作的社会化程度。</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4.前瞻性原则。</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谋划时着眼未来，规划时系统考虑，有针对性地做好各项应急准备</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工作</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，提高综合应急能力，以发展的眼光</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着眼大局，把握大势</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，实现全</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安全和发展规模、速度相统一。</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10" w:name="_Toc9735"/>
      <w:r>
        <w:rPr>
          <w:rFonts w:hint="eastAsia" w:ascii="楷体_GB2312" w:eastAsia="楷体_GB2312"/>
          <w:b w:val="0"/>
          <w:bCs w:val="0"/>
          <w:color w:val="000000" w:themeColor="text1"/>
          <w:highlight w:val="none"/>
          <w14:textFill>
            <w14:solidFill>
              <w14:schemeClr w14:val="tx1"/>
            </w14:solidFill>
          </w14:textFill>
        </w:rPr>
        <w:t>（三）发展目标</w:t>
      </w:r>
      <w:bookmarkEnd w:id="10"/>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11" w:name="_Toc27947"/>
      <w:r>
        <w:rPr>
          <w:rFonts w:hint="eastAsia" w:ascii="仿宋_GB2312" w:eastAsia="仿宋_GB2312"/>
          <w:color w:val="000000" w:themeColor="text1"/>
          <w:highlight w:val="none"/>
          <w14:textFill>
            <w14:solidFill>
              <w14:schemeClr w14:val="tx1"/>
            </w14:solidFill>
          </w14:textFill>
        </w:rPr>
        <w:t>1.总体目标</w:t>
      </w:r>
      <w:bookmarkEnd w:id="11"/>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到2025年，基本建成</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统一指挥、专常兼备、反应灵敏、上下联动</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的应急管理体制，基本形成</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统一领导、权责一致、权威高效</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的应急能力体系。应急管理主要业务信息化覆盖率达到90%，应急管理机构专业人才占比超过40%。全区应急管理的系统性、</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整体性和</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协同性显著增强，大安全、大应急、大减灾工作格局基本形成，应急管理干部和救援人员职业荣誉感明显增强，防范化解重大风险、应对处置各类灾害事故的能力显著提升，进一步减少一般事故，有效控制较大事故，坚决杜绝重特大事故，全面提升全区应急管理能力和水平，相关总体目标核心指标见表1。</w:t>
      </w:r>
    </w:p>
    <w:p>
      <w:pPr>
        <w:keepNext w:val="0"/>
        <w:keepLines w:val="0"/>
        <w:pageBreakBefore w:val="0"/>
        <w:widowControl/>
        <w:kinsoku/>
        <w:wordWrap/>
        <w:overflowPunct/>
        <w:topLinePunct w:val="0"/>
        <w:autoSpaceDE/>
        <w:autoSpaceDN/>
        <w:bidi w:val="0"/>
        <w:adjustRightInd/>
        <w:snapToGrid/>
        <w:spacing w:line="640" w:lineRule="exact"/>
        <w:ind w:firstLine="0" w:firstLineChars="0"/>
        <w:jc w:val="center"/>
        <w:textAlignment w:val="auto"/>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 xml:space="preserve">表1 </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十四五</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规划</w:t>
      </w:r>
      <w:r>
        <w:rPr>
          <w:rFonts w:hint="default" w:ascii="仿宋_GB2312" w:hAnsi="仿宋_GB2312" w:eastAsia="仿宋_GB2312" w:cs="仿宋_GB2312"/>
          <w:color w:val="000000" w:themeColor="text1"/>
          <w:kern w:val="0"/>
          <w:sz w:val="32"/>
          <w:szCs w:val="32"/>
          <w:highlight w:val="none"/>
          <w:lang w:eastAsia="zh-CN"/>
          <w14:textFill>
            <w14:solidFill>
              <w14:schemeClr w14:val="tx1"/>
            </w14:solidFill>
          </w14:textFill>
        </w:rPr>
        <w:t>核心</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指标表</w:t>
      </w:r>
    </w:p>
    <w:tbl>
      <w:tblPr>
        <w:tblStyle w:val="12"/>
        <w:tblW w:w="8715" w:type="dxa"/>
        <w:jc w:val="center"/>
        <w:tblLayout w:type="fixed"/>
        <w:tblCellMar>
          <w:top w:w="15" w:type="dxa"/>
          <w:left w:w="15" w:type="dxa"/>
          <w:bottom w:w="15" w:type="dxa"/>
          <w:right w:w="15" w:type="dxa"/>
        </w:tblCellMar>
      </w:tblPr>
      <w:tblGrid>
        <w:gridCol w:w="780"/>
        <w:gridCol w:w="4140"/>
        <w:gridCol w:w="1967"/>
        <w:gridCol w:w="1828"/>
      </w:tblGrid>
      <w:tr>
        <w:tblPrEx>
          <w:tblCellMar>
            <w:top w:w="15" w:type="dxa"/>
            <w:left w:w="15" w:type="dxa"/>
            <w:bottom w:w="15" w:type="dxa"/>
            <w:right w:w="15" w:type="dxa"/>
          </w:tblCellMar>
        </w:tblPrEx>
        <w:trPr>
          <w:trHeight w:val="715" w:hRule="atLeast"/>
          <w:jc w:val="center"/>
        </w:trPr>
        <w:tc>
          <w:tcPr>
            <w:tcW w:w="78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序号</w:t>
            </w:r>
          </w:p>
        </w:tc>
        <w:tc>
          <w:tcPr>
            <w:tcW w:w="414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指标内容</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2025年预期值</w:t>
            </w:r>
          </w:p>
        </w:tc>
        <w:tc>
          <w:tcPr>
            <w:tcW w:w="18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指标性质</w:t>
            </w:r>
          </w:p>
        </w:tc>
      </w:tr>
      <w:tr>
        <w:tblPrEx>
          <w:tblCellMar>
            <w:top w:w="15" w:type="dxa"/>
            <w:left w:w="15" w:type="dxa"/>
            <w:bottom w:w="15" w:type="dxa"/>
            <w:right w:w="15" w:type="dxa"/>
          </w:tblCellMar>
        </w:tblPrEx>
        <w:trPr>
          <w:trHeight w:val="555" w:hRule="atLeast"/>
          <w:jc w:val="center"/>
        </w:trPr>
        <w:tc>
          <w:tcPr>
            <w:tcW w:w="78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1</w:t>
            </w:r>
          </w:p>
        </w:tc>
        <w:tc>
          <w:tcPr>
            <w:tcW w:w="414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生产安全事故死亡人数</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下降15%</w:t>
            </w:r>
          </w:p>
        </w:tc>
        <w:tc>
          <w:tcPr>
            <w:tcW w:w="18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约束性</w:t>
            </w:r>
          </w:p>
        </w:tc>
      </w:tr>
      <w:tr>
        <w:tblPrEx>
          <w:tblCellMar>
            <w:top w:w="15" w:type="dxa"/>
            <w:left w:w="15" w:type="dxa"/>
            <w:bottom w:w="15" w:type="dxa"/>
            <w:right w:w="15" w:type="dxa"/>
          </w:tblCellMar>
        </w:tblPrEx>
        <w:trPr>
          <w:trHeight w:val="494" w:hRule="atLeast"/>
          <w:jc w:val="center"/>
        </w:trPr>
        <w:tc>
          <w:tcPr>
            <w:tcW w:w="78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2</w:t>
            </w:r>
          </w:p>
        </w:tc>
        <w:tc>
          <w:tcPr>
            <w:tcW w:w="414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重特大事故起数</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0</w:t>
            </w:r>
          </w:p>
        </w:tc>
        <w:tc>
          <w:tcPr>
            <w:tcW w:w="18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约束性</w:t>
            </w:r>
          </w:p>
        </w:tc>
      </w:tr>
      <w:tr>
        <w:tblPrEx>
          <w:tblCellMar>
            <w:top w:w="15" w:type="dxa"/>
            <w:left w:w="15" w:type="dxa"/>
            <w:bottom w:w="15" w:type="dxa"/>
            <w:right w:w="15" w:type="dxa"/>
          </w:tblCellMar>
        </w:tblPrEx>
        <w:trPr>
          <w:trHeight w:val="1071" w:hRule="atLeast"/>
          <w:jc w:val="center"/>
        </w:trPr>
        <w:tc>
          <w:tcPr>
            <w:tcW w:w="78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3</w:t>
            </w:r>
          </w:p>
        </w:tc>
        <w:tc>
          <w:tcPr>
            <w:tcW w:w="414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亿元地区生产总值生产安全事故死亡率</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下降33%</w:t>
            </w:r>
          </w:p>
        </w:tc>
        <w:tc>
          <w:tcPr>
            <w:tcW w:w="18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约束性</w:t>
            </w:r>
          </w:p>
        </w:tc>
      </w:tr>
      <w:tr>
        <w:tblPrEx>
          <w:tblCellMar>
            <w:top w:w="15" w:type="dxa"/>
            <w:left w:w="15" w:type="dxa"/>
            <w:bottom w:w="15" w:type="dxa"/>
            <w:right w:w="15" w:type="dxa"/>
          </w:tblCellMar>
        </w:tblPrEx>
        <w:trPr>
          <w:trHeight w:val="885" w:hRule="atLeast"/>
          <w:jc w:val="center"/>
        </w:trPr>
        <w:tc>
          <w:tcPr>
            <w:tcW w:w="78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4</w:t>
            </w:r>
          </w:p>
        </w:tc>
        <w:tc>
          <w:tcPr>
            <w:tcW w:w="414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工矿商贸就业人员十万人生产安全事故死亡率</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下降20%</w:t>
            </w:r>
          </w:p>
        </w:tc>
        <w:tc>
          <w:tcPr>
            <w:tcW w:w="18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约束性</w:t>
            </w:r>
          </w:p>
        </w:tc>
      </w:tr>
      <w:tr>
        <w:tblPrEx>
          <w:tblCellMar>
            <w:top w:w="15" w:type="dxa"/>
            <w:left w:w="15" w:type="dxa"/>
            <w:bottom w:w="15" w:type="dxa"/>
            <w:right w:w="15" w:type="dxa"/>
          </w:tblCellMar>
        </w:tblPrEx>
        <w:trPr>
          <w:trHeight w:val="555" w:hRule="atLeast"/>
          <w:jc w:val="center"/>
        </w:trPr>
        <w:tc>
          <w:tcPr>
            <w:tcW w:w="78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5</w:t>
            </w:r>
          </w:p>
        </w:tc>
        <w:tc>
          <w:tcPr>
            <w:tcW w:w="414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both"/>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较大以上事故起数占比（%）</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下降15%</w:t>
            </w:r>
          </w:p>
        </w:tc>
        <w:tc>
          <w:tcPr>
            <w:tcW w:w="18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约束性</w:t>
            </w:r>
          </w:p>
        </w:tc>
      </w:tr>
      <w:tr>
        <w:tblPrEx>
          <w:tblCellMar>
            <w:top w:w="15" w:type="dxa"/>
            <w:left w:w="15" w:type="dxa"/>
            <w:bottom w:w="15" w:type="dxa"/>
            <w:right w:w="15" w:type="dxa"/>
          </w:tblCellMar>
        </w:tblPrEx>
        <w:trPr>
          <w:trHeight w:val="555" w:hRule="atLeast"/>
          <w:jc w:val="center"/>
        </w:trPr>
        <w:tc>
          <w:tcPr>
            <w:tcW w:w="78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6</w:t>
            </w:r>
          </w:p>
        </w:tc>
        <w:tc>
          <w:tcPr>
            <w:tcW w:w="414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年均每百万人口因自然灾害死亡率</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＜1</w:t>
            </w:r>
          </w:p>
        </w:tc>
        <w:tc>
          <w:tcPr>
            <w:tcW w:w="18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预期性</w:t>
            </w:r>
          </w:p>
        </w:tc>
      </w:tr>
      <w:tr>
        <w:tblPrEx>
          <w:tblCellMar>
            <w:top w:w="15" w:type="dxa"/>
            <w:left w:w="15" w:type="dxa"/>
            <w:bottom w:w="15" w:type="dxa"/>
            <w:right w:w="15" w:type="dxa"/>
          </w:tblCellMar>
        </w:tblPrEx>
        <w:trPr>
          <w:trHeight w:val="555" w:hRule="atLeast"/>
          <w:jc w:val="center"/>
        </w:trPr>
        <w:tc>
          <w:tcPr>
            <w:tcW w:w="78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7</w:t>
            </w:r>
          </w:p>
        </w:tc>
        <w:tc>
          <w:tcPr>
            <w:tcW w:w="414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年均每十万受灾人次</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＜17000</w:t>
            </w:r>
          </w:p>
        </w:tc>
        <w:tc>
          <w:tcPr>
            <w:tcW w:w="18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预期性</w:t>
            </w:r>
          </w:p>
        </w:tc>
      </w:tr>
      <w:tr>
        <w:tblPrEx>
          <w:tblCellMar>
            <w:top w:w="15" w:type="dxa"/>
            <w:left w:w="15" w:type="dxa"/>
            <w:bottom w:w="15" w:type="dxa"/>
            <w:right w:w="15" w:type="dxa"/>
          </w:tblCellMar>
        </w:tblPrEx>
        <w:trPr>
          <w:trHeight w:val="555" w:hRule="atLeast"/>
          <w:jc w:val="center"/>
        </w:trPr>
        <w:tc>
          <w:tcPr>
            <w:tcW w:w="78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8</w:t>
            </w:r>
          </w:p>
        </w:tc>
        <w:tc>
          <w:tcPr>
            <w:tcW w:w="4140"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年均因自然灾害直接经济损失占全</w:t>
            </w:r>
            <w:r>
              <w:rPr>
                <w:rFonts w:hint="eastAsia" w:ascii="仿宋_GB2312" w:hAnsi="仿宋_GB2312" w:eastAsia="仿宋_GB2312" w:cs="仿宋_GB2312"/>
                <w:color w:val="000000"/>
                <w:kern w:val="0"/>
                <w:sz w:val="28"/>
                <w:szCs w:val="28"/>
                <w:lang w:val="en-US" w:eastAsia="zh-CN"/>
              </w:rPr>
              <w:t>区</w:t>
            </w:r>
            <w:r>
              <w:rPr>
                <w:rFonts w:hint="eastAsia" w:ascii="仿宋_GB2312" w:hAnsi="仿宋_GB2312" w:eastAsia="仿宋_GB2312" w:cs="仿宋_GB2312"/>
                <w:color w:val="000000"/>
                <w:kern w:val="0"/>
                <w:sz w:val="28"/>
                <w:szCs w:val="28"/>
              </w:rPr>
              <w:t>生产总值比例</w:t>
            </w:r>
          </w:p>
        </w:tc>
        <w:tc>
          <w:tcPr>
            <w:tcW w:w="1967"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＜1%</w:t>
            </w:r>
          </w:p>
        </w:tc>
        <w:tc>
          <w:tcPr>
            <w:tcW w:w="1828" w:type="dxa"/>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center"/>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预期性</w:t>
            </w:r>
          </w:p>
        </w:tc>
      </w:tr>
      <w:tr>
        <w:tblPrEx>
          <w:tblCellMar>
            <w:top w:w="15" w:type="dxa"/>
            <w:left w:w="15" w:type="dxa"/>
            <w:bottom w:w="15" w:type="dxa"/>
            <w:right w:w="15" w:type="dxa"/>
          </w:tblCellMar>
        </w:tblPrEx>
        <w:trPr>
          <w:trHeight w:val="555" w:hRule="atLeast"/>
          <w:jc w:val="center"/>
        </w:trPr>
        <w:tc>
          <w:tcPr>
            <w:tcW w:w="8715" w:type="dxa"/>
            <w:gridSpan w:val="4"/>
            <w:tcBorders>
              <w:top w:val="single" w:color="000000" w:sz="6" w:space="0"/>
              <w:left w:val="single" w:color="000000" w:sz="6" w:space="0"/>
              <w:bottom w:val="single" w:color="000000" w:sz="6" w:space="0"/>
              <w:right w:val="single" w:color="000000" w:sz="6" w:space="0"/>
            </w:tcBorders>
            <w:shd w:val="clear" w:color="auto" w:fill="auto"/>
            <w:tcMar>
              <w:top w:w="60" w:type="dxa"/>
              <w:left w:w="60" w:type="dxa"/>
              <w:bottom w:w="45" w:type="dxa"/>
              <w:right w:w="60"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80" w:lineRule="atLeast"/>
              <w:ind w:firstLine="0" w:firstLineChars="0"/>
              <w:jc w:val="both"/>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注：</w:t>
            </w:r>
            <w:r>
              <w:rPr>
                <w:rFonts w:hint="eastAsia" w:ascii="仿宋_GB2312" w:hAnsi="仿宋_GB2312" w:eastAsia="仿宋_GB2312" w:cs="仿宋_GB2312"/>
                <w:color w:val="000000"/>
                <w:kern w:val="0"/>
                <w:sz w:val="28"/>
                <w:szCs w:val="28"/>
                <w:lang w:eastAsia="zh-CN"/>
              </w:rPr>
              <w:t>“</w:t>
            </w:r>
            <w:r>
              <w:rPr>
                <w:rFonts w:hint="eastAsia" w:ascii="仿宋_GB2312" w:hAnsi="仿宋_GB2312" w:eastAsia="仿宋_GB2312" w:cs="仿宋_GB2312"/>
                <w:color w:val="000000"/>
                <w:kern w:val="0"/>
                <w:sz w:val="28"/>
                <w:szCs w:val="28"/>
              </w:rPr>
              <w:t>十四五</w:t>
            </w:r>
            <w:r>
              <w:rPr>
                <w:rFonts w:hint="eastAsia" w:ascii="仿宋_GB2312" w:hAnsi="仿宋_GB2312" w:eastAsia="仿宋_GB2312" w:cs="仿宋_GB2312"/>
                <w:color w:val="000000"/>
                <w:kern w:val="0"/>
                <w:sz w:val="28"/>
                <w:szCs w:val="28"/>
                <w:lang w:eastAsia="zh-CN"/>
              </w:rPr>
              <w:t>”</w:t>
            </w:r>
            <w:r>
              <w:rPr>
                <w:rFonts w:hint="eastAsia" w:ascii="仿宋_GB2312" w:hAnsi="仿宋_GB2312" w:eastAsia="仿宋_GB2312" w:cs="仿宋_GB2312"/>
                <w:color w:val="000000"/>
                <w:kern w:val="0"/>
                <w:sz w:val="28"/>
                <w:szCs w:val="28"/>
              </w:rPr>
              <w:t>核心指标的基期值以</w:t>
            </w:r>
            <w:r>
              <w:rPr>
                <w:rFonts w:hint="eastAsia" w:ascii="仿宋_GB2312" w:hAnsi="仿宋_GB2312" w:eastAsia="仿宋_GB2312" w:cs="仿宋_GB2312"/>
                <w:color w:val="000000"/>
                <w:kern w:val="0"/>
                <w:sz w:val="28"/>
                <w:szCs w:val="28"/>
                <w:lang w:val="en-US" w:eastAsia="zh-CN"/>
              </w:rPr>
              <w:t>长沙市应急管理局</w:t>
            </w:r>
            <w:r>
              <w:rPr>
                <w:rFonts w:hint="eastAsia" w:ascii="仿宋_GB2312" w:hAnsi="仿宋_GB2312" w:eastAsia="仿宋_GB2312" w:cs="仿宋_GB2312"/>
                <w:color w:val="000000"/>
                <w:kern w:val="0"/>
                <w:sz w:val="28"/>
                <w:szCs w:val="28"/>
              </w:rPr>
              <w:t>相关规定为准。</w:t>
            </w:r>
          </w:p>
        </w:tc>
      </w:tr>
    </w:tbl>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12" w:name="_Toc9981"/>
      <w:r>
        <w:rPr>
          <w:rFonts w:hint="eastAsia" w:ascii="仿宋_GB2312" w:eastAsia="仿宋_GB2312"/>
          <w:color w:val="000000" w:themeColor="text1"/>
          <w:highlight w:val="none"/>
          <w14:textFill>
            <w14:solidFill>
              <w14:schemeClr w14:val="tx1"/>
            </w14:solidFill>
          </w14:textFill>
        </w:rPr>
        <w:t>2.分类目标</w:t>
      </w:r>
      <w:bookmarkEnd w:id="12"/>
    </w:p>
    <w:p>
      <w:pPr>
        <w:pageBreakBefore w:val="0"/>
        <w:widowControl w:val="0"/>
        <w:kinsoku/>
        <w:wordWrap/>
        <w:overflowPunct/>
        <w:topLinePunct w:val="0"/>
        <w:autoSpaceDE/>
        <w:autoSpaceDN/>
        <w:bidi w:val="0"/>
        <w:adjustRightInd/>
        <w:snapToGrid w:val="0"/>
        <w:spacing w:line="640" w:lineRule="exact"/>
        <w:ind w:firstLine="640" w:firstLineChars="0"/>
        <w:jc w:val="both"/>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安全生产方面：到2025年，全区安全生产综合管理能力显著提升，安全生产基层基础保障能力明显增强，</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科技兴安</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效果明显，监管体制机制基本完善，市民安全素质显著提升，生产安全事故控制指标全面下降：生产安全事故死亡人数下降15%，亿元GDP死亡率下降33%，较大事故起数下降15%，重特大事故零发生。</w:t>
      </w:r>
    </w:p>
    <w:p>
      <w:pPr>
        <w:pageBreakBefore w:val="0"/>
        <w:widowControl w:val="0"/>
        <w:kinsoku/>
        <w:wordWrap/>
        <w:overflowPunct/>
        <w:topLinePunct w:val="0"/>
        <w:autoSpaceDE/>
        <w:autoSpaceDN/>
        <w:bidi w:val="0"/>
        <w:adjustRightInd/>
        <w:snapToGrid w:val="0"/>
        <w:spacing w:line="640" w:lineRule="exact"/>
        <w:ind w:firstLine="640" w:firstLineChars="0"/>
        <w:jc w:val="both"/>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应急救援方面：到2025年，打造一支</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对党忠诚、纪律严明、赴汤蹈火、竭诚为民</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的综合应急救援队伍，应急救援能力达到国内先进水平；高危行业企业配备应急救援队员（含专职、兼职或外协）达到100%；将社会救援组织力量纳入整个应急救援指挥体系，支持和推进社会应急救援力量发展；整合社会应急资源，加快建设基层应急物资储备库，每个乡镇（街道）设置一个物资（装备）库。</w:t>
      </w:r>
    </w:p>
    <w:p>
      <w:pPr>
        <w:pageBreakBefore w:val="0"/>
        <w:widowControl w:val="0"/>
        <w:kinsoku/>
        <w:wordWrap/>
        <w:overflowPunct/>
        <w:topLinePunct w:val="0"/>
        <w:autoSpaceDE/>
        <w:autoSpaceDN/>
        <w:bidi w:val="0"/>
        <w:adjustRightInd/>
        <w:snapToGrid w:val="0"/>
        <w:spacing w:line="640" w:lineRule="exact"/>
        <w:ind w:firstLine="640" w:firstLineChars="0"/>
        <w:jc w:val="both"/>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防灾减灾救灾方面：</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防灾</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减灾救灾体制机制进一步健全，基本建成与全面小康社会相适应的自然灾害预警、救助体系。到2025年，灾害事故信息及时上报率达到100%，灾害</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预警</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信息发布公众覆盖率达到100%，灾害事故发生后受灾人员基本生活得到有效救助时间</w:t>
      </w:r>
      <w:r>
        <w:rPr>
          <w:rFonts w:ascii="仿宋" w:hAnsi="仿宋" w:eastAsia="仿宋"/>
          <w:color w:val="000000"/>
          <w:sz w:val="32"/>
          <w:szCs w:val="32"/>
        </w:rPr>
        <w:t>缩短至</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10小时以内。</w:t>
      </w:r>
    </w:p>
    <w:p>
      <w:pPr>
        <w:pStyle w:val="2"/>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黑体" w:hAnsi="黑体" w:eastAsia="黑体" w:cs="仿宋_GB2312"/>
          <w:b w:val="0"/>
          <w:color w:val="000000" w:themeColor="text1"/>
          <w:kern w:val="0"/>
          <w:sz w:val="32"/>
          <w:szCs w:val="32"/>
          <w:highlight w:val="none"/>
          <w14:textFill>
            <w14:solidFill>
              <w14:schemeClr w14:val="tx1"/>
            </w14:solidFill>
          </w14:textFill>
        </w:rPr>
      </w:pPr>
      <w:bookmarkStart w:id="13" w:name="_Toc16699"/>
      <w:r>
        <w:rPr>
          <w:rFonts w:hint="eastAsia" w:ascii="黑体" w:hAnsi="黑体" w:eastAsia="黑体" w:cs="仿宋_GB2312"/>
          <w:b w:val="0"/>
          <w:color w:val="000000" w:themeColor="text1"/>
          <w:kern w:val="0"/>
          <w:sz w:val="32"/>
          <w:szCs w:val="32"/>
          <w:highlight w:val="none"/>
          <w14:textFill>
            <w14:solidFill>
              <w14:schemeClr w14:val="tx1"/>
            </w14:solidFill>
          </w14:textFill>
        </w:rPr>
        <w:t>四、主要任务</w:t>
      </w:r>
      <w:bookmarkEnd w:id="13"/>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14" w:name="_Toc31509"/>
      <w:r>
        <w:rPr>
          <w:rFonts w:hint="eastAsia" w:ascii="楷体_GB2312" w:eastAsia="楷体_GB2312"/>
          <w:b w:val="0"/>
          <w:bCs w:val="0"/>
          <w:color w:val="000000" w:themeColor="text1"/>
          <w:highlight w:val="none"/>
          <w14:textFill>
            <w14:solidFill>
              <w14:schemeClr w14:val="tx1"/>
            </w14:solidFill>
          </w14:textFill>
        </w:rPr>
        <w:t>（一）综合推进应急管理体系和能力现代化</w:t>
      </w:r>
      <w:bookmarkEnd w:id="14"/>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15" w:name="_Toc21691"/>
      <w:r>
        <w:rPr>
          <w:rFonts w:hint="eastAsia" w:ascii="仿宋_GB2312" w:eastAsia="仿宋_GB2312"/>
          <w:color w:val="000000" w:themeColor="text1"/>
          <w:highlight w:val="none"/>
          <w14:textFill>
            <w14:solidFill>
              <w14:schemeClr w14:val="tx1"/>
            </w14:solidFill>
          </w14:textFill>
        </w:rPr>
        <w:t>1.完善体制机制，理顺应急管理责任体系</w:t>
      </w:r>
      <w:bookmarkEnd w:id="15"/>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全面落实《中华人民共和国安全生产法》（2021修订）</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三管三必须</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要求，加快健全完善行业管理部门、负有安全生产监督管理职责的部门、涉灾部门的应急管理工作规范、制度。</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组建望城区应急委员会，</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决策</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组织指挥处置</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全</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突发事件和</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研究制定全区应急管理</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指导意见</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领导全区综合应急管理。</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推进应急管理标准化试点工作，建立重大危险源监控、有限空间作业等领域监督管理制度，建立完善城市高层建筑、大型综合体、综合交通枢纽、隧道桥梁、管线管廊、道路交通、轨道交通、燃气工程、排水防涝、垃圾填埋场、渣土受纳场、电力设施及电梯、大型游乐设施等的监管制度，提高城市安全和应急设施的标准要求，提高城市韧性。完善基层应急管理机制，开展乡镇（街道）</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六有</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标准化建设工作，做到有班子、有机制、有预案、有队伍、有物资、有培训演练。构建完善安全生产责任体系，明确各监管部门权责边界，建立责任清单；依法建立科学有效的责任追究制度，尽职免责、失职追责，完善应急管理干部工作奖惩制度，鼓励干部担当作为；全面落实企业安全生产主体责任，将安全生产工作纳入党委和政府绩效考核范围；强化突发事件应急指挥的权威性，建立完善突发事件应急响应机制和责任追究制度，确保反应灵敏，执行有力。</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lang w:val="en-US" w:eastAsia="zh-CN"/>
          <w14:textFill>
            <w14:solidFill>
              <w14:schemeClr w14:val="tx1"/>
            </w14:solidFill>
          </w14:textFill>
        </w:rPr>
      </w:pPr>
      <w:bookmarkStart w:id="16" w:name="_Toc3927"/>
      <w:r>
        <w:rPr>
          <w:rFonts w:hint="eastAsia" w:ascii="仿宋_GB2312" w:eastAsia="仿宋_GB2312"/>
          <w:color w:val="000000" w:themeColor="text1"/>
          <w:highlight w:val="none"/>
          <w:lang w:val="en-US" w:eastAsia="zh-CN"/>
          <w14:textFill>
            <w14:solidFill>
              <w14:schemeClr w14:val="tx1"/>
            </w14:solidFill>
          </w14:textFill>
        </w:rPr>
        <w:t>2.强化科技支撑，提高突发事件应对能力</w:t>
      </w:r>
      <w:bookmarkEnd w:id="16"/>
    </w:p>
    <w:p>
      <w:pPr>
        <w:pageBreakBefore w:val="0"/>
        <w:widowControl w:val="0"/>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进一步完善智慧</w:t>
      </w:r>
      <w:r>
        <w:rPr>
          <w:rFonts w:hint="default" w:ascii="仿宋_GB2312" w:hAnsi="仿宋_GB2312" w:eastAsia="仿宋_GB2312" w:cs="仿宋_GB2312"/>
          <w:color w:val="000000" w:themeColor="text1"/>
          <w:sz w:val="32"/>
          <w:szCs w:val="32"/>
          <w:highlight w:val="none"/>
          <w14:textFill>
            <w14:solidFill>
              <w14:schemeClr w14:val="tx1"/>
            </w14:solidFill>
          </w14:textFill>
        </w:rPr>
        <w:t>望城区</w:t>
      </w:r>
      <w:r>
        <w:rPr>
          <w:rFonts w:hint="eastAsia" w:ascii="仿宋_GB2312" w:hAnsi="仿宋_GB2312" w:eastAsia="仿宋_GB2312" w:cs="仿宋_GB2312"/>
          <w:color w:val="000000" w:themeColor="text1"/>
          <w:sz w:val="32"/>
          <w:szCs w:val="32"/>
          <w:highlight w:val="none"/>
          <w14:textFill>
            <w14:solidFill>
              <w14:schemeClr w14:val="tx1"/>
            </w14:solidFill>
          </w14:textFill>
        </w:rPr>
        <w:t>信息化平台功能，推动感知网络与监测预警系统建设、应急通信网络基础建设、应急管理综合应用平台建设工程、政务管理信息化建设、信息网络安全和智能运维体系建设项目落实落地，提高监测预警能力、监管执法能力、辅助指挥决策能力、救援实战能力和社会动员能力。强化应急管理装备技术支撑，优化整合各类科技资源，推进应急管理科技自主创新，依靠科技提高应急管理的科学化、专业化、智能化、精细化等</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四化</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水平。加大先进适用装备的配备力度，加强关键技术研发，提高突发事件响应和处置能力。发展应急响应和处置的共性关键技术，提升应急救援专业化能力。</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17" w:name="_Toc12614"/>
      <w:r>
        <w:rPr>
          <w:rFonts w:hint="eastAsia" w:ascii="仿宋_GB2312" w:eastAsia="仿宋_GB2312"/>
          <w:color w:val="000000" w:themeColor="text1"/>
          <w:highlight w:val="none"/>
          <w14:textFill>
            <w14:solidFill>
              <w14:schemeClr w14:val="tx1"/>
            </w14:solidFill>
          </w14:textFill>
        </w:rPr>
        <w:t>3.加强队伍建设，提高应急管理人才素质</w:t>
      </w:r>
      <w:bookmarkEnd w:id="17"/>
    </w:p>
    <w:p>
      <w:pPr>
        <w:pageBreakBefore w:val="0"/>
        <w:widowControl w:val="0"/>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建立完善领导干部应急培训体系</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对全</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各级领导干部进行应急管理知识全员轮训，全面提高领导干部突发事件应对能力和危机管理能力。健全公开招聘和竞争上岗制度，加大人才选拔选调、公开招考力度，形成人才梯队，推进干部年轻化、专业化。力争到2025年底具有安全生产相关专业学历和实践经验的执法人员数量不低于在职人员的80%。建立完善应急管理体系政府雇员聘用制，面向社会招聘执法和救援辅助人员。完善干部外部交流、内部轮岗和基层双向挂职锻炼制度，激发干部整体活力。实施基层应急人才特岗计划，按照</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自愿报名、择优录取、公费培养、定向服务</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的原则，通过省内高职院校培养针对</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区级</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及以下应急管理领域的专业技术人才。完善应急管理体系各类保障制度，明确参与应急救援队伍的资金保障、保险保障、表彰奖励、费用补偿、伤亡抚恤、免责条款等政策，关心和爱护这支队伍</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提升职业荣誉感和吸引力</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建强应急执法队伍，加大投入，强化保障</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。完善基层应急管理网格化组织体系，从机构编制和经费上予以保障，整合基层安全生产、气象信息员、灾害信息员、地质灾害群测群防员、森林护林员等队伍资源，建立</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一岗多能</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的安全风险网格员队伍。</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18" w:name="_Toc7396"/>
      <w:r>
        <w:rPr>
          <w:rFonts w:hint="eastAsia" w:ascii="仿宋_GB2312" w:eastAsia="仿宋_GB2312"/>
          <w:color w:val="000000" w:themeColor="text1"/>
          <w:highlight w:val="none"/>
          <w14:textFill>
            <w14:solidFill>
              <w14:schemeClr w14:val="tx1"/>
            </w14:solidFill>
          </w14:textFill>
        </w:rPr>
        <w:t>4.狠抓安全宣教，提高社会公众安全意识</w:t>
      </w:r>
      <w:bookmarkEnd w:id="18"/>
    </w:p>
    <w:p>
      <w:pPr>
        <w:pageBreakBefore w:val="0"/>
        <w:widowControl w:val="0"/>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依托高校、社会机构和救援组织，深入开展安全生产知识</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五进</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活动，提高全社会自防自救能力。邀请权威安全专家开展讲座、论坛等活动。强化媒体融合拉动，以传统媒体、新媒体、社会宣传资源为主阵地，全面构建矩阵式融媒体平台，开设安全相关文化专栏，全力打造人人关注安全、人人参与安全的浓厚安全氛围，提高社会自防自救能力和社会整体安全水平。对全区中小学校校长和分管校领导实施全员安全培训，提高安全意识和校园安全管理水平，推广校园安全标准化活动，规范校园安全管理，提高校园本质安全水平。编印中小学生安全和应急知识读本，广泛开展各类突发事件应急演练。</w:t>
      </w:r>
    </w:p>
    <w:p>
      <w:pPr>
        <w:pageBreakBefore w:val="0"/>
        <w:widowControl w:val="0"/>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倡导社会应急管理文化建设，鼓励有关应急管理文化、文旅和文创事业发展。持续推进</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班前会</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一会三卡</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制度，强化文创产品拉动，推出地区安全文化手册，拍摄安全公益微电影，开发安全文化钥匙扣、书签等系列文创产品，让安全</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文化</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走进百姓生活。</w:t>
      </w:r>
    </w:p>
    <w:p>
      <w:pPr>
        <w:pageBreakBefore w:val="0"/>
        <w:widowControl w:val="0"/>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建设机械制造、交通安全、消防火灾等体验场馆，供市民、学生和生产作业人员等学习体验，提高全民安全意识和应急能力。</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19" w:name="_Toc20921"/>
      <w:r>
        <w:rPr>
          <w:rFonts w:hint="eastAsia" w:ascii="仿宋_GB2312" w:eastAsia="仿宋_GB2312"/>
          <w:color w:val="000000" w:themeColor="text1"/>
          <w:highlight w:val="none"/>
          <w14:textFill>
            <w14:solidFill>
              <w14:schemeClr w14:val="tx1"/>
            </w14:solidFill>
          </w14:textFill>
        </w:rPr>
        <w:t>5.</w:t>
      </w:r>
      <w:r>
        <w:rPr>
          <w:rFonts w:hint="default" w:ascii="仿宋_GB2312" w:eastAsia="仿宋_GB2312"/>
          <w:color w:val="000000" w:themeColor="text1"/>
          <w:highlight w:val="none"/>
          <w14:textFill>
            <w14:solidFill>
              <w14:schemeClr w14:val="tx1"/>
            </w14:solidFill>
          </w14:textFill>
        </w:rPr>
        <w:t>深耕</w:t>
      </w:r>
      <w:r>
        <w:rPr>
          <w:rFonts w:hint="eastAsia" w:ascii="仿宋_GB2312" w:eastAsia="仿宋_GB2312"/>
          <w:color w:val="000000" w:themeColor="text1"/>
          <w:highlight w:val="none"/>
          <w14:textFill>
            <w14:solidFill>
              <w14:schemeClr w14:val="tx1"/>
            </w14:solidFill>
          </w14:textFill>
        </w:rPr>
        <w:t>智慧应急，挖掘现代信息技术优势</w:t>
      </w:r>
      <w:bookmarkEnd w:id="19"/>
    </w:p>
    <w:p>
      <w:pPr>
        <w:spacing w:line="640" w:lineRule="exact"/>
        <w:ind w:firstLine="640" w:firstLineChars="200"/>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启动区应急管理综合应用平台建设，完善各专业监管对象数据库，建立基于企业安全管理水平量化评估的安全风险分级管控和隐患排查治理双重预防机制，做到部门安全监管、企业安全管理和员工主动参与相融合。推进基层可视化指挥调度平台向乡镇（街道）延伸，加强基层安全生产风险智能感知监测网和自然灾害防治监测感知设施建设，推进安全生产、自然灾害风险防控、应急救援指挥区乡二级全面贯通，达到业务流程化、流程标准化、标准信息化、信息集成化的目标。</w:t>
      </w:r>
    </w:p>
    <w:p>
      <w:pPr>
        <w:spacing w:line="640" w:lineRule="exact"/>
        <w:ind w:firstLine="640" w:firstLineChars="200"/>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扎实开展自然灾害风险普查和重点隐患排查工作，建立完善自然灾害风险数据库，开展多灾种综合防控的科学研究和技术推广应用，利用高分辨率的卫星遥感、无人机航拍、各种地面和地下传感装置等先进技术，构建天地一体化立体观测体系，实现多灾种自然灾害风险源的自动识别和提前发现，实现远程在线监控，并对潜在灾害发出预警预报，提高多灾种和灾害链综合预报预警能力。</w:t>
      </w:r>
    </w:p>
    <w:p>
      <w:pPr>
        <w:spacing w:line="640" w:lineRule="exact"/>
        <w:ind w:firstLine="640" w:firstLineChars="200"/>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建立事故灾害应急救援智能化决策系统，实现应急指挥信息化智能专家协助。建立面向各类事故灾害的应急救援智能化辅助决策系统，运用多种灾害态势分析模型、大数据分析及人工智能技术，分析各类事故灾害发生的特点、演化特征、救援难点等内容，形成灾害发展趋势推演成果，辅助决策者研判灾害未来发展态势，提出风险防护、应急处置等决策建议，为高效化、专业化救援提供支撑，为应急管理工作提前部署提供参考。</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20" w:name="_Toc18519"/>
      <w:r>
        <w:rPr>
          <w:rFonts w:hint="eastAsia" w:ascii="楷体_GB2312" w:eastAsia="楷体_GB2312"/>
          <w:b w:val="0"/>
          <w:bCs w:val="0"/>
          <w:color w:val="000000" w:themeColor="text1"/>
          <w:highlight w:val="none"/>
          <w14:textFill>
            <w14:solidFill>
              <w14:schemeClr w14:val="tx1"/>
            </w14:solidFill>
          </w14:textFill>
        </w:rPr>
        <w:t>（二）牢牢守住安全生产事故预防和控制基本盘</w:t>
      </w:r>
      <w:bookmarkEnd w:id="20"/>
    </w:p>
    <w:p>
      <w:pPr>
        <w:spacing w:line="640" w:lineRule="exact"/>
        <w:ind w:firstLine="640" w:firstLineChars="200"/>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深入开展安全生产专项整治三年行动，紧盯危险化学品、工贸行业、烟花爆竹、消防安全、道路交通、交通运输（铁路、邮政、水上和城市轨道交通）、建筑施工、特种设备、危险废物和其他专项等“9+N”个重点行业领域，深化源头治理、系统治理和综合治理。建立政府、企业两个层面安全风险分级管控和隐患排查治理双重预防机制，防范和化解重大安全风险。持续抓好“一体两翼”工作，督促企业全面落实安全生产主体责任，全面提高企业主动抓安全的意识，变“要我抓安全”为“我要抓安全、我会抓安全”。</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21" w:name="_Toc28827"/>
      <w:r>
        <w:rPr>
          <w:rFonts w:hint="eastAsia" w:ascii="仿宋_GB2312" w:eastAsia="仿宋_GB2312"/>
          <w:color w:val="000000" w:themeColor="text1"/>
          <w:highlight w:val="none"/>
          <w:lang w:val="en-US" w:eastAsia="zh-CN"/>
          <w14:textFill>
            <w14:solidFill>
              <w14:schemeClr w14:val="tx1"/>
            </w14:solidFill>
          </w14:textFill>
        </w:rPr>
        <w:t>1</w:t>
      </w:r>
      <w:r>
        <w:rPr>
          <w:rFonts w:hint="eastAsia" w:ascii="仿宋_GB2312" w:eastAsia="仿宋_GB2312"/>
          <w:color w:val="000000" w:themeColor="text1"/>
          <w:highlight w:val="none"/>
          <w14:textFill>
            <w14:solidFill>
              <w14:schemeClr w14:val="tx1"/>
            </w14:solidFill>
          </w14:textFill>
        </w:rPr>
        <w:t>.危险化学品</w:t>
      </w:r>
      <w:bookmarkEnd w:id="21"/>
    </w:p>
    <w:p>
      <w:pPr>
        <w:spacing w:line="640" w:lineRule="exact"/>
        <w:ind w:firstLine="640" w:firstLineChars="200"/>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严格实行危险化学品生产储存进园区、运输定线路、全程有监控，全流通环节危险品品名、数量、性质、主要管控措施、主要应急措施、应急资源和主要安全参数实时动态线上监管。经开区铜官工业园区要严格落实封闭式管理。完善“</w:t>
      </w:r>
      <w:r>
        <w:rPr>
          <w:rFonts w:ascii="仿宋" w:hAnsi="仿宋" w:eastAsia="仿宋"/>
          <w:color w:val="000000"/>
          <w:sz w:val="32"/>
          <w:szCs w:val="32"/>
        </w:rPr>
        <w:t>一园区</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一市场两基地多专线”规划，制定出台专门的城市危险货物配送车辆便捷通行管理办法，合理规划运输路线，对道路危险货物运输车辆实行分类管控，从根本上提高</w:t>
      </w:r>
      <w:r>
        <w:rPr>
          <w:rFonts w:hint="eastAsia" w:ascii="仿宋_GB2312" w:hAnsi="仿宋_GB2312" w:eastAsia="仿宋_GB2312" w:cs="仿宋_GB2312"/>
          <w:color w:val="000000" w:themeColor="text1"/>
          <w:kern w:val="0"/>
          <w:sz w:val="32"/>
          <w:szCs w:val="32"/>
          <w:highlight w:val="none"/>
          <w:lang w:eastAsia="zh-CN" w:bidi="ar-SA"/>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危险化学品的风险防控能力，降低城市安全风险。危险化学品重大危险源的企业视频和安全监控系统安装率及危险化学品监测预警系统建设完成率达到100%。</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22" w:name="_Toc12587"/>
      <w:r>
        <w:rPr>
          <w:rFonts w:hint="eastAsia" w:ascii="仿宋_GB2312" w:eastAsia="仿宋_GB2312"/>
          <w:color w:val="000000" w:themeColor="text1"/>
          <w:highlight w:val="none"/>
          <w:lang w:val="en-US" w:eastAsia="zh-CN"/>
          <w14:textFill>
            <w14:solidFill>
              <w14:schemeClr w14:val="tx1"/>
            </w14:solidFill>
          </w14:textFill>
        </w:rPr>
        <w:t>2</w:t>
      </w:r>
      <w:r>
        <w:rPr>
          <w:rFonts w:hint="eastAsia" w:ascii="仿宋_GB2312" w:eastAsia="仿宋_GB2312"/>
          <w:color w:val="000000" w:themeColor="text1"/>
          <w:highlight w:val="none"/>
          <w14:textFill>
            <w14:solidFill>
              <w14:schemeClr w14:val="tx1"/>
            </w14:solidFill>
          </w14:textFill>
        </w:rPr>
        <w:t>.工贸行业（含工业园区）</w:t>
      </w:r>
      <w:bookmarkEnd w:id="22"/>
    </w:p>
    <w:p>
      <w:pPr>
        <w:spacing w:line="640" w:lineRule="exact"/>
        <w:ind w:firstLine="640" w:firstLineChars="200"/>
        <w:rPr>
          <w:rFonts w:hint="eastAsia" w:ascii="仿宋_GB2312" w:eastAsia="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全面建立规模以上工贸企业基本情况数据库，辨识各企业涉危险化学品、有限空间、粉尘涉爆、特种设备、涉氨制冷、吊装作业、高温熔融、机械设备、皮带运输、高空作业、动火作业、临时用电等重大事故风险，分类建立“一企一策”和双重预防控制体系信息化系统。全面推行安全生产标准化建设，规模以上企业二级安全生产标准化达标率20%，三级安全生产标准化达标率80%。完善园区安全生产管理体制机制。健全安全生产监管体制，实施园区安全生产一体化管理，落实企业安全生产主体责任。强化园区安全生产源头管控。规范园区规划布局，严格园区项目准入把关，合理布局园区内企业，完善园区公共设施。建立以安全风险分级管控和隐患排查治理为重点的园区安全预防控制体系。开展园区安全风险评估分级，建立安全隐患排查治理长效机制，强化重大安全隐患治理，加强承包商管理，推进园区封闭化管理。</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23" w:name="_Toc27220"/>
      <w:r>
        <w:rPr>
          <w:rFonts w:hint="eastAsia" w:ascii="仿宋_GB2312" w:eastAsia="仿宋_GB2312"/>
          <w:color w:val="000000" w:themeColor="text1"/>
          <w:highlight w:val="none"/>
          <w:lang w:val="en-US" w:eastAsia="zh-CN"/>
          <w14:textFill>
            <w14:solidFill>
              <w14:schemeClr w14:val="tx1"/>
            </w14:solidFill>
          </w14:textFill>
        </w:rPr>
        <w:t>3</w:t>
      </w:r>
      <w:r>
        <w:rPr>
          <w:rFonts w:hint="eastAsia" w:ascii="仿宋_GB2312" w:eastAsia="仿宋_GB2312"/>
          <w:color w:val="000000" w:themeColor="text1"/>
          <w:highlight w:val="none"/>
          <w14:textFill>
            <w14:solidFill>
              <w14:schemeClr w14:val="tx1"/>
            </w14:solidFill>
          </w14:textFill>
        </w:rPr>
        <w:t>.烟花爆竹</w:t>
      </w:r>
      <w:bookmarkEnd w:id="23"/>
    </w:p>
    <w:p>
      <w:pPr>
        <w:spacing w:line="640" w:lineRule="exact"/>
        <w:ind w:firstLine="640" w:firstLineChars="200"/>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hint="default"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严厉打击私自生产、非法存储、非法运输、非法售卖行为，全区仅剩一家在册批发点，加强烟花爆竹燃放监管。在烟花爆竹经营环节重点整治</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下店上宅、前店后宅</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、非法储存、超量储存等顽瘴痼疾。</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 xml:space="preserve">在运输环节重点整治非法运输、伪报瞒报、夹带走私等问题，依法查处邮寄烟花爆竹行为。持续推进烟花爆竹产品质量安全专项整治，依法严厉查处产品“标识不清”、“来源不明”、“超标违禁”、不符合强制标准等质量违法行为。加强企业本质安全建设，强化烟花爆竹流向信息化管理。 </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24" w:name="_Toc6525"/>
      <w:r>
        <w:rPr>
          <w:rFonts w:hint="eastAsia" w:ascii="仿宋_GB2312" w:eastAsia="仿宋_GB2312"/>
          <w:color w:val="000000" w:themeColor="text1"/>
          <w:highlight w:val="none"/>
          <w:lang w:val="en-US" w:eastAsia="zh-CN"/>
          <w14:textFill>
            <w14:solidFill>
              <w14:schemeClr w14:val="tx1"/>
            </w14:solidFill>
          </w14:textFill>
        </w:rPr>
        <w:t>4</w:t>
      </w:r>
      <w:r>
        <w:rPr>
          <w:rFonts w:hint="eastAsia" w:ascii="仿宋_GB2312" w:eastAsia="仿宋_GB2312"/>
          <w:color w:val="000000" w:themeColor="text1"/>
          <w:highlight w:val="none"/>
          <w14:textFill>
            <w14:solidFill>
              <w14:schemeClr w14:val="tx1"/>
            </w14:solidFill>
          </w14:textFill>
        </w:rPr>
        <w:t>.消防安全</w:t>
      </w:r>
      <w:bookmarkEnd w:id="24"/>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抓好消防基础设施建设落实落地，建设</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消防救援综合模拟训练基地。全面加强高层建筑、地下、山岳、水城和机械工程等专业救援队伍建设，配齐配强应对处置</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全灾种</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的消防救援装备。打造一支</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全灾种、全地域、全天候</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的新时代消防救援专业队伍。深化开展消防安全专项整治三年行动，深入推进打通消防</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生命通道</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，抓实抓细重点场所治理，突出风险整治、乡村火灾防控、重点行业管理等攻坚治理工作。全面推进</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智慧消防</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建设，深度融入长沙</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智慧城市</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总体规划，综合运用物联网、云计算、大数据等信息技术手段，全面铺开</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智慧消防</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建设，重点建设</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火灾防控智能管理、灭火救援智能指挥、消防队伍综合管理</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三大平台。</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25" w:name="_Toc23172"/>
      <w:r>
        <w:rPr>
          <w:rFonts w:hint="eastAsia" w:ascii="仿宋_GB2312" w:eastAsia="仿宋_GB2312"/>
          <w:color w:val="000000" w:themeColor="text1"/>
          <w:highlight w:val="none"/>
          <w:lang w:val="en-US" w:eastAsia="zh-CN"/>
          <w14:textFill>
            <w14:solidFill>
              <w14:schemeClr w14:val="tx1"/>
            </w14:solidFill>
          </w14:textFill>
        </w:rPr>
        <w:t>5</w:t>
      </w:r>
      <w:r>
        <w:rPr>
          <w:rFonts w:hint="eastAsia" w:ascii="仿宋_GB2312" w:eastAsia="仿宋_GB2312"/>
          <w:color w:val="000000" w:themeColor="text1"/>
          <w:highlight w:val="none"/>
          <w14:textFill>
            <w14:solidFill>
              <w14:schemeClr w14:val="tx1"/>
            </w14:solidFill>
          </w14:textFill>
        </w:rPr>
        <w:t>.道路交通</w:t>
      </w:r>
      <w:bookmarkEnd w:id="25"/>
    </w:p>
    <w:p>
      <w:pPr>
        <w:spacing w:line="640" w:lineRule="exact"/>
        <w:ind w:firstLine="640" w:firstLineChars="200"/>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加快健全交通安全综合治理与防控体系、交通安全应急救援体系，大力实施交通安全提升工程、应急救援能力提升工程。依法构建治理体系，严格落实安全生产法规制度，强化安全监督检查执法，推进路警联动、联网科技治超；完善安全责任体系，强化企业安全生产主体责任，确保企业严格按照要求设置安全管理机构，加强企业安全生产信用管理；实施“科技兴安”工程，突出科技提升安全的作用，积极推广技术成果转化和应用，推进安全生产监管监察、安全生产培训教育等信息化工程建设；营造交通安全文化氛围，全面提升全民安全素养，加强交通安全宣传引导，大力实施交通从业人员安全素质提升工程。实施交通安全提升工程，围绕“人、车、路、企、政”等方面存在的交通顽瘴痼疾，持续推行“隐患清零”行动。</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26" w:name="_Toc20636"/>
      <w:r>
        <w:rPr>
          <w:rFonts w:hint="eastAsia" w:ascii="仿宋_GB2312" w:eastAsia="仿宋_GB2312"/>
          <w:color w:val="000000" w:themeColor="text1"/>
          <w:highlight w:val="none"/>
          <w:lang w:val="en-US" w:eastAsia="zh-CN"/>
          <w14:textFill>
            <w14:solidFill>
              <w14:schemeClr w14:val="tx1"/>
            </w14:solidFill>
          </w14:textFill>
        </w:rPr>
        <w:t>6</w:t>
      </w:r>
      <w:r>
        <w:rPr>
          <w:rFonts w:hint="eastAsia" w:ascii="仿宋_GB2312" w:eastAsia="仿宋_GB2312"/>
          <w:color w:val="000000" w:themeColor="text1"/>
          <w:highlight w:val="none"/>
          <w14:textFill>
            <w14:solidFill>
              <w14:schemeClr w14:val="tx1"/>
            </w14:solidFill>
          </w14:textFill>
        </w:rPr>
        <w:t>.交通运输</w:t>
      </w:r>
      <w:r>
        <w:rPr>
          <w:rFonts w:hint="eastAsia" w:ascii="仿宋_GB2312" w:eastAsia="仿宋_GB2312"/>
          <w:color w:val="000000" w:themeColor="text1"/>
          <w:highlight w:val="none"/>
          <w:lang w:eastAsia="zh-CN"/>
          <w14:textFill>
            <w14:solidFill>
              <w14:schemeClr w14:val="tx1"/>
            </w14:solidFill>
          </w14:textFill>
        </w:rPr>
        <w:t>（</w:t>
      </w:r>
      <w:r>
        <w:rPr>
          <w:rFonts w:hint="eastAsia" w:ascii="仿宋_GB2312" w:eastAsia="仿宋_GB2312"/>
          <w:color w:val="000000" w:themeColor="text1"/>
          <w:highlight w:val="none"/>
          <w14:textFill>
            <w14:solidFill>
              <w14:schemeClr w14:val="tx1"/>
            </w14:solidFill>
          </w14:textFill>
        </w:rPr>
        <w:t>铁路、邮政、水上和城市轨道交通</w:t>
      </w:r>
      <w:r>
        <w:rPr>
          <w:rFonts w:hint="eastAsia" w:ascii="仿宋_GB2312" w:eastAsia="仿宋_GB2312"/>
          <w:color w:val="000000" w:themeColor="text1"/>
          <w:highlight w:val="none"/>
          <w:lang w:eastAsia="zh-CN"/>
          <w14:textFill>
            <w14:solidFill>
              <w14:schemeClr w14:val="tx1"/>
            </w14:solidFill>
          </w14:textFill>
        </w:rPr>
        <w:t>）</w:t>
      </w:r>
      <w:bookmarkEnd w:id="26"/>
      <w:r>
        <w:rPr>
          <w:rFonts w:hint="eastAsia" w:ascii="仿宋_GB2312" w:eastAsia="仿宋_GB2312"/>
          <w:color w:val="000000" w:themeColor="text1"/>
          <w:highlight w:val="none"/>
          <w14:textFill>
            <w14:solidFill>
              <w14:schemeClr w14:val="tx1"/>
            </w14:solidFill>
          </w14:textFill>
        </w:rPr>
        <w:t xml:space="preserve"> </w:t>
      </w:r>
    </w:p>
    <w:p>
      <w:pPr>
        <w:pageBreakBefore w:val="0"/>
        <w:widowControl/>
        <w:kinsoku/>
        <w:wordWrap/>
        <w:overflowPunct/>
        <w:topLinePunct w:val="0"/>
        <w:autoSpaceDE/>
        <w:autoSpaceDN/>
        <w:bidi w:val="0"/>
        <w:adjustRightInd/>
        <w:spacing w:line="640" w:lineRule="exact"/>
        <w:ind w:firstLine="640" w:firstLineChars="200"/>
        <w:rPr>
          <w:rFonts w:hint="eastAsia" w:ascii="仿宋_GB2312" w:eastAsia="仿宋_GB2312"/>
          <w:color w:val="000000" w:themeColor="text1"/>
          <w:highlight w:val="none"/>
          <w14:textFill>
            <w14:solidFill>
              <w14:schemeClr w14:val="tx1"/>
            </w14:solidFill>
          </w14:textFill>
        </w:rPr>
      </w:pPr>
      <w:r>
        <w:rPr>
          <w:rFonts w:ascii="仿宋_GB2312" w:hAnsi="仿宋_GB2312" w:eastAsia="仿宋_GB2312" w:cs="仿宋_GB2312"/>
          <w:color w:val="000000" w:themeColor="text1"/>
          <w:kern w:val="0"/>
          <w:sz w:val="32"/>
          <w:szCs w:val="32"/>
          <w:highlight w:val="none"/>
          <w14:textFill>
            <w14:solidFill>
              <w14:schemeClr w14:val="tx1"/>
            </w14:solidFill>
          </w14:textFill>
        </w:rPr>
        <w:t>从根本上完善和落实交通运输安全风险管控</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的</w:t>
      </w:r>
      <w:r>
        <w:rPr>
          <w:rFonts w:ascii="仿宋_GB2312" w:hAnsi="仿宋_GB2312" w:eastAsia="仿宋_GB2312" w:cs="仿宋_GB2312"/>
          <w:color w:val="000000" w:themeColor="text1"/>
          <w:kern w:val="0"/>
          <w:sz w:val="32"/>
          <w:szCs w:val="32"/>
          <w:highlight w:val="none"/>
          <w14:textFill>
            <w14:solidFill>
              <w14:schemeClr w14:val="tx1"/>
            </w14:solidFill>
          </w14:textFill>
        </w:rPr>
        <w:t>责任链条、制度成果、管理办法、工作机制和事故预防控制体系。铁路沿线环境安全得到有效管控</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ascii="仿宋_GB2312" w:hAnsi="仿宋_GB2312" w:eastAsia="仿宋_GB2312" w:cs="仿宋_GB2312"/>
          <w:color w:val="000000" w:themeColor="text1"/>
          <w:kern w:val="0"/>
          <w:sz w:val="32"/>
          <w:szCs w:val="32"/>
          <w:highlight w:val="none"/>
          <w14:textFill>
            <w14:solidFill>
              <w14:schemeClr w14:val="tx1"/>
            </w14:solidFill>
          </w14:textFill>
        </w:rPr>
        <w:t>铁路安全基础建设得到强化。港口重大危险源在线监测监控率100%</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ascii="仿宋_GB2312" w:hAnsi="仿宋_GB2312" w:eastAsia="仿宋_GB2312" w:cs="仿宋_GB2312"/>
          <w:color w:val="000000" w:themeColor="text1"/>
          <w:kern w:val="0"/>
          <w:sz w:val="32"/>
          <w:szCs w:val="32"/>
          <w:highlight w:val="none"/>
          <w14:textFill>
            <w14:solidFill>
              <w14:schemeClr w14:val="tx1"/>
            </w14:solidFill>
          </w14:textFill>
        </w:rPr>
        <w:t>水上交通安全监管设施设备明显改善。邮政业安全治理现代化水平大幅提高</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ascii="仿宋_GB2312" w:hAnsi="仿宋_GB2312" w:eastAsia="仿宋_GB2312" w:cs="仿宋_GB2312"/>
          <w:color w:val="000000" w:themeColor="text1"/>
          <w:kern w:val="0"/>
          <w:sz w:val="32"/>
          <w:szCs w:val="32"/>
          <w:highlight w:val="none"/>
          <w14:textFill>
            <w14:solidFill>
              <w14:schemeClr w14:val="tx1"/>
            </w14:solidFill>
          </w14:textFill>
        </w:rPr>
        <w:t xml:space="preserve">交通运输各领域杜绝重特大事故。进一步完善安全责任体系。强化风险隐患预防控制。开展重点领域专业化治理。深化铁路沿线环境安全专项治理，开展邮政寄递安全综合治理，开展水上涉客运输安全治理，开展载运危险化学品船舶安全治理，开展砂石运输行为治理。 </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27" w:name="_Toc5312"/>
      <w:r>
        <w:rPr>
          <w:rFonts w:hint="eastAsia" w:ascii="仿宋_GB2312" w:eastAsia="仿宋_GB2312"/>
          <w:color w:val="000000" w:themeColor="text1"/>
          <w:highlight w:val="none"/>
          <w:lang w:val="en-US" w:eastAsia="zh-CN"/>
          <w14:textFill>
            <w14:solidFill>
              <w14:schemeClr w14:val="tx1"/>
            </w14:solidFill>
          </w14:textFill>
        </w:rPr>
        <w:t>7</w:t>
      </w:r>
      <w:r>
        <w:rPr>
          <w:rFonts w:hint="eastAsia" w:ascii="仿宋_GB2312" w:eastAsia="仿宋_GB2312"/>
          <w:color w:val="000000" w:themeColor="text1"/>
          <w:highlight w:val="none"/>
          <w14:textFill>
            <w14:solidFill>
              <w14:schemeClr w14:val="tx1"/>
            </w14:solidFill>
          </w14:textFill>
        </w:rPr>
        <w:t>.建筑施工</w:t>
      </w:r>
      <w:bookmarkEnd w:id="27"/>
    </w:p>
    <w:p>
      <w:pPr>
        <w:spacing w:line="640" w:lineRule="exact"/>
        <w:ind w:firstLine="640" w:firstLineChars="200"/>
        <w:rPr>
          <w:rFonts w:hint="default"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辨识塔吊等起重设施、作业平台、脚手架、深基坑、场（厂）内专用机动车辆、临时用电等重大事故风险，分类建立“一企一策”和双重预防控制体系信息化系统。规范危大工程和重大事故隐患管理，引入第三方机构对企业重大事故风险和部门动态安全监管水平进行评估并形成常态化机制，探索基于风险等级的差异化监管模式。保证基层建筑质量安全监督管理站人员编制到岗到位，加大业务培训和交流学习力度。以重点工程和市政基础设施建设为重点，建立和完善建设、勘察、设计、施工和工程监理各环节质量安全责任考核体系，强化安全监管。</w:t>
      </w:r>
    </w:p>
    <w:p>
      <w:pPr>
        <w:spacing w:line="640" w:lineRule="exact"/>
        <w:ind w:firstLine="640" w:firstLineChars="200"/>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完善城市安全韧性作为城市体检评估考核机制，提升城市安全韧性水平，开展城市公共设施安全和公共卫生安全专项体检，强化应急处置能力，推进行业信息系统开发利用，加快城市综合管理服务平台建设，推动城市安全发展。全面排查建筑物安全隐患。明确建筑物各方主体责任以及相关部门的监管责任。开展城市地下水、电、气管网普查。完善燃气工程技术标准，健全燃气行业管理和事故防范长效机制。督促企业落实主体责任。</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28" w:name="_Toc7997"/>
      <w:r>
        <w:rPr>
          <w:rFonts w:hint="eastAsia" w:ascii="仿宋_GB2312" w:eastAsia="仿宋_GB2312"/>
          <w:color w:val="000000" w:themeColor="text1"/>
          <w:highlight w:val="none"/>
          <w:lang w:val="en-US" w:eastAsia="zh-CN"/>
          <w14:textFill>
            <w14:solidFill>
              <w14:schemeClr w14:val="tx1"/>
            </w14:solidFill>
          </w14:textFill>
        </w:rPr>
        <w:t>8</w:t>
      </w:r>
      <w:r>
        <w:rPr>
          <w:rFonts w:hint="eastAsia" w:ascii="仿宋_GB2312" w:eastAsia="仿宋_GB2312"/>
          <w:color w:val="000000" w:themeColor="text1"/>
          <w:highlight w:val="none"/>
          <w14:textFill>
            <w14:solidFill>
              <w14:schemeClr w14:val="tx1"/>
            </w14:solidFill>
          </w14:textFill>
        </w:rPr>
        <w:t>.特种设备</w:t>
      </w:r>
      <w:bookmarkEnd w:id="28"/>
    </w:p>
    <w:p>
      <w:pPr>
        <w:spacing w:line="640" w:lineRule="exact"/>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 w:hAnsi="仿宋" w:eastAsia="仿宋"/>
          <w:color w:val="333333"/>
          <w:sz w:val="32"/>
          <w:szCs w:val="32"/>
          <w:shd w:val="clear" w:color="auto" w:fill="FFFFFF"/>
        </w:rPr>
        <w:t xml:space="preserve">    </w:t>
      </w:r>
      <w:r>
        <w:rPr>
          <w:rFonts w:ascii="仿宋_GB2312" w:hAnsi="仿宋_GB2312" w:eastAsia="仿宋_GB2312" w:cs="仿宋_GB2312"/>
          <w:color w:val="000000" w:themeColor="text1"/>
          <w:kern w:val="0"/>
          <w:sz w:val="32"/>
          <w:szCs w:val="32"/>
          <w:highlight w:val="none"/>
          <w14:textFill>
            <w14:solidFill>
              <w14:schemeClr w14:val="tx1"/>
            </w14:solidFill>
          </w14:textFill>
        </w:rPr>
        <w:t>摸清辖区内特种设备基本情况，建立信息化管理系统，动态监测特种设备安全管理和运维管理，逐步实现特种设备档案管理信息化、地理位置查询可视化、特种设备领域从业行为监管有效化、特种设备安全监督社会化。推进构建区、街道（乡镇）、社区等三级工作体系，严格查处各类违法违规的特种设备生产经营使用行为，曝光安全生产</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ascii="仿宋_GB2312" w:hAnsi="仿宋_GB2312" w:eastAsia="仿宋_GB2312" w:cs="仿宋_GB2312"/>
          <w:color w:val="000000" w:themeColor="text1"/>
          <w:kern w:val="0"/>
          <w:sz w:val="32"/>
          <w:szCs w:val="32"/>
          <w:highlight w:val="none"/>
          <w14:textFill>
            <w14:solidFill>
              <w14:schemeClr w14:val="tx1"/>
            </w14:solidFill>
          </w14:textFill>
        </w:rPr>
        <w:t>黑名单</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ascii="仿宋_GB2312" w:hAnsi="仿宋_GB2312" w:eastAsia="仿宋_GB2312" w:cs="仿宋_GB2312"/>
          <w:color w:val="000000" w:themeColor="text1"/>
          <w:kern w:val="0"/>
          <w:sz w:val="32"/>
          <w:szCs w:val="32"/>
          <w:highlight w:val="none"/>
          <w14:textFill>
            <w14:solidFill>
              <w14:schemeClr w14:val="tx1"/>
            </w14:solidFill>
          </w14:textFill>
        </w:rPr>
        <w:t>企业和重大典型案件。开展电站、食品生产、造纸、纺织印染、锅炉、压力管道和油气长输管线等重点领域风险辨识和隐患排查治理。开展房屋建筑和市政基础设施工程用起重机械制造环节专项抽查，加强既有住宅加装电梯安全工作，开展大型游乐设施隐患排查治理，开展起重机械和场</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ascii="仿宋_GB2312" w:hAnsi="仿宋_GB2312" w:eastAsia="仿宋_GB2312" w:cs="仿宋_GB2312"/>
          <w:color w:val="000000" w:themeColor="text1"/>
          <w:kern w:val="0"/>
          <w:sz w:val="32"/>
          <w:szCs w:val="32"/>
          <w:highlight w:val="none"/>
          <w14:textFill>
            <w14:solidFill>
              <w14:schemeClr w14:val="tx1"/>
            </w14:solidFill>
          </w14:textFill>
        </w:rPr>
        <w:t>厂</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ascii="仿宋_GB2312" w:hAnsi="仿宋_GB2312" w:eastAsia="仿宋_GB2312" w:cs="仿宋_GB2312"/>
          <w:color w:val="000000" w:themeColor="text1"/>
          <w:kern w:val="0"/>
          <w:sz w:val="32"/>
          <w:szCs w:val="32"/>
          <w:highlight w:val="none"/>
          <w14:textFill>
            <w14:solidFill>
              <w14:schemeClr w14:val="tx1"/>
            </w14:solidFill>
          </w14:textFill>
        </w:rPr>
        <w:t>内专用机动车辆隐患排查治理。开展特种设备基础管理大提升行动。</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29" w:name="_Toc23672"/>
      <w:r>
        <w:rPr>
          <w:rFonts w:hint="eastAsia" w:ascii="仿宋_GB2312" w:eastAsia="仿宋_GB2312"/>
          <w:color w:val="000000" w:themeColor="text1"/>
          <w:highlight w:val="none"/>
          <w:lang w:val="en-US" w:eastAsia="zh-CN"/>
          <w14:textFill>
            <w14:solidFill>
              <w14:schemeClr w14:val="tx1"/>
            </w14:solidFill>
          </w14:textFill>
        </w:rPr>
        <w:t>9</w:t>
      </w:r>
      <w:r>
        <w:rPr>
          <w:rFonts w:hint="eastAsia" w:ascii="仿宋_GB2312" w:eastAsia="仿宋_GB2312"/>
          <w:color w:val="000000" w:themeColor="text1"/>
          <w:highlight w:val="none"/>
          <w14:textFill>
            <w14:solidFill>
              <w14:schemeClr w14:val="tx1"/>
            </w14:solidFill>
          </w14:textFill>
        </w:rPr>
        <w:t>.危险废物</w:t>
      </w:r>
      <w:bookmarkEnd w:id="29"/>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ascii="仿宋_GB2312" w:hAnsi="仿宋_GB2312" w:eastAsia="仿宋_GB2312" w:cs="仿宋_GB2312"/>
          <w:color w:val="000000" w:themeColor="text1"/>
          <w:kern w:val="0"/>
          <w:sz w:val="32"/>
          <w:szCs w:val="32"/>
          <w:highlight w:val="none"/>
          <w14:textFill>
            <w14:solidFill>
              <w14:schemeClr w14:val="tx1"/>
            </w14:solidFill>
          </w14:textFill>
        </w:rPr>
        <w:t>建立重点危险废物名单，结合危险废物规范化管理考核工作，建立</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ascii="仿宋_GB2312" w:hAnsi="仿宋_GB2312" w:eastAsia="仿宋_GB2312" w:cs="仿宋_GB2312"/>
          <w:color w:val="000000" w:themeColor="text1"/>
          <w:kern w:val="0"/>
          <w:sz w:val="32"/>
          <w:szCs w:val="32"/>
          <w:highlight w:val="none"/>
          <w14:textFill>
            <w14:solidFill>
              <w14:schemeClr w14:val="tx1"/>
            </w14:solidFill>
          </w14:textFill>
        </w:rPr>
        <w:t>重点危险废物单位动态跟踪名单。督促重点危险废物单位开展申报登记，督促重点危险废物单位严格落实申报登记制度、管理计划备案制度，坚决打击不如实申报危险废物行为。加强危废处理能力建设，鼓励危废产生企业自建处理设施，减少危废产生。建立完善危废全流通环节和在线监管平台。</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30" w:name="_Toc10846"/>
      <w:r>
        <w:rPr>
          <w:rFonts w:hint="eastAsia" w:ascii="仿宋_GB2312" w:eastAsia="仿宋_GB2312"/>
          <w:color w:val="000000" w:themeColor="text1"/>
          <w:highlight w:val="none"/>
          <w14:textFill>
            <w14:solidFill>
              <w14:schemeClr w14:val="tx1"/>
            </w14:solidFill>
          </w14:textFill>
        </w:rPr>
        <w:t>1</w:t>
      </w:r>
      <w:r>
        <w:rPr>
          <w:rFonts w:hint="eastAsia" w:ascii="仿宋_GB2312" w:eastAsia="仿宋_GB2312"/>
          <w:color w:val="000000" w:themeColor="text1"/>
          <w:highlight w:val="none"/>
          <w:lang w:val="en-US" w:eastAsia="zh-CN"/>
          <w14:textFill>
            <w14:solidFill>
              <w14:schemeClr w14:val="tx1"/>
            </w14:solidFill>
          </w14:textFill>
        </w:rPr>
        <w:t>0</w:t>
      </w:r>
      <w:r>
        <w:rPr>
          <w:rFonts w:hint="eastAsia" w:ascii="仿宋_GB2312" w:eastAsia="仿宋_GB2312"/>
          <w:color w:val="000000" w:themeColor="text1"/>
          <w:highlight w:val="none"/>
          <w14:textFill>
            <w14:solidFill>
              <w14:schemeClr w14:val="tx1"/>
            </w14:solidFill>
          </w14:textFill>
        </w:rPr>
        <w:t>.其他专项治理</w:t>
      </w:r>
      <w:bookmarkEnd w:id="30"/>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ascii="仿宋_GB2312" w:hAnsi="仿宋_GB2312" w:eastAsia="仿宋_GB2312" w:cs="仿宋_GB2312"/>
          <w:color w:val="000000" w:themeColor="text1"/>
          <w:kern w:val="0"/>
          <w:sz w:val="32"/>
          <w:szCs w:val="32"/>
          <w:highlight w:val="none"/>
          <w14:textFill>
            <w14:solidFill>
              <w14:schemeClr w14:val="tx1"/>
            </w14:solidFill>
          </w14:textFill>
        </w:rPr>
      </w:pPr>
      <w:r>
        <w:rPr>
          <w:rFonts w:ascii="仿宋_GB2312" w:hAnsi="仿宋_GB2312" w:eastAsia="仿宋_GB2312" w:cs="仿宋_GB2312"/>
          <w:color w:val="000000" w:themeColor="text1"/>
          <w:kern w:val="0"/>
          <w:sz w:val="32"/>
          <w:szCs w:val="32"/>
          <w:highlight w:val="none"/>
          <w14:textFill>
            <w14:solidFill>
              <w14:schemeClr w14:val="tx1"/>
            </w14:solidFill>
          </w14:textFill>
        </w:rPr>
        <w:t>街镇、园区和区直有关单位分别自行组织开展景区、人员密集场所、农机、商贸物流、水利、人防、校车、寺庙、敬老院</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ascii="仿宋_GB2312" w:hAnsi="仿宋_GB2312" w:eastAsia="仿宋_GB2312" w:cs="仿宋_GB2312"/>
          <w:color w:val="000000" w:themeColor="text1"/>
          <w:kern w:val="0"/>
          <w:sz w:val="32"/>
          <w:szCs w:val="32"/>
          <w:highlight w:val="none"/>
          <w14:textFill>
            <w14:solidFill>
              <w14:schemeClr w14:val="tx1"/>
            </w14:solidFill>
          </w14:textFill>
        </w:rPr>
        <w:t xml:space="preserve">养老院、民爆物品、渣土运输安全专项整治，并将有关情况按要求定期报区安委办。 </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31" w:name="_Toc7387"/>
      <w:r>
        <w:rPr>
          <w:rFonts w:hint="eastAsia" w:ascii="楷体_GB2312" w:eastAsia="楷体_GB2312"/>
          <w:b w:val="0"/>
          <w:bCs w:val="0"/>
          <w:color w:val="000000" w:themeColor="text1"/>
          <w:highlight w:val="none"/>
          <w14:textFill>
            <w14:solidFill>
              <w14:schemeClr w14:val="tx1"/>
            </w14:solidFill>
          </w14:textFill>
        </w:rPr>
        <w:t>（三）全面筑牢综合防灾减灾救灾防线</w:t>
      </w:r>
      <w:bookmarkEnd w:id="31"/>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lang w:val="en-US" w:eastAsia="zh-CN"/>
          <w14:textFill>
            <w14:solidFill>
              <w14:schemeClr w14:val="tx1"/>
            </w14:solidFill>
          </w14:textFill>
        </w:rPr>
      </w:pPr>
      <w:bookmarkStart w:id="32" w:name="_Toc10766"/>
      <w:r>
        <w:rPr>
          <w:rFonts w:hint="eastAsia" w:ascii="仿宋_GB2312" w:eastAsia="仿宋_GB2312"/>
          <w:color w:val="000000" w:themeColor="text1"/>
          <w:highlight w:val="none"/>
          <w:lang w:val="en-US" w:eastAsia="zh-CN"/>
          <w14:textFill>
            <w14:solidFill>
              <w14:schemeClr w14:val="tx1"/>
            </w14:solidFill>
          </w14:textFill>
        </w:rPr>
        <w:t>1.完善防灾减灾救灾责任体系，明确防灾减灾救灾主体责任</w:t>
      </w:r>
      <w:bookmarkEnd w:id="32"/>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按照</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统一领导、分级负责、相互协同、属地为主</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原则，建立健全防灾减灾救灾责任体系，细化明确各级党委和政府自然灾害防治事权和职责划分，注重责任落实。完善统一的防灾减灾救灾组织机构和工作制度。建立防灾减灾救灾工作权责清单，建立健全督导检查工作机制，建立权责一致、依法追责的责任体系。</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lang w:val="en-US" w:eastAsia="zh-CN"/>
          <w14:textFill>
            <w14:solidFill>
              <w14:schemeClr w14:val="tx1"/>
            </w14:solidFill>
          </w14:textFill>
        </w:rPr>
      </w:pPr>
      <w:bookmarkStart w:id="33" w:name="_Toc10469"/>
      <w:r>
        <w:rPr>
          <w:rFonts w:hint="eastAsia" w:ascii="仿宋_GB2312" w:eastAsia="仿宋_GB2312"/>
          <w:color w:val="000000" w:themeColor="text1"/>
          <w:highlight w:val="none"/>
          <w:lang w:val="en-US" w:eastAsia="zh-CN"/>
          <w14:textFill>
            <w14:solidFill>
              <w14:schemeClr w14:val="tx1"/>
            </w14:solidFill>
          </w14:textFill>
        </w:rPr>
        <w:t>2.加强防灾备灾体系能力建设，全面提高灾害防御救治水平</w:t>
      </w:r>
      <w:bookmarkEnd w:id="33"/>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编制全区综合防灾专项规划、生命线工程规划、消防设施专项规划、人防工程专项规划和地质灾害防治专项规划等国土空间专项规划，并按规划方案组织实施。加强防御基础设施建设，完善自然灾害工程防御设施，提升城市建设和基础设施抗灾能力，建设城乡基层防灾基础设施，建立健全与</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城市安全发展相适应的综合防灾体系。</w:t>
      </w:r>
      <w:bookmarkStart w:id="34" w:name="_Toc31676"/>
    </w:p>
    <w:p>
      <w:pPr>
        <w:pageBreakBefore w:val="0"/>
        <w:widowControl/>
        <w:kinsoku/>
        <w:wordWrap/>
        <w:overflowPunct/>
        <w:topLinePunct w:val="0"/>
        <w:autoSpaceDE/>
        <w:autoSpaceDN/>
        <w:bidi w:val="0"/>
        <w:adjustRightInd/>
        <w:spacing w:line="640" w:lineRule="exact"/>
        <w:ind w:firstLine="643" w:firstLineChars="200"/>
        <w:rPr>
          <w:rFonts w:hint="eastAsia" w:ascii="仿宋_GB2312" w:eastAsia="仿宋_GB2312" w:hAnsiTheme="minorHAnsi" w:cstheme="minorBidi"/>
          <w:b/>
          <w:bCs/>
          <w:color w:val="000000" w:themeColor="text1"/>
          <w:kern w:val="2"/>
          <w:sz w:val="32"/>
          <w:szCs w:val="32"/>
          <w:highlight w:val="none"/>
          <w:lang w:val="en-US" w:eastAsia="zh-CN" w:bidi="ar-SA"/>
          <w14:textFill>
            <w14:solidFill>
              <w14:schemeClr w14:val="tx1"/>
            </w14:solidFill>
          </w14:textFill>
        </w:rPr>
      </w:pPr>
    </w:p>
    <w:p>
      <w:pPr>
        <w:pageBreakBefore w:val="0"/>
        <w:widowControl/>
        <w:kinsoku/>
        <w:wordWrap/>
        <w:overflowPunct/>
        <w:topLinePunct w:val="0"/>
        <w:autoSpaceDE/>
        <w:autoSpaceDN/>
        <w:bidi w:val="0"/>
        <w:adjustRightInd/>
        <w:spacing w:line="640" w:lineRule="exact"/>
        <w:ind w:firstLine="643" w:firstLineChars="200"/>
        <w:rPr>
          <w:rFonts w:hint="eastAsia" w:ascii="仿宋_GB2312" w:eastAsia="仿宋_GB2312" w:hAnsiTheme="minorHAnsi" w:cstheme="minorBidi"/>
          <w:b/>
          <w:bCs/>
          <w:color w:val="000000" w:themeColor="text1"/>
          <w:kern w:val="2"/>
          <w:sz w:val="32"/>
          <w:szCs w:val="32"/>
          <w:highlight w:val="none"/>
          <w:lang w:val="en-US" w:eastAsia="zh-CN" w:bidi="ar-SA"/>
          <w14:textFill>
            <w14:solidFill>
              <w14:schemeClr w14:val="tx1"/>
            </w14:solidFill>
          </w14:textFill>
        </w:rPr>
      </w:pPr>
    </w:p>
    <w:p>
      <w:pPr>
        <w:pageBreakBefore w:val="0"/>
        <w:widowControl/>
        <w:kinsoku/>
        <w:wordWrap/>
        <w:overflowPunct/>
        <w:topLinePunct w:val="0"/>
        <w:autoSpaceDE/>
        <w:autoSpaceDN/>
        <w:bidi w:val="0"/>
        <w:adjustRightInd/>
        <w:spacing w:line="640" w:lineRule="exact"/>
        <w:ind w:firstLine="643" w:firstLineChars="200"/>
        <w:rPr>
          <w:rFonts w:hint="eastAsia" w:ascii="仿宋_GB2312" w:eastAsia="仿宋_GB2312" w:hAnsiTheme="minorHAnsi" w:cstheme="minorBidi"/>
          <w:b/>
          <w:bCs/>
          <w:color w:val="000000" w:themeColor="text1"/>
          <w:kern w:val="2"/>
          <w:sz w:val="32"/>
          <w:szCs w:val="32"/>
          <w:highlight w:val="none"/>
          <w:lang w:val="en-US" w:eastAsia="zh-CN" w:bidi="ar-SA"/>
          <w14:textFill>
            <w14:solidFill>
              <w14:schemeClr w14:val="tx1"/>
            </w14:solidFill>
          </w14:textFill>
        </w:rPr>
      </w:pPr>
      <w:r>
        <w:rPr>
          <w:rFonts w:hint="eastAsia" w:ascii="仿宋_GB2312" w:eastAsia="仿宋_GB2312" w:hAnsiTheme="minorHAnsi" w:cstheme="minorBidi"/>
          <w:b/>
          <w:bCs/>
          <w:color w:val="000000" w:themeColor="text1"/>
          <w:kern w:val="2"/>
          <w:sz w:val="32"/>
          <w:szCs w:val="32"/>
          <w:highlight w:val="none"/>
          <w:lang w:val="en-US" w:eastAsia="zh-CN" w:bidi="ar-SA"/>
          <w14:textFill>
            <w14:solidFill>
              <w14:schemeClr w14:val="tx1"/>
            </w14:solidFill>
          </w14:textFill>
        </w:rPr>
        <w:t>3.加强部门间协调配合和联动，提高政府综合应急实战能力</w:t>
      </w:r>
      <w:bookmarkEnd w:id="34"/>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完善自然灾害突发事件应急指挥机制，成立抗震救灾指挥部和地质灾害应急指挥部，建立</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提高自然灾害防治能力联席会议制度，建立健全自然灾害协调联动机制。强化通力合作下的信息收集整理和风险分析研判，及时准确提出决策意见。强化军地协同机制，加强日常业务联系，定期召开联席会议，建立灾害风险会商研判和联合勘测、兵力需求提报等机制，实现高效联动。开展常态化的部门间联合突发事件应急演练，开展重大突发事件、多个突发事件叠加等情境下的大规模应急处置处理演练，强化对应急规划和预案的熟悉程度。</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lang w:val="en-US" w:eastAsia="zh-CN"/>
          <w14:textFill>
            <w14:solidFill>
              <w14:schemeClr w14:val="tx1"/>
            </w14:solidFill>
          </w14:textFill>
        </w:rPr>
      </w:pPr>
      <w:bookmarkStart w:id="35" w:name="_Toc3343"/>
      <w:r>
        <w:rPr>
          <w:rFonts w:hint="eastAsia" w:ascii="仿宋_GB2312" w:eastAsia="仿宋_GB2312"/>
          <w:color w:val="000000" w:themeColor="text1"/>
          <w:highlight w:val="none"/>
          <w:lang w:val="en-US" w:eastAsia="zh-CN"/>
          <w14:textFill>
            <w14:solidFill>
              <w14:schemeClr w14:val="tx1"/>
            </w14:solidFill>
          </w14:textFill>
        </w:rPr>
        <w:t>4.全面落实自然灾害风险普查，建立风险清单完善管控措施</w:t>
      </w:r>
      <w:bookmarkEnd w:id="35"/>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全面开展自然灾害综合风险普查，加强灾害风险分级分类评估，建立自然灾害综合风险和综合减灾能力数据库。建立完善自然灾害风险管理和隐患排查治理制</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度</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，开展自然灾害风险重点</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隐患</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排查整治行动。加强自然灾害综合监测预警</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能力</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，建立自然灾害综合监测预警系统。以</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边普查、边应用、边见效</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为原则，将防灾减灾救灾工作与普查工作紧密结合，同步推进。</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lang w:val="en-US" w:eastAsia="zh-CN"/>
          <w14:textFill>
            <w14:solidFill>
              <w14:schemeClr w14:val="tx1"/>
            </w14:solidFill>
          </w14:textFill>
        </w:rPr>
      </w:pPr>
      <w:bookmarkStart w:id="36" w:name="_Toc5054"/>
      <w:r>
        <w:rPr>
          <w:rFonts w:hint="eastAsia" w:ascii="仿宋_GB2312" w:eastAsia="仿宋_GB2312"/>
          <w:color w:val="000000" w:themeColor="text1"/>
          <w:highlight w:val="none"/>
          <w:lang w:val="en-US" w:eastAsia="zh-CN"/>
          <w14:textFill>
            <w14:solidFill>
              <w14:schemeClr w14:val="tx1"/>
            </w14:solidFill>
          </w14:textFill>
        </w:rPr>
        <w:t>5.建立</w:t>
      </w:r>
      <w:r>
        <w:rPr>
          <w:rFonts w:hint="default" w:ascii="仿宋_GB2312" w:eastAsia="仿宋_GB2312"/>
          <w:color w:val="000000" w:themeColor="text1"/>
          <w:highlight w:val="none"/>
          <w:lang w:val="en-US" w:eastAsia="zh-CN"/>
          <w14:textFill>
            <w14:solidFill>
              <w14:schemeClr w14:val="tx1"/>
            </w14:solidFill>
          </w14:textFill>
        </w:rPr>
        <w:t>高效便捷</w:t>
      </w:r>
      <w:r>
        <w:rPr>
          <w:rFonts w:hint="eastAsia" w:ascii="仿宋_GB2312" w:eastAsia="仿宋_GB2312"/>
          <w:color w:val="000000" w:themeColor="text1"/>
          <w:highlight w:val="none"/>
          <w:lang w:val="en-US" w:eastAsia="zh-CN"/>
          <w14:textFill>
            <w14:solidFill>
              <w14:schemeClr w14:val="tx1"/>
            </w14:solidFill>
          </w14:textFill>
        </w:rPr>
        <w:t>信息发布渠道，提高灾情险情预警预报能力</w:t>
      </w:r>
      <w:bookmarkEnd w:id="36"/>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建立完善各类灾害监测站网、基础设施和多灾种综合监测预警预报系统，</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形成</w:t>
      </w:r>
      <w:r>
        <w:rPr>
          <w:rFonts w:hint="default" w:ascii="仿宋_GB2312" w:hAnsi="仿宋_GB2312" w:eastAsia="仿宋_GB2312" w:cs="仿宋_GB2312"/>
          <w:color w:val="000000" w:themeColor="text1"/>
          <w:kern w:val="0"/>
          <w:sz w:val="32"/>
          <w:szCs w:val="32"/>
          <w:highlight w:val="none"/>
          <w:lang w:eastAsia="zh-CN"/>
          <w14:textFill>
            <w14:solidFill>
              <w14:schemeClr w14:val="tx1"/>
            </w14:solidFill>
          </w14:textFill>
        </w:rPr>
        <w:t>统一的</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自然灾害综合监测预警信息发布、共享与开放服务平台。完善预警发布机制，提高预警预报信息发布的准确性和时效性</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扩大</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社会公众覆盖面</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通过电视屏幕、移动客户端和村村通喇叭等渠道第一时间向公众发布预警信息，预警信息发布要到村到户到人，尽最大努力保障人民生命财产安全。</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lang w:val="en-US" w:eastAsia="zh-CN"/>
          <w14:textFill>
            <w14:solidFill>
              <w14:schemeClr w14:val="tx1"/>
            </w14:solidFill>
          </w14:textFill>
        </w:rPr>
      </w:pPr>
      <w:bookmarkStart w:id="37" w:name="_Toc1837"/>
      <w:r>
        <w:rPr>
          <w:rFonts w:hint="eastAsia" w:ascii="仿宋_GB2312" w:eastAsia="仿宋_GB2312"/>
          <w:color w:val="000000" w:themeColor="text1"/>
          <w:highlight w:val="none"/>
          <w:lang w:val="en-US" w:eastAsia="zh-CN"/>
          <w14:textFill>
            <w14:solidFill>
              <w14:schemeClr w14:val="tx1"/>
            </w14:solidFill>
          </w14:textFill>
        </w:rPr>
        <w:t>6.规范救灾物资资金下拨调运，保证救灾赈灾资源合理有效</w:t>
      </w:r>
      <w:bookmarkEnd w:id="37"/>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建立完</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善赈灾救灾工作制度，规范资金拨付程序和物资调拨</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程序</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。严格落实救灾资金国库专项拨付制度，减少中间环节，确保救灾资金及时直达受灾</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群众</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和救灾单位。建立并完善救灾物资台账，实行专人管理，确保物资的安全和完整。建立合理的监督机制，确保救灾资金、物资的合理合规使用，提高救灾赈灾效率和效果。</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lang w:val="en-US" w:eastAsia="zh-CN"/>
          <w14:textFill>
            <w14:solidFill>
              <w14:schemeClr w14:val="tx1"/>
            </w14:solidFill>
          </w14:textFill>
        </w:rPr>
      </w:pPr>
      <w:bookmarkStart w:id="38" w:name="_Toc12319"/>
      <w:r>
        <w:rPr>
          <w:rFonts w:hint="eastAsia" w:ascii="仿宋_GB2312" w:eastAsia="仿宋_GB2312"/>
          <w:color w:val="000000" w:themeColor="text1"/>
          <w:highlight w:val="none"/>
          <w:lang w:val="en-US" w:eastAsia="zh-CN"/>
          <w14:textFill>
            <w14:solidFill>
              <w14:schemeClr w14:val="tx1"/>
            </w14:solidFill>
          </w14:textFill>
        </w:rPr>
        <w:t>7.大力提高社会公众风险意识，筑牢防灾减灾救灾人民防线</w:t>
      </w:r>
      <w:bookmarkEnd w:id="38"/>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开展灾害防御人文社会能力建设，提高社会公众防灾减灾</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救灾</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意识、文化和能力，大力提高灾害防御教育水平特别是广大民众的风险防范意识和逃生技能，加强社会安全底线建设。普及家庭应急用品，开展应急救援综合演练，大力提升学校、医院、旅游风景区等人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员</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密集场所应急处置中的自救互救能力，全面提高全社会防范各类灾害风险的能力。大力促进社区、社工和社会组织联合，形成载体、人才和资本的有效对接，建立</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三社联动</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的社区综合灾害风险防御体系。</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39" w:name="_Toc7802"/>
      <w:r>
        <w:rPr>
          <w:rFonts w:hint="eastAsia" w:ascii="楷体_GB2312" w:eastAsia="楷体_GB2312"/>
          <w:b w:val="0"/>
          <w:bCs w:val="0"/>
          <w:color w:val="000000" w:themeColor="text1"/>
          <w:highlight w:val="none"/>
          <w14:textFill>
            <w14:solidFill>
              <w14:schemeClr w14:val="tx1"/>
            </w14:solidFill>
          </w14:textFill>
        </w:rPr>
        <w:t>（四）大力提升应急救援能力和水平</w:t>
      </w:r>
      <w:bookmarkEnd w:id="39"/>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lang w:val="en-US" w:eastAsia="zh-CN"/>
          <w14:textFill>
            <w14:solidFill>
              <w14:schemeClr w14:val="tx1"/>
            </w14:solidFill>
          </w14:textFill>
        </w:rPr>
      </w:pPr>
      <w:bookmarkStart w:id="40" w:name="_Toc32520"/>
      <w:r>
        <w:rPr>
          <w:rFonts w:hint="eastAsia" w:ascii="仿宋_GB2312" w:eastAsia="仿宋_GB2312"/>
          <w:color w:val="000000" w:themeColor="text1"/>
          <w:highlight w:val="none"/>
          <w:lang w:val="en-US" w:eastAsia="zh-CN"/>
          <w14:textFill>
            <w14:solidFill>
              <w14:schemeClr w14:val="tx1"/>
            </w14:solidFill>
          </w14:textFill>
        </w:rPr>
        <w:t>1.</w:t>
      </w:r>
      <w:r>
        <w:rPr>
          <w:rFonts w:hint="default" w:ascii="仿宋_GB2312" w:eastAsia="仿宋_GB2312"/>
          <w:color w:val="000000" w:themeColor="text1"/>
          <w:highlight w:val="none"/>
          <w:lang w:val="en-US" w:eastAsia="zh-CN"/>
          <w14:textFill>
            <w14:solidFill>
              <w14:schemeClr w14:val="tx1"/>
            </w14:solidFill>
          </w14:textFill>
        </w:rPr>
        <w:t>完善</w:t>
      </w:r>
      <w:r>
        <w:rPr>
          <w:rFonts w:hint="eastAsia" w:ascii="仿宋_GB2312" w:eastAsia="仿宋_GB2312"/>
          <w:color w:val="000000" w:themeColor="text1"/>
          <w:highlight w:val="none"/>
          <w:lang w:val="en-US" w:eastAsia="zh-CN"/>
          <w14:textFill>
            <w14:solidFill>
              <w14:schemeClr w14:val="tx1"/>
            </w14:solidFill>
          </w14:textFill>
        </w:rPr>
        <w:t>应急预案</w:t>
      </w:r>
      <w:r>
        <w:rPr>
          <w:rFonts w:hint="default" w:ascii="仿宋_GB2312" w:eastAsia="仿宋_GB2312"/>
          <w:color w:val="000000" w:themeColor="text1"/>
          <w:highlight w:val="none"/>
          <w:lang w:val="en-US" w:eastAsia="zh-CN"/>
          <w14:textFill>
            <w14:solidFill>
              <w14:schemeClr w14:val="tx1"/>
            </w14:solidFill>
          </w14:textFill>
        </w:rPr>
        <w:t>体系</w:t>
      </w:r>
      <w:r>
        <w:rPr>
          <w:rFonts w:hint="eastAsia" w:ascii="仿宋_GB2312" w:eastAsia="仿宋_GB2312"/>
          <w:color w:val="000000" w:themeColor="text1"/>
          <w:highlight w:val="none"/>
          <w:lang w:val="en-US" w:eastAsia="zh-CN"/>
          <w14:textFill>
            <w14:solidFill>
              <w14:schemeClr w14:val="tx1"/>
            </w14:solidFill>
          </w14:textFill>
        </w:rPr>
        <w:t>，</w:t>
      </w:r>
      <w:r>
        <w:rPr>
          <w:rFonts w:hint="default" w:ascii="仿宋_GB2312" w:eastAsia="仿宋_GB2312"/>
          <w:color w:val="000000" w:themeColor="text1"/>
          <w:highlight w:val="none"/>
          <w:lang w:val="en-US" w:eastAsia="zh-CN"/>
          <w14:textFill>
            <w14:solidFill>
              <w14:schemeClr w14:val="tx1"/>
            </w14:solidFill>
          </w14:textFill>
        </w:rPr>
        <w:t>加强</w:t>
      </w:r>
      <w:r>
        <w:rPr>
          <w:rFonts w:hint="eastAsia" w:ascii="仿宋_GB2312" w:eastAsia="仿宋_GB2312"/>
          <w:color w:val="000000" w:themeColor="text1"/>
          <w:highlight w:val="none"/>
          <w:lang w:val="en-US" w:eastAsia="zh-CN"/>
          <w14:textFill>
            <w14:solidFill>
              <w14:schemeClr w14:val="tx1"/>
            </w14:solidFill>
          </w14:textFill>
        </w:rPr>
        <w:t>应急演练</w:t>
      </w:r>
      <w:bookmarkEnd w:id="40"/>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分层级分阶段开展各级各部门各行业应急预案大检查，政府及相关部门总体应急预案和必要的专项预案覆盖率达到100%，合格率达到90%以上，重点完善防汛、危险品事故和水上救援等预案机制并做好与长沙市的相关预案</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相</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衔接</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工作</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。易燃易爆物品、危险化学品等危险物品的生产、经营、储存、运输单位，</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烟花爆竹、</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金属冶炼、城市轨道交通运营、建筑施工单位，以及宾馆、商场、娱乐场所、旅游景区等人员密集场所经营单位应急预案备案率和合格率达到100%。定期对各级政府、部门和相关企业应急救援演练情况进行抽查，对演练不符合要求的，责令限期改正。委托第三方机构指导医院、学校和住宅小区等重点单位和场所开展针对性的应急演练，增强社会应对危机的能力。</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41" w:name="_Toc25838"/>
      <w:r>
        <w:rPr>
          <w:rFonts w:hint="eastAsia" w:ascii="仿宋_GB2312" w:eastAsia="仿宋_GB2312"/>
          <w:color w:val="000000" w:themeColor="text1"/>
          <w:highlight w:val="none"/>
          <w14:textFill>
            <w14:solidFill>
              <w14:schemeClr w14:val="tx1"/>
            </w14:solidFill>
          </w14:textFill>
        </w:rPr>
        <w:t>2.</w:t>
      </w:r>
      <w:r>
        <w:rPr>
          <w:rFonts w:hint="default" w:ascii="仿宋_GB2312" w:eastAsia="仿宋_GB2312"/>
          <w:color w:val="000000" w:themeColor="text1"/>
          <w:highlight w:val="none"/>
          <w14:textFill>
            <w14:solidFill>
              <w14:schemeClr w14:val="tx1"/>
            </w14:solidFill>
          </w14:textFill>
        </w:rPr>
        <w:t>清查</w:t>
      </w:r>
      <w:r>
        <w:rPr>
          <w:rFonts w:hint="eastAsia" w:ascii="仿宋_GB2312" w:eastAsia="仿宋_GB2312"/>
          <w:color w:val="000000" w:themeColor="text1"/>
          <w:highlight w:val="none"/>
          <w14:textFill>
            <w14:solidFill>
              <w14:schemeClr w14:val="tx1"/>
            </w14:solidFill>
          </w14:textFill>
        </w:rPr>
        <w:t>应急物资</w:t>
      </w:r>
      <w:r>
        <w:rPr>
          <w:rFonts w:hint="default" w:ascii="仿宋_GB2312" w:eastAsia="仿宋_GB2312"/>
          <w:color w:val="000000" w:themeColor="text1"/>
          <w:highlight w:val="none"/>
          <w14:textFill>
            <w14:solidFill>
              <w14:schemeClr w14:val="tx1"/>
            </w14:solidFill>
          </w14:textFill>
        </w:rPr>
        <w:t>储备</w:t>
      </w:r>
      <w:r>
        <w:rPr>
          <w:rFonts w:hint="eastAsia" w:ascii="仿宋_GB2312" w:eastAsia="仿宋_GB2312"/>
          <w:color w:val="000000" w:themeColor="text1"/>
          <w:highlight w:val="none"/>
          <w14:textFill>
            <w14:solidFill>
              <w14:schemeClr w14:val="tx1"/>
            </w14:solidFill>
          </w14:textFill>
        </w:rPr>
        <w:t>，完善配送体系</w:t>
      </w:r>
      <w:bookmarkEnd w:id="41"/>
    </w:p>
    <w:p>
      <w:pPr>
        <w:spacing w:line="640" w:lineRule="exact"/>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 w:hAnsi="仿宋" w:eastAsia="仿宋"/>
          <w:color w:val="333333"/>
          <w:sz w:val="32"/>
          <w:szCs w:val="32"/>
          <w:shd w:val="clear" w:color="auto" w:fill="FFFFFF"/>
        </w:rPr>
        <w:t xml:space="preserve">   </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 xml:space="preserve"> 结合</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综合防灾规划和相关建设，开展辖区内应急资源调查，全面摸清域</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内</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救灾物资存储和调配现状，建立完善救灾物资和基础设施数据库并动态更新。整合和利用生产企业资源和社会资源，建立生产企业救灾物资和设备共享机制，减少政府采购和库存，减少传统仓库式的集中储备，着力发挥互联网电商平台掌握的商业库存大数据的技术优势，将实物储备与能力储备有机结合，降低应急资源配置成本，减少因重复建设而导致的应急资源浪费，提高救灾物资和设备储备能力，提高物资调运效率。建立完善救援物资申请、调拨和紧急配送机制，提高物资送达效率，搭建由政府专门部门统筹的大安全环境下反应灵敏的社会应急资源管理和调度平台，统一负责相关物资的调度管理。建立健全民政、发展改革、交通运输、铁路、民航等部门以及军地共同参与的救灾物资紧急调运应急联动机制，完善跨区域救灾物资援助机制，在规定时间内快速调拨救灾物资并送至接收地，确保救灾物资的调运高效快捷有序，为救灾工作提供有力保障。</w:t>
      </w:r>
    </w:p>
    <w:p>
      <w:pPr>
        <w:pStyle w:val="4"/>
        <w:pageBreakBefore w:val="0"/>
        <w:widowControl/>
        <w:kinsoku/>
        <w:wordWrap/>
        <w:overflowPunct/>
        <w:topLinePunct w:val="0"/>
        <w:autoSpaceDE/>
        <w:autoSpaceDN/>
        <w:bidi w:val="0"/>
        <w:adjustRightInd/>
        <w:spacing w:before="160" w:after="160" w:line="640" w:lineRule="exact"/>
        <w:ind w:firstLine="643" w:firstLineChars="200"/>
        <w:jc w:val="both"/>
        <w:rPr>
          <w:rFonts w:hint="eastAsia" w:ascii="仿宋_GB2312" w:eastAsia="仿宋_GB2312"/>
          <w:color w:val="000000" w:themeColor="text1"/>
          <w:highlight w:val="none"/>
          <w14:textFill>
            <w14:solidFill>
              <w14:schemeClr w14:val="tx1"/>
            </w14:solidFill>
          </w14:textFill>
        </w:rPr>
      </w:pPr>
      <w:bookmarkStart w:id="42" w:name="_Toc15673"/>
      <w:r>
        <w:rPr>
          <w:rFonts w:hint="eastAsia" w:ascii="仿宋_GB2312" w:eastAsia="仿宋_GB2312"/>
          <w:color w:val="000000" w:themeColor="text1"/>
          <w:highlight w:val="none"/>
          <w14:textFill>
            <w14:solidFill>
              <w14:schemeClr w14:val="tx1"/>
            </w14:solidFill>
          </w14:textFill>
        </w:rPr>
        <w:t>3.加强</w:t>
      </w:r>
      <w:r>
        <w:rPr>
          <w:rFonts w:hint="default" w:ascii="仿宋_GB2312" w:eastAsia="仿宋_GB2312"/>
          <w:color w:val="000000" w:themeColor="text1"/>
          <w:highlight w:val="none"/>
          <w14:textFill>
            <w14:solidFill>
              <w14:schemeClr w14:val="tx1"/>
            </w14:solidFill>
          </w14:textFill>
        </w:rPr>
        <w:t>应急</w:t>
      </w:r>
      <w:r>
        <w:rPr>
          <w:rFonts w:hint="eastAsia" w:ascii="仿宋_GB2312" w:eastAsia="仿宋_GB2312"/>
          <w:color w:val="000000" w:themeColor="text1"/>
          <w:highlight w:val="none"/>
          <w14:textFill>
            <w14:solidFill>
              <w14:schemeClr w14:val="tx1"/>
            </w14:solidFill>
          </w14:textFill>
        </w:rPr>
        <w:t>队伍建设，提升</w:t>
      </w:r>
      <w:r>
        <w:rPr>
          <w:rFonts w:hint="default" w:ascii="仿宋_GB2312" w:eastAsia="仿宋_GB2312"/>
          <w:color w:val="000000" w:themeColor="text1"/>
          <w:highlight w:val="none"/>
          <w14:textFill>
            <w14:solidFill>
              <w14:schemeClr w14:val="tx1"/>
            </w14:solidFill>
          </w14:textFill>
        </w:rPr>
        <w:t>救援</w:t>
      </w:r>
      <w:r>
        <w:rPr>
          <w:rFonts w:hint="eastAsia" w:ascii="仿宋_GB2312" w:eastAsia="仿宋_GB2312"/>
          <w:color w:val="000000" w:themeColor="text1"/>
          <w:highlight w:val="none"/>
          <w14:textFill>
            <w14:solidFill>
              <w14:schemeClr w14:val="tx1"/>
            </w14:solidFill>
          </w14:textFill>
        </w:rPr>
        <w:t>能力</w:t>
      </w:r>
      <w:bookmarkEnd w:id="42"/>
    </w:p>
    <w:p>
      <w:pPr>
        <w:spacing w:line="640" w:lineRule="exact"/>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结合</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产业特点和自然灾害风险特性以及长沙市应急队伍能力建设总体规划，着力打造</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应急救援尖刀队、灾害处置专业队、业务训练示教队</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打造一支人员精干、装备一流、管理规范、业务精湛、处置专业、能攻善战的综合性应急救援力量，重点</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加强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危化品救援、水上救援、防汛抢险等方面的能力建设。针对辖区易发高发的或可能出现的灾害事故类型及其一般规律特点，集中优势力量，配置专门装备，分类建设水域、化工、地震、森林、高层、地下轨道交通事故等专业灭火救援编队，打造一批应对各类重特大灾害事故救援的拳头力量、攻坚力量。增加消防力量编制，择优招录配齐消防人员，推动乡镇专职消防队、村寨志愿消防队建设，配备执勤人员和车辆器材装备，全面夯实基层消防力量。充分发挥</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生产经营单位</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、科研单位以及社会救援组织等社会应急救援力量作用，建立完善联合救援机制。</w:t>
      </w:r>
    </w:p>
    <w:p>
      <w:pPr>
        <w:pStyle w:val="2"/>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黑体" w:hAnsi="黑体" w:eastAsia="黑体" w:cs="仿宋_GB2312"/>
          <w:b w:val="0"/>
          <w:color w:val="000000" w:themeColor="text1"/>
          <w:kern w:val="0"/>
          <w:sz w:val="32"/>
          <w:szCs w:val="32"/>
          <w:highlight w:val="none"/>
          <w14:textFill>
            <w14:solidFill>
              <w14:schemeClr w14:val="tx1"/>
            </w14:solidFill>
          </w14:textFill>
        </w:rPr>
      </w:pPr>
      <w:bookmarkStart w:id="43" w:name="_Toc29772"/>
      <w:r>
        <w:rPr>
          <w:rFonts w:hint="eastAsia" w:ascii="黑体" w:hAnsi="黑体" w:eastAsia="黑体" w:cs="仿宋_GB2312"/>
          <w:b w:val="0"/>
          <w:color w:val="000000" w:themeColor="text1"/>
          <w:kern w:val="0"/>
          <w:sz w:val="32"/>
          <w:szCs w:val="32"/>
          <w:highlight w:val="none"/>
          <w14:textFill>
            <w14:solidFill>
              <w14:schemeClr w14:val="tx1"/>
            </w14:solidFill>
          </w14:textFill>
        </w:rPr>
        <w:t>五、重点建设项目</w:t>
      </w:r>
      <w:bookmarkEnd w:id="43"/>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44" w:name="_Toc13672"/>
      <w:r>
        <w:rPr>
          <w:rFonts w:hint="eastAsia" w:ascii="楷体_GB2312" w:eastAsia="楷体_GB2312"/>
          <w:b w:val="0"/>
          <w:bCs w:val="0"/>
          <w:color w:val="000000" w:themeColor="text1"/>
          <w:highlight w:val="none"/>
          <w14:textFill>
            <w14:solidFill>
              <w14:schemeClr w14:val="tx1"/>
            </w14:solidFill>
          </w14:textFill>
        </w:rPr>
        <w:t>（一）</w:t>
      </w:r>
      <w:r>
        <w:rPr>
          <w:rFonts w:hint="eastAsia" w:ascii="楷体_GB2312" w:eastAsia="楷体_GB2312"/>
          <w:b w:val="0"/>
          <w:bCs w:val="0"/>
          <w:color w:val="000000" w:themeColor="text1"/>
          <w:highlight w:val="none"/>
          <w:lang w:eastAsia="zh-CN"/>
          <w14:textFill>
            <w14:solidFill>
              <w14:schemeClr w14:val="tx1"/>
            </w14:solidFill>
          </w14:textFill>
        </w:rPr>
        <w:t>望城区</w:t>
      </w:r>
      <w:r>
        <w:rPr>
          <w:rFonts w:hint="eastAsia" w:ascii="楷体_GB2312" w:eastAsia="楷体_GB2312"/>
          <w:b w:val="0"/>
          <w:bCs w:val="0"/>
          <w:color w:val="000000" w:themeColor="text1"/>
          <w:highlight w:val="none"/>
          <w14:textFill>
            <w14:solidFill>
              <w14:schemeClr w14:val="tx1"/>
            </w14:solidFill>
          </w14:textFill>
        </w:rPr>
        <w:t>应急管理综合应用平台建设</w:t>
      </w:r>
      <w:bookmarkEnd w:id="44"/>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建设单位：</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区应急管理部门</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建设内容：</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加快区基层应急管理综合应用平台建设，通过汇聚、关联、融合、共享各部门、各系统应急数据资源，实现应急管理信息化建设的技术融合、业务融合、数据融合，建设包含监管监察、监测预警、应急指挥、辅助决策、政务管理和双控体系等业务</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领域</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的应急管理综合应用平台。</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建设地址：</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区应急管理部门</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p>
    <w:p>
      <w:pPr>
        <w:pageBreakBefore w:val="0"/>
        <w:widowControl/>
        <w:kinsoku/>
        <w:wordWrap/>
        <w:overflowPunct/>
        <w:topLinePunct w:val="0"/>
        <w:autoSpaceDE/>
        <w:autoSpaceDN/>
        <w:bidi w:val="0"/>
        <w:adjustRightInd/>
        <w:spacing w:line="640" w:lineRule="exact"/>
        <w:ind w:firstLine="643" w:firstLineChars="200"/>
        <w:rPr>
          <w:rFonts w:ascii="仿宋" w:hAnsi="仿宋" w:eastAsia="仿宋"/>
          <w:color w:val="000000"/>
          <w:kern w:val="0"/>
          <w:sz w:val="32"/>
          <w:szCs w:val="32"/>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建设意义：</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能够实现监测预警</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一张图</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、指挥协同</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一体化</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、应急指挥</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一张网</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，应急联动</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一键通</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，能够满足精细治理、分类组织、精准服务、安全可控的</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数据</w:t>
      </w:r>
      <w:r>
        <w:rPr>
          <w:rFonts w:hint="eastAsia" w:ascii="仿宋" w:hAnsi="仿宋" w:eastAsia="仿宋"/>
          <w:color w:val="000000"/>
          <w:kern w:val="0"/>
          <w:sz w:val="32"/>
          <w:szCs w:val="32"/>
          <w:lang w:eastAsia="zh-CN"/>
        </w:rPr>
        <w:t>管理</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要求，能够充分利用先进强大的应急大数据支撑体系和智慧协同的应用体系，助力实现应急业务管控更精准、治理更精细，为应急管理工作提供强有力的支撑。</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14:textFill>
            <w14:solidFill>
              <w14:schemeClr w14:val="tx1"/>
            </w14:solidFill>
          </w14:textFill>
        </w:rPr>
      </w:pPr>
      <w:bookmarkStart w:id="45" w:name="_Toc3207"/>
      <w:r>
        <w:rPr>
          <w:rFonts w:hint="eastAsia" w:ascii="楷体_GB2312" w:eastAsia="楷体_GB2312"/>
          <w:b w:val="0"/>
          <w:bCs w:val="0"/>
          <w:color w:val="000000" w:themeColor="text1"/>
          <w:highlight w:val="none"/>
          <w14:textFill>
            <w14:solidFill>
              <w14:schemeClr w14:val="tx1"/>
            </w14:solidFill>
          </w14:textFill>
        </w:rPr>
        <w:t>（二）</w:t>
      </w:r>
      <w:r>
        <w:rPr>
          <w:rFonts w:hint="eastAsia" w:ascii="楷体_GB2312" w:eastAsia="楷体_GB2312"/>
          <w:b w:val="0"/>
          <w:bCs w:val="0"/>
          <w:color w:val="000000" w:themeColor="text1"/>
          <w:highlight w:val="none"/>
          <w:lang w:eastAsia="zh-CN"/>
          <w14:textFill>
            <w14:solidFill>
              <w14:schemeClr w14:val="tx1"/>
            </w14:solidFill>
          </w14:textFill>
        </w:rPr>
        <w:t>望城区</w:t>
      </w:r>
      <w:r>
        <w:rPr>
          <w:rFonts w:hint="eastAsia" w:ascii="楷体_GB2312" w:eastAsia="楷体_GB2312"/>
          <w:b w:val="0"/>
          <w:bCs w:val="0"/>
          <w:color w:val="000000" w:themeColor="text1"/>
          <w:highlight w:val="none"/>
          <w14:textFill>
            <w14:solidFill>
              <w14:schemeClr w14:val="tx1"/>
            </w14:solidFill>
          </w14:textFill>
        </w:rPr>
        <w:t>危险品生产储运销售网络布局</w:t>
      </w:r>
      <w:bookmarkEnd w:id="45"/>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建设单位：</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各相关单位。</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建设内容：</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作为长沙市危险品生产储运销售网络布局的核心部分，</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构建</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ascii="仿宋" w:hAnsi="仿宋" w:eastAsia="仿宋"/>
          <w:color w:val="000000"/>
          <w:sz w:val="32"/>
          <w:szCs w:val="32"/>
        </w:rPr>
        <w:t>一园区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一市场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两</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基地多专线</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危险品生产储运经营网络布局规划。确保危险品流通进入规划网络，集中管制，避开居民区、商业区、学校、医院、工业区等人口密集区、水源地和自然保护区等敏感区域。物理隔离，</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最大限度</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实现本质安全供应。城区内零星或小量危险品运输需严格按照公安、交通管理部门等职能部门规定的时间或路线运营，严格审批、实时数字监控。依托以上主要布局节点和基地，建立危险品应急救援基地，做到应急物资分散存储、统一调度、专人养护、及时补给，纳入应急</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一张图</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 w:cs="仿宋_GB2312"/>
          <w:color w:val="000000" w:themeColor="text1"/>
          <w:kern w:val="0"/>
          <w:sz w:val="32"/>
          <w:szCs w:val="32"/>
          <w:highlight w:val="none"/>
          <w:lang w:eastAsia="zh-CN"/>
          <w14:textFill>
            <w14:solidFill>
              <w14:schemeClr w14:val="tx1"/>
            </w14:solidFill>
          </w14:textFill>
        </w:rPr>
      </w:pPr>
      <w:r>
        <w:rPr>
          <w:rFonts w:ascii="仿宋" w:hAnsi="仿宋" w:eastAsia="仿宋"/>
          <w:color w:val="000000"/>
          <w:sz w:val="32"/>
          <w:szCs w:val="32"/>
        </w:rPr>
        <w:t>一园区</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经开区铜官工业园区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r>
        <w:rPr>
          <w:rFonts w:ascii="仿宋" w:hAnsi="仿宋" w:eastAsia="仿宋"/>
          <w:color w:val="000000"/>
          <w:sz w:val="32"/>
          <w:szCs w:val="32"/>
        </w:rPr>
        <w:t>全区化工生产储存园区）</w:t>
      </w:r>
      <w:r>
        <w:rPr>
          <w:rFonts w:hint="eastAsia" w:ascii="仿宋" w:hAnsi="仿宋" w:eastAsia="仿宋"/>
          <w:color w:val="000000"/>
          <w:sz w:val="32"/>
          <w:szCs w:val="32"/>
          <w:lang w:eastAsia="zh-CN"/>
        </w:rPr>
        <w:t>。</w:t>
      </w:r>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一市场：湾田国际建材城危险品市场。</w:t>
      </w:r>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两基地：长沙651仓储物流有限公司危化品仓储基地；湖南湘隆仓储物流有限公司危化品仓储基地</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多专线：由公安和交通运输安全监管部门联合制定城区危险品运输专用路线，通过分类别、定时段、限数量、限速度、走专用路线的基本原则，规范危险品城区运输安全。</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建设地址：</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上述各节点和</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基地</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建设意义：</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按照科学合理、安全环保、便于监管、方便用户、降低成本的原则，综合考虑地理位置、自然条件、安全防护距离、公用设施保障、应急救援能力及环境承载能力等因素，全流通环节集中管理危险品，使危险品的管理更规范、安全更有保障，提高</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危险品的风险防控能力，降低城市安全风险。</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lang w:eastAsia="zh-CN"/>
          <w14:textFill>
            <w14:solidFill>
              <w14:schemeClr w14:val="tx1"/>
            </w14:solidFill>
          </w14:textFill>
        </w:rPr>
      </w:pPr>
      <w:bookmarkStart w:id="46" w:name="_Toc3972"/>
      <w:bookmarkStart w:id="47" w:name="_Toc19552"/>
      <w:r>
        <w:rPr>
          <w:rFonts w:hint="eastAsia" w:ascii="楷体_GB2312" w:eastAsia="楷体_GB2312"/>
          <w:b w:val="0"/>
          <w:bCs w:val="0"/>
          <w:color w:val="000000" w:themeColor="text1"/>
          <w:highlight w:val="none"/>
          <w14:textFill>
            <w14:solidFill>
              <w14:schemeClr w14:val="tx1"/>
            </w14:solidFill>
          </w14:textFill>
        </w:rPr>
        <w:t>（</w:t>
      </w:r>
      <w:r>
        <w:rPr>
          <w:rFonts w:hint="eastAsia" w:ascii="楷体_GB2312" w:eastAsia="楷体_GB2312"/>
          <w:b w:val="0"/>
          <w:bCs w:val="0"/>
          <w:color w:val="000000" w:themeColor="text1"/>
          <w:highlight w:val="none"/>
          <w:lang w:val="en-US" w:eastAsia="zh-CN"/>
          <w14:textFill>
            <w14:solidFill>
              <w14:schemeClr w14:val="tx1"/>
            </w14:solidFill>
          </w14:textFill>
        </w:rPr>
        <w:t>三</w:t>
      </w:r>
      <w:r>
        <w:rPr>
          <w:rFonts w:hint="eastAsia" w:ascii="楷体_GB2312" w:eastAsia="楷体_GB2312"/>
          <w:b w:val="0"/>
          <w:bCs w:val="0"/>
          <w:color w:val="000000" w:themeColor="text1"/>
          <w:highlight w:val="none"/>
          <w14:textFill>
            <w14:solidFill>
              <w14:schemeClr w14:val="tx1"/>
            </w14:solidFill>
          </w14:textFill>
        </w:rPr>
        <w:t>）长沙市应急救援基地</w:t>
      </w:r>
      <w:bookmarkEnd w:id="46"/>
      <w:bookmarkEnd w:id="47"/>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建设单位：</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长沙市人民政府</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人民政府。</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建设内容：</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长沙应急救援基地与湖南危险化学品应急救援基地（以下简称</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基地</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）一并建设，以湖南省境内危险化学品事故救援为主，兼顾</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我区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其他生产安全事故</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应急</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救援和自然灾害应急救援。基地由办公和培训楼、驻勤楼、救援物资库、训练场四部分组成，总建筑面积17916</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平方米</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建设地址：</w:t>
      </w:r>
      <w:r>
        <w:rPr>
          <w:rFonts w:hint="default" w:ascii="仿宋_GB2312" w:hAnsi="仿宋_GB2312" w:eastAsia="仿宋_GB2312" w:cs="仿宋_GB2312"/>
          <w:color w:val="000000" w:themeColor="text1"/>
          <w:kern w:val="0"/>
          <w:sz w:val="32"/>
          <w:szCs w:val="32"/>
          <w:highlight w:val="none"/>
          <w14:textFill>
            <w14:solidFill>
              <w14:schemeClr w14:val="tx1"/>
            </w14:solidFill>
          </w14:textFill>
        </w:rPr>
        <w:t>望城</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经开区铜官片区。</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建设意义：</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有利于加强全</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应急救援体系建设，提高应急处置能力，有效应对区域重大事故（特别是危险化学品领域），减少人员伤亡和财产损失。</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eastAsia="楷体_GB2312"/>
          <w:b w:val="0"/>
          <w:bCs w:val="0"/>
          <w:color w:val="000000" w:themeColor="text1"/>
          <w:highlight w:val="none"/>
          <w:lang w:eastAsia="zh-CN"/>
          <w14:textFill>
            <w14:solidFill>
              <w14:schemeClr w14:val="tx1"/>
            </w14:solidFill>
          </w14:textFill>
        </w:rPr>
      </w:pPr>
      <w:bookmarkStart w:id="48" w:name="_Toc9841"/>
      <w:bookmarkStart w:id="49" w:name="_Toc26566"/>
      <w:r>
        <w:rPr>
          <w:rFonts w:hint="eastAsia" w:ascii="楷体_GB2312" w:eastAsia="楷体_GB2312"/>
          <w:b w:val="0"/>
          <w:bCs w:val="0"/>
          <w:color w:val="000000" w:themeColor="text1"/>
          <w:highlight w:val="none"/>
          <w14:textFill>
            <w14:solidFill>
              <w14:schemeClr w14:val="tx1"/>
            </w14:solidFill>
          </w14:textFill>
        </w:rPr>
        <w:t>（</w:t>
      </w:r>
      <w:r>
        <w:rPr>
          <w:rFonts w:hint="eastAsia" w:ascii="楷体_GB2312" w:eastAsia="楷体_GB2312"/>
          <w:b w:val="0"/>
          <w:bCs w:val="0"/>
          <w:color w:val="000000" w:themeColor="text1"/>
          <w:highlight w:val="none"/>
          <w:lang w:val="en-US" w:eastAsia="zh-CN"/>
          <w14:textFill>
            <w14:solidFill>
              <w14:schemeClr w14:val="tx1"/>
            </w14:solidFill>
          </w14:textFill>
        </w:rPr>
        <w:t>四</w:t>
      </w:r>
      <w:r>
        <w:rPr>
          <w:rFonts w:hint="eastAsia" w:ascii="楷体_GB2312" w:eastAsia="楷体_GB2312"/>
          <w:b w:val="0"/>
          <w:bCs w:val="0"/>
          <w:color w:val="000000" w:themeColor="text1"/>
          <w:highlight w:val="none"/>
          <w14:textFill>
            <w14:solidFill>
              <w14:schemeClr w14:val="tx1"/>
            </w14:solidFill>
          </w14:textFill>
        </w:rPr>
        <w:t>）应急避难场所建设</w:t>
      </w:r>
      <w:bookmarkEnd w:id="48"/>
      <w:bookmarkEnd w:id="49"/>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建设单位：</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各相关单位。</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建设内容：</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推进</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规范性应急避难场所建设，使之与</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人口数量和发展规模相适应；丰富应急避难场所层次，完善应急避难场所功能；</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实施</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应急避难场所信息公开</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政策</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，推进应急避难场所信息服务的</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互联网+</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行动，让公众知道</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各层次应急避难场所的位置，确保在重大灾害发生时发挥作用。</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建设地址：</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p>
    <w:p>
      <w:pPr>
        <w:pageBreakBefore w:val="0"/>
        <w:widowControl/>
        <w:kinsoku/>
        <w:wordWrap/>
        <w:overflowPunct/>
        <w:topLinePunct w:val="0"/>
        <w:autoSpaceDE/>
        <w:autoSpaceDN/>
        <w:bidi w:val="0"/>
        <w:adjustRightInd/>
        <w:spacing w:line="640" w:lineRule="exact"/>
        <w:ind w:firstLine="643"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kern w:val="0"/>
          <w:sz w:val="32"/>
          <w:szCs w:val="32"/>
          <w:highlight w:val="none"/>
          <w14:textFill>
            <w14:solidFill>
              <w14:schemeClr w14:val="tx1"/>
            </w14:solidFill>
          </w14:textFill>
        </w:rPr>
        <w:t>建设意义：</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应急避难场所作为城市安全发展的重要保障，是民众用于躲避地震、疫情、洪水、火灾、爆炸、燃气有毒气体泄漏等重大突发性事件和战争的场所，在灾害应对中发挥着不可替代的作用。</w:t>
      </w:r>
    </w:p>
    <w:p>
      <w:pPr>
        <w:pStyle w:val="2"/>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黑体" w:hAnsi="黑体" w:eastAsia="黑体" w:cs="仿宋_GB2312"/>
          <w:b w:val="0"/>
          <w:color w:val="000000" w:themeColor="text1"/>
          <w:kern w:val="0"/>
          <w:sz w:val="32"/>
          <w:szCs w:val="32"/>
          <w:highlight w:val="none"/>
          <w14:textFill>
            <w14:solidFill>
              <w14:schemeClr w14:val="tx1"/>
            </w14:solidFill>
          </w14:textFill>
        </w:rPr>
      </w:pPr>
      <w:bookmarkStart w:id="50" w:name="_Toc5934"/>
      <w:r>
        <w:rPr>
          <w:rFonts w:hint="eastAsia" w:ascii="黑体" w:hAnsi="黑体" w:eastAsia="黑体" w:cs="仿宋_GB2312"/>
          <w:b w:val="0"/>
          <w:color w:val="000000" w:themeColor="text1"/>
          <w:kern w:val="0"/>
          <w:sz w:val="32"/>
          <w:szCs w:val="32"/>
          <w:highlight w:val="none"/>
          <w14:textFill>
            <w14:solidFill>
              <w14:schemeClr w14:val="tx1"/>
            </w14:solidFill>
          </w14:textFill>
        </w:rPr>
        <w:t>六、保障措施</w:t>
      </w:r>
      <w:bookmarkEnd w:id="50"/>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hAnsi="仿宋" w:eastAsia="楷体_GB2312"/>
          <w:b w:val="0"/>
          <w:bCs w:val="0"/>
          <w:color w:val="000000" w:themeColor="text1"/>
          <w:highlight w:val="none"/>
          <w14:textFill>
            <w14:solidFill>
              <w14:schemeClr w14:val="tx1"/>
            </w14:solidFill>
          </w14:textFill>
        </w:rPr>
      </w:pPr>
      <w:bookmarkStart w:id="51" w:name="_Toc9432"/>
      <w:r>
        <w:rPr>
          <w:rFonts w:hint="eastAsia" w:ascii="楷体_GB2312" w:hAnsi="仿宋" w:eastAsia="楷体_GB2312"/>
          <w:b w:val="0"/>
          <w:bCs w:val="0"/>
          <w:color w:val="000000" w:themeColor="text1"/>
          <w:highlight w:val="none"/>
          <w14:textFill>
            <w14:solidFill>
              <w14:schemeClr w14:val="tx1"/>
            </w14:solidFill>
          </w14:textFill>
        </w:rPr>
        <w:t>（一）加强组织领导</w:t>
      </w:r>
      <w:bookmarkEnd w:id="51"/>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优化应急体系顶层设计，健全统一领导、分类管理、分级负责、条块结合、属地为主的应急管理体制。各级、各部门要强化应急管理领导负责制，进一步加强各级、各类应急管理机构、办事机构</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工作机构及专家组的建设力度，落实人员编制，完善相关部门</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三定</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方案中的应急管理职责，明确经开区、乡镇（街道）和园区应急机构的职责定位，做到职责清、层级明、效率高。</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hAnsi="仿宋" w:eastAsia="楷体_GB2312"/>
          <w:b w:val="0"/>
          <w:bCs w:val="0"/>
          <w:color w:val="000000" w:themeColor="text1"/>
          <w:highlight w:val="none"/>
          <w14:textFill>
            <w14:solidFill>
              <w14:schemeClr w14:val="tx1"/>
            </w14:solidFill>
          </w14:textFill>
        </w:rPr>
      </w:pPr>
      <w:bookmarkStart w:id="52" w:name="_Toc6891"/>
      <w:r>
        <w:rPr>
          <w:rFonts w:hint="eastAsia" w:ascii="楷体_GB2312" w:hAnsi="仿宋" w:eastAsia="楷体_GB2312"/>
          <w:b w:val="0"/>
          <w:bCs w:val="0"/>
          <w:color w:val="000000" w:themeColor="text1"/>
          <w:highlight w:val="none"/>
          <w14:textFill>
            <w14:solidFill>
              <w14:schemeClr w14:val="tx1"/>
            </w14:solidFill>
          </w14:textFill>
        </w:rPr>
        <w:t>（二）保证资金投入</w:t>
      </w:r>
      <w:bookmarkEnd w:id="52"/>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完善政府应急资金保障机制，健全应对突发事件社会资源依法征用与补偿机制；落实与应急管理相关的税收等优惠政策。健全巨灾风险分担机制，逐步形成以政府财政、保险赔付、巨灾基金为共同支撑的多元化经济补偿模式，鼓励政策性金融对应急管理工作给予支持。探索制定对受突发事件影响较大的地区和行业给予贷款贴息、财政补助等支持政策，研究探索促进应急产业健康快速发展的相关优惠政策，研究完善鼓励自然人、</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法定代表人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或其他组织参与应对突发事件捐赠、进行志愿服务的政策措施，研究鼓励家庭购买应急产品和储备应急物资的管理办法，制定鼓励企业、社会组织和个人共享应急物资储备的管理办法。</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hAnsi="仿宋" w:eastAsia="楷体_GB2312"/>
          <w:b w:val="0"/>
          <w:bCs w:val="0"/>
          <w:color w:val="000000" w:themeColor="text1"/>
          <w:highlight w:val="none"/>
          <w14:textFill>
            <w14:solidFill>
              <w14:schemeClr w14:val="tx1"/>
            </w14:solidFill>
          </w14:textFill>
        </w:rPr>
      </w:pPr>
      <w:bookmarkStart w:id="53" w:name="_Toc24433"/>
      <w:r>
        <w:rPr>
          <w:rFonts w:hint="eastAsia" w:ascii="楷体_GB2312" w:hAnsi="仿宋" w:eastAsia="楷体_GB2312"/>
          <w:b w:val="0"/>
          <w:bCs w:val="0"/>
          <w:color w:val="000000" w:themeColor="text1"/>
          <w:highlight w:val="none"/>
          <w14:textFill>
            <w14:solidFill>
              <w14:schemeClr w14:val="tx1"/>
            </w14:solidFill>
          </w14:textFill>
        </w:rPr>
        <w:t>（三）定期督查考核</w:t>
      </w:r>
      <w:bookmarkEnd w:id="53"/>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由区发展改革局牵头，做好重点工程的立项审批工作。由区应急管理局牵头，建立完善规划实施评估制度，建立健全激励和考核机制，明确各方责任，保障规划建设任务和目标全面实现，分阶段对规划进展和落实情况进行考核评估，对发现的问题及时提出对策建议。建立动态评估机制，对规划目标和主要任务进行动态监测；建立监督机制和问责机制，把规划任务落实情况作为对部门和地方工作督查、考核评价的重要内容。完善应急体系重点项目建设管理机制，确保重点项目快速、高效推进。各乡镇（街道）、园区、经开区和各部门要加强对本地区、本系统规划实施情况的监督检查。</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hAnsi="仿宋" w:eastAsia="楷体_GB2312"/>
          <w:b w:val="0"/>
          <w:bCs w:val="0"/>
          <w:color w:val="000000" w:themeColor="text1"/>
          <w:highlight w:val="none"/>
          <w14:textFill>
            <w14:solidFill>
              <w14:schemeClr w14:val="tx1"/>
            </w14:solidFill>
          </w14:textFill>
        </w:rPr>
      </w:pPr>
      <w:bookmarkStart w:id="54" w:name="_Toc20946"/>
      <w:r>
        <w:rPr>
          <w:rFonts w:hint="eastAsia" w:ascii="楷体_GB2312" w:hAnsi="仿宋" w:eastAsia="楷体_GB2312"/>
          <w:b w:val="0"/>
          <w:bCs w:val="0"/>
          <w:color w:val="000000" w:themeColor="text1"/>
          <w:highlight w:val="none"/>
          <w14:textFill>
            <w14:solidFill>
              <w14:schemeClr w14:val="tx1"/>
            </w14:solidFill>
          </w14:textFill>
        </w:rPr>
        <w:t>（四）注重协调衔接</w:t>
      </w:r>
      <w:bookmarkEnd w:id="54"/>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各级各部门应结合实际制定相应的应急体系建设规划，各级、各类应急体系建设规划</w:t>
      </w:r>
      <w:r>
        <w:rPr>
          <w:rFonts w:hint="default"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之间与</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其他规划之间要做好衔接工作，充分利用存量资源，避免重复建设。在新型城镇化建设中充分考虑各类危险源、重点目标、应急避难场所等因素，统筹规划应对突发事件所必需的设备和基础设施建设。</w:t>
      </w:r>
    </w:p>
    <w:p>
      <w:pPr>
        <w:pStyle w:val="3"/>
        <w:pageBreakBefore w:val="0"/>
        <w:widowControl/>
        <w:kinsoku/>
        <w:wordWrap/>
        <w:overflowPunct/>
        <w:topLinePunct w:val="0"/>
        <w:autoSpaceDE/>
        <w:autoSpaceDN/>
        <w:bidi w:val="0"/>
        <w:adjustRightInd/>
        <w:spacing w:before="0" w:after="0" w:line="640" w:lineRule="exact"/>
        <w:ind w:firstLine="640" w:firstLineChars="200"/>
        <w:jc w:val="both"/>
        <w:rPr>
          <w:rFonts w:hint="eastAsia" w:ascii="楷体_GB2312" w:hAnsi="仿宋" w:eastAsia="楷体_GB2312"/>
          <w:b w:val="0"/>
          <w:bCs w:val="0"/>
          <w:color w:val="000000" w:themeColor="text1"/>
          <w:highlight w:val="none"/>
          <w14:textFill>
            <w14:solidFill>
              <w14:schemeClr w14:val="tx1"/>
            </w14:solidFill>
          </w14:textFill>
        </w:rPr>
      </w:pPr>
      <w:bookmarkStart w:id="55" w:name="_Toc24137"/>
      <w:r>
        <w:rPr>
          <w:rFonts w:hint="eastAsia" w:ascii="楷体_GB2312" w:hAnsi="仿宋" w:eastAsia="楷体_GB2312"/>
          <w:b w:val="0"/>
          <w:bCs w:val="0"/>
          <w:color w:val="000000" w:themeColor="text1"/>
          <w:highlight w:val="none"/>
          <w14:textFill>
            <w14:solidFill>
              <w14:schemeClr w14:val="tx1"/>
            </w14:solidFill>
          </w14:textFill>
        </w:rPr>
        <w:t>（五）强调纪律要求</w:t>
      </w:r>
      <w:bookmarkEnd w:id="55"/>
    </w:p>
    <w:p>
      <w:pPr>
        <w:pageBreakBefore w:val="0"/>
        <w:widowControl/>
        <w:kinsoku/>
        <w:wordWrap/>
        <w:overflowPunct/>
        <w:topLinePunct w:val="0"/>
        <w:autoSpaceDE/>
        <w:autoSpaceDN/>
        <w:bidi w:val="0"/>
        <w:adjustRightInd/>
        <w:spacing w:line="640" w:lineRule="exact"/>
        <w:ind w:firstLine="640" w:firstLineChars="200"/>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要深刻领会习近平总书记关于安全生产、应急管理、防灾减灾救灾的重要论述精神，把握</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望城区</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经济社会高质量发展的重要战略机遇，深刻领会应急管理</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十四五</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规划的指导思想、基本原则和总体目标，严格执行有关纪律要求，严格落实党风廉政建设、</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一岗双责</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，切实营造风清气正的工作氛围，</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强化</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红线意识</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筑牢</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安全</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底线，为全区经济社会</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高质量</w:t>
      </w:r>
      <w:r>
        <w:rPr>
          <w:rFonts w:hint="default" w:ascii="仿宋_GB2312" w:hAnsi="仿宋_GB2312" w:eastAsia="仿宋_GB2312" w:cs="仿宋_GB2312"/>
          <w:color w:val="000000" w:themeColor="text1"/>
          <w:kern w:val="0"/>
          <w:sz w:val="32"/>
          <w:szCs w:val="32"/>
          <w:highlight w:val="none"/>
          <w:lang w:eastAsia="zh-CN"/>
          <w14:textFill>
            <w14:solidFill>
              <w14:schemeClr w14:val="tx1"/>
            </w14:solidFill>
          </w14:textFill>
        </w:rPr>
        <w:t>安全</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发展提供坚强纪律</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保障</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p>
    <w:p>
      <w:pPr>
        <w:spacing w:line="640" w:lineRule="exact"/>
        <w:ind w:firstLine="640"/>
        <w:rPr>
          <w:rFonts w:ascii="仿宋" w:hAnsi="仿宋" w:eastAsia="仿宋"/>
          <w:color w:val="000000"/>
          <w:sz w:val="32"/>
          <w:szCs w:val="32"/>
          <w:shd w:val="clear" w:color="auto" w:fill="FFFFFF"/>
        </w:rPr>
      </w:pPr>
    </w:p>
    <w:sectPr>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g1NTYxOTBiZTI2NzVlOTU4MWQwNzk3OGRkOTBlM2EifQ=="/>
  </w:docVars>
  <w:rsids>
    <w:rsidRoot w:val="00BA0C1A"/>
    <w:rsid w:val="0000223C"/>
    <w:rsid w:val="00002A9E"/>
    <w:rsid w:val="000A6FD8"/>
    <w:rsid w:val="000B41D4"/>
    <w:rsid w:val="000C51B7"/>
    <w:rsid w:val="00131B92"/>
    <w:rsid w:val="00157332"/>
    <w:rsid w:val="00157B4F"/>
    <w:rsid w:val="002024BA"/>
    <w:rsid w:val="00216EB9"/>
    <w:rsid w:val="003641EF"/>
    <w:rsid w:val="00397646"/>
    <w:rsid w:val="003B31EF"/>
    <w:rsid w:val="003F1232"/>
    <w:rsid w:val="00490739"/>
    <w:rsid w:val="004B6E96"/>
    <w:rsid w:val="004D3206"/>
    <w:rsid w:val="004F0AFE"/>
    <w:rsid w:val="00530D49"/>
    <w:rsid w:val="0059531B"/>
    <w:rsid w:val="005E2B69"/>
    <w:rsid w:val="00616505"/>
    <w:rsid w:val="0062213C"/>
    <w:rsid w:val="00633F40"/>
    <w:rsid w:val="00644028"/>
    <w:rsid w:val="006549AD"/>
    <w:rsid w:val="00675E4F"/>
    <w:rsid w:val="00684D9C"/>
    <w:rsid w:val="006A2195"/>
    <w:rsid w:val="006B63A6"/>
    <w:rsid w:val="006F01A9"/>
    <w:rsid w:val="006F2FB3"/>
    <w:rsid w:val="007550B3"/>
    <w:rsid w:val="007C4F0F"/>
    <w:rsid w:val="007F2ADC"/>
    <w:rsid w:val="00811BD5"/>
    <w:rsid w:val="0084317F"/>
    <w:rsid w:val="00931B78"/>
    <w:rsid w:val="00990AF9"/>
    <w:rsid w:val="00A60633"/>
    <w:rsid w:val="00AF23EB"/>
    <w:rsid w:val="00AF2BA5"/>
    <w:rsid w:val="00B12785"/>
    <w:rsid w:val="00B307AD"/>
    <w:rsid w:val="00B67D1A"/>
    <w:rsid w:val="00BA0C1A"/>
    <w:rsid w:val="00C061CB"/>
    <w:rsid w:val="00C604EC"/>
    <w:rsid w:val="00C935CD"/>
    <w:rsid w:val="00CE664E"/>
    <w:rsid w:val="00D92D54"/>
    <w:rsid w:val="00DA14FC"/>
    <w:rsid w:val="00E26251"/>
    <w:rsid w:val="00E64F71"/>
    <w:rsid w:val="00EA17C5"/>
    <w:rsid w:val="00EA1EE8"/>
    <w:rsid w:val="00EF16D9"/>
    <w:rsid w:val="00F50689"/>
    <w:rsid w:val="00F53662"/>
    <w:rsid w:val="00FF3339"/>
    <w:rsid w:val="0101211E"/>
    <w:rsid w:val="01495A06"/>
    <w:rsid w:val="01CA3B36"/>
    <w:rsid w:val="02115605"/>
    <w:rsid w:val="02A221F8"/>
    <w:rsid w:val="044142DF"/>
    <w:rsid w:val="044D0709"/>
    <w:rsid w:val="057A17B3"/>
    <w:rsid w:val="05D402F5"/>
    <w:rsid w:val="05EC3A16"/>
    <w:rsid w:val="06082C5A"/>
    <w:rsid w:val="067E470E"/>
    <w:rsid w:val="07AA45D1"/>
    <w:rsid w:val="07D2738B"/>
    <w:rsid w:val="07EBA0D2"/>
    <w:rsid w:val="08191757"/>
    <w:rsid w:val="083D07F0"/>
    <w:rsid w:val="08892439"/>
    <w:rsid w:val="088E3EF3"/>
    <w:rsid w:val="08BF533C"/>
    <w:rsid w:val="08D86CE8"/>
    <w:rsid w:val="08F04266"/>
    <w:rsid w:val="091D7C6B"/>
    <w:rsid w:val="092B392D"/>
    <w:rsid w:val="095A3DD5"/>
    <w:rsid w:val="09F40C44"/>
    <w:rsid w:val="09FF38A9"/>
    <w:rsid w:val="0A29464C"/>
    <w:rsid w:val="0A2C2C87"/>
    <w:rsid w:val="0A50043D"/>
    <w:rsid w:val="0A99190A"/>
    <w:rsid w:val="0ACF16F9"/>
    <w:rsid w:val="0AF0351C"/>
    <w:rsid w:val="0DB66117"/>
    <w:rsid w:val="0DC96FAE"/>
    <w:rsid w:val="0DFF70FA"/>
    <w:rsid w:val="0E08069C"/>
    <w:rsid w:val="0EA450DD"/>
    <w:rsid w:val="0F0E31F8"/>
    <w:rsid w:val="0FE31F0B"/>
    <w:rsid w:val="105C075F"/>
    <w:rsid w:val="105E3B74"/>
    <w:rsid w:val="10A35B51"/>
    <w:rsid w:val="10E723F2"/>
    <w:rsid w:val="110E4BA7"/>
    <w:rsid w:val="11162CD7"/>
    <w:rsid w:val="11957BDB"/>
    <w:rsid w:val="11F34DC7"/>
    <w:rsid w:val="12092BD3"/>
    <w:rsid w:val="12780EEF"/>
    <w:rsid w:val="14360F7F"/>
    <w:rsid w:val="14485D72"/>
    <w:rsid w:val="14EA3CE2"/>
    <w:rsid w:val="14ED783F"/>
    <w:rsid w:val="153A74D2"/>
    <w:rsid w:val="15616BAF"/>
    <w:rsid w:val="15BC0258"/>
    <w:rsid w:val="15BE4482"/>
    <w:rsid w:val="1703266B"/>
    <w:rsid w:val="17094DC3"/>
    <w:rsid w:val="176D7E5E"/>
    <w:rsid w:val="17EB76A9"/>
    <w:rsid w:val="17F14637"/>
    <w:rsid w:val="183A3C15"/>
    <w:rsid w:val="18EE5C15"/>
    <w:rsid w:val="190E46A8"/>
    <w:rsid w:val="19650F8A"/>
    <w:rsid w:val="19B943C9"/>
    <w:rsid w:val="1A1D0C92"/>
    <w:rsid w:val="1B2D2489"/>
    <w:rsid w:val="1C2C4424"/>
    <w:rsid w:val="1CA54886"/>
    <w:rsid w:val="1CD54CE6"/>
    <w:rsid w:val="1DEC38DC"/>
    <w:rsid w:val="1DED18BF"/>
    <w:rsid w:val="1E2839B0"/>
    <w:rsid w:val="1E4F5A7B"/>
    <w:rsid w:val="1ED863FC"/>
    <w:rsid w:val="1EEF063F"/>
    <w:rsid w:val="1EF26B32"/>
    <w:rsid w:val="1F377551"/>
    <w:rsid w:val="1F3A56D5"/>
    <w:rsid w:val="1F84252D"/>
    <w:rsid w:val="1F8657AB"/>
    <w:rsid w:val="2077641B"/>
    <w:rsid w:val="20BF76A7"/>
    <w:rsid w:val="20D14645"/>
    <w:rsid w:val="20DD316F"/>
    <w:rsid w:val="220E7846"/>
    <w:rsid w:val="22523193"/>
    <w:rsid w:val="22717669"/>
    <w:rsid w:val="22A82CB8"/>
    <w:rsid w:val="22C5455D"/>
    <w:rsid w:val="22DD0DEF"/>
    <w:rsid w:val="233367F4"/>
    <w:rsid w:val="23436B15"/>
    <w:rsid w:val="24086A5B"/>
    <w:rsid w:val="245140F3"/>
    <w:rsid w:val="249A5866"/>
    <w:rsid w:val="253D487F"/>
    <w:rsid w:val="2565782F"/>
    <w:rsid w:val="25768FC0"/>
    <w:rsid w:val="266063FB"/>
    <w:rsid w:val="266905F4"/>
    <w:rsid w:val="276E002D"/>
    <w:rsid w:val="27896E11"/>
    <w:rsid w:val="283A32F8"/>
    <w:rsid w:val="286308EA"/>
    <w:rsid w:val="288902B2"/>
    <w:rsid w:val="288F180D"/>
    <w:rsid w:val="293540ED"/>
    <w:rsid w:val="294A3E4E"/>
    <w:rsid w:val="29621224"/>
    <w:rsid w:val="2A7D5627"/>
    <w:rsid w:val="2B9A4476"/>
    <w:rsid w:val="2BC2698C"/>
    <w:rsid w:val="2C075C71"/>
    <w:rsid w:val="2C4229DC"/>
    <w:rsid w:val="2CB436B6"/>
    <w:rsid w:val="2D003511"/>
    <w:rsid w:val="2D7828F8"/>
    <w:rsid w:val="2DA942FA"/>
    <w:rsid w:val="2DDD2BA8"/>
    <w:rsid w:val="2DF70744"/>
    <w:rsid w:val="2E0C3040"/>
    <w:rsid w:val="2E255EB0"/>
    <w:rsid w:val="2E8D5034"/>
    <w:rsid w:val="2ED15811"/>
    <w:rsid w:val="2F7174C9"/>
    <w:rsid w:val="2FE6064C"/>
    <w:rsid w:val="2FFD17B2"/>
    <w:rsid w:val="301F6F41"/>
    <w:rsid w:val="30456175"/>
    <w:rsid w:val="31015772"/>
    <w:rsid w:val="31E21C1C"/>
    <w:rsid w:val="321B7A0A"/>
    <w:rsid w:val="324269C7"/>
    <w:rsid w:val="325862AB"/>
    <w:rsid w:val="33066B57"/>
    <w:rsid w:val="33846185"/>
    <w:rsid w:val="339D50DC"/>
    <w:rsid w:val="347E740B"/>
    <w:rsid w:val="34B2310F"/>
    <w:rsid w:val="34FD10C2"/>
    <w:rsid w:val="35622C0A"/>
    <w:rsid w:val="359E21F0"/>
    <w:rsid w:val="36772279"/>
    <w:rsid w:val="367E37A6"/>
    <w:rsid w:val="36CE2AA2"/>
    <w:rsid w:val="372915A5"/>
    <w:rsid w:val="37976071"/>
    <w:rsid w:val="38266CF5"/>
    <w:rsid w:val="38572C7C"/>
    <w:rsid w:val="393A3F57"/>
    <w:rsid w:val="39AE26FF"/>
    <w:rsid w:val="39BC3B6C"/>
    <w:rsid w:val="39F90B76"/>
    <w:rsid w:val="3A195B18"/>
    <w:rsid w:val="3A8F17A7"/>
    <w:rsid w:val="3AC713D5"/>
    <w:rsid w:val="3B001287"/>
    <w:rsid w:val="3B3DA248"/>
    <w:rsid w:val="3B51578E"/>
    <w:rsid w:val="3B6014E2"/>
    <w:rsid w:val="3B6560CC"/>
    <w:rsid w:val="3BC60CD2"/>
    <w:rsid w:val="3BF3235E"/>
    <w:rsid w:val="3C565FF5"/>
    <w:rsid w:val="3CBC21A0"/>
    <w:rsid w:val="3D2B3228"/>
    <w:rsid w:val="3D3128A7"/>
    <w:rsid w:val="3D7D3063"/>
    <w:rsid w:val="3DBA6563"/>
    <w:rsid w:val="3DE77380"/>
    <w:rsid w:val="3DFE6A3F"/>
    <w:rsid w:val="3E592A30"/>
    <w:rsid w:val="3EC15EDB"/>
    <w:rsid w:val="3F4C76DD"/>
    <w:rsid w:val="3FAA1D51"/>
    <w:rsid w:val="41445B18"/>
    <w:rsid w:val="42BB253C"/>
    <w:rsid w:val="42E47C90"/>
    <w:rsid w:val="434067C1"/>
    <w:rsid w:val="43CC5213"/>
    <w:rsid w:val="43D179F9"/>
    <w:rsid w:val="445A1501"/>
    <w:rsid w:val="44D81C50"/>
    <w:rsid w:val="45242D4D"/>
    <w:rsid w:val="453F355D"/>
    <w:rsid w:val="4569390E"/>
    <w:rsid w:val="459036BF"/>
    <w:rsid w:val="45EE13E3"/>
    <w:rsid w:val="46142F28"/>
    <w:rsid w:val="46337FC1"/>
    <w:rsid w:val="475FCB58"/>
    <w:rsid w:val="47722535"/>
    <w:rsid w:val="477E62DC"/>
    <w:rsid w:val="47E7D29D"/>
    <w:rsid w:val="484C6A03"/>
    <w:rsid w:val="497F0405"/>
    <w:rsid w:val="49A44D78"/>
    <w:rsid w:val="4A147044"/>
    <w:rsid w:val="4A3929F5"/>
    <w:rsid w:val="4B4B46BC"/>
    <w:rsid w:val="4BE72698"/>
    <w:rsid w:val="4C7433DF"/>
    <w:rsid w:val="4D2C54D1"/>
    <w:rsid w:val="4D3F2693"/>
    <w:rsid w:val="4DCE6B81"/>
    <w:rsid w:val="4DFD6F3B"/>
    <w:rsid w:val="4E9E7AAE"/>
    <w:rsid w:val="4EC10B95"/>
    <w:rsid w:val="4EC24BF5"/>
    <w:rsid w:val="4ED15510"/>
    <w:rsid w:val="4FE06EA6"/>
    <w:rsid w:val="502D70F5"/>
    <w:rsid w:val="502E24A8"/>
    <w:rsid w:val="50CF1F80"/>
    <w:rsid w:val="51662060"/>
    <w:rsid w:val="51E84C8E"/>
    <w:rsid w:val="52593476"/>
    <w:rsid w:val="52711324"/>
    <w:rsid w:val="52920082"/>
    <w:rsid w:val="52BF23A9"/>
    <w:rsid w:val="53137286"/>
    <w:rsid w:val="535117D6"/>
    <w:rsid w:val="535E3A20"/>
    <w:rsid w:val="538951A8"/>
    <w:rsid w:val="54175786"/>
    <w:rsid w:val="542110C1"/>
    <w:rsid w:val="54345551"/>
    <w:rsid w:val="5495528E"/>
    <w:rsid w:val="54E84C82"/>
    <w:rsid w:val="551B237F"/>
    <w:rsid w:val="55410372"/>
    <w:rsid w:val="55F30839"/>
    <w:rsid w:val="56020701"/>
    <w:rsid w:val="568D20C3"/>
    <w:rsid w:val="56A352B1"/>
    <w:rsid w:val="5727704F"/>
    <w:rsid w:val="58484177"/>
    <w:rsid w:val="58975A79"/>
    <w:rsid w:val="58C9181F"/>
    <w:rsid w:val="58D03627"/>
    <w:rsid w:val="595079D6"/>
    <w:rsid w:val="59FE718B"/>
    <w:rsid w:val="5A0E27ED"/>
    <w:rsid w:val="5B830EFE"/>
    <w:rsid w:val="5C1A08D9"/>
    <w:rsid w:val="5C875C71"/>
    <w:rsid w:val="5D3A7D95"/>
    <w:rsid w:val="5E0E47D4"/>
    <w:rsid w:val="5E7F05F3"/>
    <w:rsid w:val="5ED3A673"/>
    <w:rsid w:val="5EFD6B85"/>
    <w:rsid w:val="5FB606BD"/>
    <w:rsid w:val="5FEBC992"/>
    <w:rsid w:val="602F769A"/>
    <w:rsid w:val="6045400C"/>
    <w:rsid w:val="60905B1C"/>
    <w:rsid w:val="609C69FB"/>
    <w:rsid w:val="61045CAF"/>
    <w:rsid w:val="61B36488"/>
    <w:rsid w:val="61CD351A"/>
    <w:rsid w:val="61F07FA8"/>
    <w:rsid w:val="6203286C"/>
    <w:rsid w:val="62174D06"/>
    <w:rsid w:val="629B5FC0"/>
    <w:rsid w:val="62DF61C5"/>
    <w:rsid w:val="633A4461"/>
    <w:rsid w:val="635F61EC"/>
    <w:rsid w:val="63815342"/>
    <w:rsid w:val="64462101"/>
    <w:rsid w:val="649C7EC5"/>
    <w:rsid w:val="64F855FE"/>
    <w:rsid w:val="6609156B"/>
    <w:rsid w:val="6652735D"/>
    <w:rsid w:val="669A00CB"/>
    <w:rsid w:val="66C24538"/>
    <w:rsid w:val="670267B3"/>
    <w:rsid w:val="670E5D9C"/>
    <w:rsid w:val="673A6593"/>
    <w:rsid w:val="68BC499D"/>
    <w:rsid w:val="68CF059C"/>
    <w:rsid w:val="69234860"/>
    <w:rsid w:val="693544F6"/>
    <w:rsid w:val="69BD4B13"/>
    <w:rsid w:val="6A9C6167"/>
    <w:rsid w:val="6AF22928"/>
    <w:rsid w:val="6B0F1C8D"/>
    <w:rsid w:val="6B554D65"/>
    <w:rsid w:val="6B954988"/>
    <w:rsid w:val="6C934332"/>
    <w:rsid w:val="6CB63B3A"/>
    <w:rsid w:val="6D146C62"/>
    <w:rsid w:val="6D3178A8"/>
    <w:rsid w:val="6D9B1A4B"/>
    <w:rsid w:val="6DB46371"/>
    <w:rsid w:val="6DCC3677"/>
    <w:rsid w:val="6DDA125B"/>
    <w:rsid w:val="6E664781"/>
    <w:rsid w:val="6EA57D9C"/>
    <w:rsid w:val="6EAF13B0"/>
    <w:rsid w:val="6EC27E47"/>
    <w:rsid w:val="6EC6456A"/>
    <w:rsid w:val="6F6BBBB5"/>
    <w:rsid w:val="6FCD5C01"/>
    <w:rsid w:val="6FFF5DA8"/>
    <w:rsid w:val="70134132"/>
    <w:rsid w:val="704D6D36"/>
    <w:rsid w:val="70F2365A"/>
    <w:rsid w:val="71061E72"/>
    <w:rsid w:val="71394CEC"/>
    <w:rsid w:val="71773FC7"/>
    <w:rsid w:val="720B7F9A"/>
    <w:rsid w:val="722B4F6F"/>
    <w:rsid w:val="72FA7340"/>
    <w:rsid w:val="73236F08"/>
    <w:rsid w:val="7339F3FD"/>
    <w:rsid w:val="73644352"/>
    <w:rsid w:val="7376B987"/>
    <w:rsid w:val="73770529"/>
    <w:rsid w:val="740F0FA5"/>
    <w:rsid w:val="74FA32EE"/>
    <w:rsid w:val="754477B1"/>
    <w:rsid w:val="755E32B0"/>
    <w:rsid w:val="75671B0D"/>
    <w:rsid w:val="75F13A47"/>
    <w:rsid w:val="76054C7B"/>
    <w:rsid w:val="767D522A"/>
    <w:rsid w:val="76A67BC8"/>
    <w:rsid w:val="76B94671"/>
    <w:rsid w:val="778E2EC9"/>
    <w:rsid w:val="77C71478"/>
    <w:rsid w:val="77F775C1"/>
    <w:rsid w:val="781E6EE7"/>
    <w:rsid w:val="79061E13"/>
    <w:rsid w:val="793A26E6"/>
    <w:rsid w:val="795C1C2C"/>
    <w:rsid w:val="7A153D39"/>
    <w:rsid w:val="7A1E525A"/>
    <w:rsid w:val="7A3B2499"/>
    <w:rsid w:val="7A4A6362"/>
    <w:rsid w:val="7A522652"/>
    <w:rsid w:val="7A830F33"/>
    <w:rsid w:val="7AA756D5"/>
    <w:rsid w:val="7AEF6BF7"/>
    <w:rsid w:val="7B7F6E62"/>
    <w:rsid w:val="7B855E61"/>
    <w:rsid w:val="7B863116"/>
    <w:rsid w:val="7BC70F6C"/>
    <w:rsid w:val="7C6B1866"/>
    <w:rsid w:val="7C730F71"/>
    <w:rsid w:val="7CBE6B44"/>
    <w:rsid w:val="7CF5AE4C"/>
    <w:rsid w:val="7CFBD415"/>
    <w:rsid w:val="7D084ECA"/>
    <w:rsid w:val="7D6D4F92"/>
    <w:rsid w:val="7D7341E9"/>
    <w:rsid w:val="7DAF5167"/>
    <w:rsid w:val="7DB52E69"/>
    <w:rsid w:val="7DD15DEE"/>
    <w:rsid w:val="7E0A722B"/>
    <w:rsid w:val="7E18090D"/>
    <w:rsid w:val="7E3BD9EB"/>
    <w:rsid w:val="7EBF7919"/>
    <w:rsid w:val="7EFC790A"/>
    <w:rsid w:val="7EFFD828"/>
    <w:rsid w:val="7F964BBA"/>
    <w:rsid w:val="7FBBDC00"/>
    <w:rsid w:val="7FDFDF04"/>
    <w:rsid w:val="7FECA06F"/>
    <w:rsid w:val="7FEFEB8B"/>
    <w:rsid w:val="7FFC5CA6"/>
    <w:rsid w:val="8EF1F033"/>
    <w:rsid w:val="97B7F2C1"/>
    <w:rsid w:val="9CF70CE8"/>
    <w:rsid w:val="ABDCFD96"/>
    <w:rsid w:val="AFD7FD60"/>
    <w:rsid w:val="B8BE8924"/>
    <w:rsid w:val="BEF3826E"/>
    <w:rsid w:val="CFDE1703"/>
    <w:rsid w:val="D4FE350C"/>
    <w:rsid w:val="D7EEFC35"/>
    <w:rsid w:val="D7F5891B"/>
    <w:rsid w:val="DDF50B87"/>
    <w:rsid w:val="DF7B2D64"/>
    <w:rsid w:val="DFD745CE"/>
    <w:rsid w:val="DFFE6242"/>
    <w:rsid w:val="E6877599"/>
    <w:rsid w:val="EFC4619C"/>
    <w:rsid w:val="F3AB3162"/>
    <w:rsid w:val="F3ECD5B8"/>
    <w:rsid w:val="F4FF7E6D"/>
    <w:rsid w:val="F57EB28E"/>
    <w:rsid w:val="F6F31895"/>
    <w:rsid w:val="FA75E3A9"/>
    <w:rsid w:val="FC8B98F7"/>
    <w:rsid w:val="FDFB5A3C"/>
    <w:rsid w:val="FEFBC32F"/>
    <w:rsid w:val="FF37B347"/>
    <w:rsid w:val="FF7E7B75"/>
    <w:rsid w:val="FFFF156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240" w:after="240" w:line="408" w:lineRule="auto"/>
      <w:jc w:val="left"/>
      <w:outlineLvl w:val="0"/>
    </w:pPr>
    <w:rPr>
      <w:b/>
      <w:bCs/>
      <w:color w:val="000000"/>
      <w:kern w:val="44"/>
      <w:sz w:val="44"/>
      <w:szCs w:val="44"/>
    </w:rPr>
  </w:style>
  <w:style w:type="paragraph" w:styleId="3">
    <w:name w:val="heading 2"/>
    <w:basedOn w:val="1"/>
    <w:next w:val="1"/>
    <w:unhideWhenUsed/>
    <w:qFormat/>
    <w:uiPriority w:val="9"/>
    <w:pPr>
      <w:keepNext/>
      <w:keepLines/>
      <w:spacing w:before="240" w:after="240" w:line="408" w:lineRule="auto"/>
      <w:jc w:val="left"/>
      <w:outlineLvl w:val="1"/>
    </w:pPr>
    <w:rPr>
      <w:rFonts w:asciiTheme="majorHAnsi" w:hAnsiTheme="majorHAnsi" w:eastAsiaTheme="majorEastAsia" w:cstheme="majorBidi"/>
      <w:b/>
      <w:bCs/>
      <w:color w:val="000000"/>
      <w:sz w:val="32"/>
      <w:szCs w:val="32"/>
    </w:rPr>
  </w:style>
  <w:style w:type="paragraph" w:styleId="4">
    <w:name w:val="heading 3"/>
    <w:basedOn w:val="1"/>
    <w:next w:val="1"/>
    <w:unhideWhenUsed/>
    <w:qFormat/>
    <w:uiPriority w:val="9"/>
    <w:pPr>
      <w:keepNext/>
      <w:keepLines/>
      <w:spacing w:before="200" w:after="200" w:line="360" w:lineRule="auto"/>
      <w:jc w:val="left"/>
      <w:outlineLvl w:val="2"/>
    </w:pPr>
    <w:rPr>
      <w:b/>
      <w:bCs/>
      <w:color w:val="000000"/>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paragraph" w:styleId="11">
    <w:name w:val="Normal (Web)"/>
    <w:basedOn w:val="1"/>
    <w:unhideWhenUsed/>
    <w:qFormat/>
    <w:uiPriority w:val="99"/>
    <w:pPr>
      <w:spacing w:before="100" w:beforeAutospacing="1" w:after="100" w:afterAutospacing="1"/>
      <w:ind w:firstLine="0" w:firstLineChars="0"/>
      <w:jc w:val="left"/>
    </w:pPr>
    <w:rPr>
      <w:rFonts w:ascii="宋体" w:hAnsi="宋体" w:eastAsia="宋体" w:cs="宋体"/>
      <w:kern w:val="0"/>
      <w:sz w:val="24"/>
      <w:szCs w:val="24"/>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页眉 字符"/>
    <w:basedOn w:val="14"/>
    <w:link w:val="8"/>
    <w:semiHidden/>
    <w:qFormat/>
    <w:uiPriority w:val="99"/>
    <w:rPr>
      <w:sz w:val="18"/>
      <w:szCs w:val="18"/>
    </w:rPr>
  </w:style>
  <w:style w:type="character" w:customStyle="1" w:styleId="18">
    <w:name w:val="页脚 字符"/>
    <w:basedOn w:val="14"/>
    <w:link w:val="7"/>
    <w:qFormat/>
    <w:uiPriority w:val="99"/>
    <w:rPr>
      <w:sz w:val="18"/>
      <w:szCs w:val="18"/>
    </w:rPr>
  </w:style>
  <w:style w:type="paragraph" w:styleId="19">
    <w:name w:val="List Paragraph"/>
    <w:basedOn w:val="1"/>
    <w:qFormat/>
    <w:uiPriority w:val="34"/>
    <w:pPr>
      <w:ind w:firstLine="420" w:firstLineChars="200"/>
    </w:pPr>
  </w:style>
  <w:style w:type="paragraph" w:customStyle="1" w:styleId="20">
    <w:name w:val="TOC Heading"/>
    <w:basedOn w:val="2"/>
    <w:next w:val="1"/>
    <w:semiHidden/>
    <w:unhideWhenUsed/>
    <w:qFormat/>
    <w:uiPriority w:val="39"/>
    <w:pPr>
      <w:widowControl/>
      <w:spacing w:before="480" w:after="0" w:line="276" w:lineRule="auto"/>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45</Pages>
  <Words>19264</Words>
  <Characters>19696</Characters>
  <Lines>1</Lines>
  <Paragraphs>1</Paragraphs>
  <TotalTime>7</TotalTime>
  <ScaleCrop>false</ScaleCrop>
  <LinksUpToDate>false</LinksUpToDate>
  <CharactersWithSpaces>19776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2021-02-25T01:02:00Z</dcterms:created>
  <dc:creator>Tencent</dc:creator>
  <cp:lastModifiedBy>Administrator</cp:lastModifiedBy>
  <dcterms:modified xsi:type="dcterms:W3CDTF">2022-06-14T02:11:14Z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AE26E9FF8D1F42FB8EABBE995D66D1F6</vt:lpwstr>
  </property>
</Properties>
</file>