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eastAsia="方正小标宋简体"/>
          <w:kern w:val="0"/>
          <w:sz w:val="40"/>
          <w:szCs w:val="40"/>
        </w:rPr>
      </w:pPr>
      <w:r>
        <w:rPr>
          <w:rFonts w:hint="eastAsia" w:ascii="仿宋" w:hAnsi="仿宋" w:eastAsia="仿宋" w:cs="仿宋"/>
          <w:kern w:val="0"/>
          <w:sz w:val="40"/>
          <w:szCs w:val="40"/>
        </w:rPr>
        <w:t>20</w:t>
      </w:r>
      <w:r>
        <w:rPr>
          <w:rFonts w:hint="eastAsia" w:ascii="仿宋" w:hAnsi="仿宋" w:eastAsia="仿宋" w:cs="仿宋"/>
          <w:kern w:val="0"/>
          <w:sz w:val="40"/>
          <w:szCs w:val="40"/>
          <w:lang w:val="en-US" w:eastAsia="zh-CN"/>
        </w:rPr>
        <w:t>20</w:t>
      </w:r>
      <w:r>
        <w:rPr>
          <w:rFonts w:hint="eastAsia" w:eastAsia="方正小标宋简体"/>
          <w:kern w:val="0"/>
          <w:sz w:val="40"/>
          <w:szCs w:val="40"/>
        </w:rPr>
        <w:t>年度</w:t>
      </w:r>
      <w:r>
        <w:rPr>
          <w:rFonts w:eastAsia="方正小标宋简体"/>
          <w:kern w:val="0"/>
          <w:sz w:val="40"/>
          <w:szCs w:val="40"/>
        </w:rPr>
        <w:t>部门整体支出绩效</w:t>
      </w:r>
      <w:r>
        <w:rPr>
          <w:rFonts w:hint="eastAsia" w:eastAsia="方正小标宋简体"/>
          <w:kern w:val="0"/>
          <w:sz w:val="40"/>
          <w:szCs w:val="40"/>
        </w:rPr>
        <w:t>自</w:t>
      </w:r>
      <w:r>
        <w:rPr>
          <w:rFonts w:eastAsia="方正小标宋简体"/>
          <w:kern w:val="0"/>
          <w:sz w:val="40"/>
          <w:szCs w:val="40"/>
        </w:rPr>
        <w:t>评表</w:t>
      </w:r>
    </w:p>
    <w:p>
      <w:pPr>
        <w:spacing w:line="240" w:lineRule="auto"/>
        <w:jc w:val="center"/>
        <w:rPr>
          <w:rFonts w:asciiTheme="minorEastAsia" w:hAnsiTheme="minorEastAsia" w:eastAsiaTheme="minorEastAsia" w:cstheme="minorEastAsia"/>
          <w:kern w:val="0"/>
          <w:sz w:val="21"/>
          <w:szCs w:val="21"/>
        </w:rPr>
      </w:pPr>
    </w:p>
    <w:tbl>
      <w:tblPr>
        <w:tblStyle w:val="6"/>
        <w:tblW w:w="9063" w:type="dxa"/>
        <w:jc w:val="center"/>
        <w:tblInd w:w="208"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503"/>
        <w:gridCol w:w="503"/>
        <w:gridCol w:w="91"/>
        <w:gridCol w:w="412"/>
        <w:gridCol w:w="180"/>
        <w:gridCol w:w="323"/>
        <w:gridCol w:w="156"/>
        <w:gridCol w:w="627"/>
        <w:gridCol w:w="517"/>
        <w:gridCol w:w="537"/>
        <w:gridCol w:w="1231"/>
        <w:gridCol w:w="569"/>
        <w:gridCol w:w="146"/>
        <w:gridCol w:w="363"/>
        <w:gridCol w:w="1593"/>
        <w:gridCol w:w="717"/>
        <w:gridCol w:w="59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539" w:hRule="atLeast"/>
          <w:jc w:val="center"/>
        </w:trPr>
        <w:tc>
          <w:tcPr>
            <w:tcW w:w="1689" w:type="dxa"/>
            <w:gridSpan w:val="5"/>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部门名称</w:t>
            </w:r>
          </w:p>
        </w:tc>
        <w:tc>
          <w:tcPr>
            <w:tcW w:w="3960" w:type="dxa"/>
            <w:gridSpan w:val="7"/>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长沙市公安局望城分局　</w:t>
            </w:r>
          </w:p>
        </w:tc>
        <w:tc>
          <w:tcPr>
            <w:tcW w:w="2102"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下属单位个数</w:t>
            </w:r>
          </w:p>
        </w:tc>
        <w:tc>
          <w:tcPr>
            <w:tcW w:w="1312"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35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539" w:hRule="atLeast"/>
          <w:jc w:val="center"/>
        </w:trPr>
        <w:tc>
          <w:tcPr>
            <w:tcW w:w="1689" w:type="dxa"/>
            <w:gridSpan w:val="5"/>
            <w:vMerge w:val="restart"/>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整体支出规模</w:t>
            </w:r>
          </w:p>
        </w:tc>
        <w:tc>
          <w:tcPr>
            <w:tcW w:w="2160" w:type="dxa"/>
            <w:gridSpan w:val="5"/>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项   目</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全年预算数</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全年执行数</w:t>
            </w:r>
          </w:p>
        </w:tc>
        <w:tc>
          <w:tcPr>
            <w:tcW w:w="595" w:type="dxa"/>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执行率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sz w:val="21"/>
                <w:szCs w:val="21"/>
              </w:rPr>
            </w:pPr>
          </w:p>
        </w:tc>
        <w:tc>
          <w:tcPr>
            <w:tcW w:w="479" w:type="dxa"/>
            <w:gridSpan w:val="2"/>
            <w:vMerge w:val="restart"/>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资</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金</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来</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源</w:t>
            </w:r>
          </w:p>
          <w:p>
            <w:pPr>
              <w:spacing w:line="250" w:lineRule="exact"/>
              <w:jc w:val="center"/>
              <w:rPr>
                <w:rFonts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合计</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宋体" w:hAnsi="宋体" w:eastAsia="宋体" w:cs="宋体"/>
                <w:i w:val="0"/>
                <w:color w:val="000000"/>
                <w:sz w:val="22"/>
                <w:szCs w:val="22"/>
                <w:u w:val="none"/>
              </w:rPr>
              <w:t>28,697.54</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宋体" w:hAnsi="宋体" w:eastAsia="宋体" w:cs="宋体"/>
                <w:i w:val="0"/>
                <w:color w:val="000000"/>
                <w:sz w:val="22"/>
                <w:szCs w:val="22"/>
                <w:u w:val="none"/>
              </w:rPr>
              <w:t>33,066.24</w:t>
            </w:r>
          </w:p>
        </w:tc>
        <w:tc>
          <w:tcPr>
            <w:tcW w:w="595" w:type="dxa"/>
            <w:tcBorders>
              <w:tl2br w:val="nil"/>
              <w:tr2bl w:val="nil"/>
            </w:tcBorders>
            <w:tcMar>
              <w:top w:w="15" w:type="dxa"/>
              <w:left w:w="15" w:type="dxa"/>
              <w:bottom w:w="0" w:type="dxa"/>
              <w:right w:w="15" w:type="dxa"/>
            </w:tcMar>
            <w:vAlign w:val="center"/>
          </w:tcPr>
          <w:p>
            <w:pPr>
              <w:spacing w:line="250" w:lineRule="exact"/>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1</w:t>
            </w:r>
            <w:r>
              <w:rPr>
                <w:rFonts w:hint="eastAsia" w:asciiTheme="minorEastAsia" w:hAnsiTheme="minorEastAsia" w:eastAsiaTheme="minorEastAsia" w:cstheme="minorEastAsia"/>
                <w:color w:val="000000"/>
                <w:sz w:val="21"/>
                <w:szCs w:val="21"/>
                <w:lang w:val="en-US" w:eastAsia="zh-CN"/>
              </w:rPr>
              <w:t>15</w:t>
            </w:r>
            <w:r>
              <w:rPr>
                <w:rFonts w:hint="eastAsia" w:asciiTheme="minorEastAsia" w:hAnsiTheme="minorEastAsia" w:eastAsiaTheme="minorEastAsia" w:cstheme="minorEastAsia"/>
                <w:color w:val="000000"/>
                <w:sz w:val="21"/>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（1）财政拨款</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宋体" w:hAnsi="宋体" w:eastAsia="宋体" w:cs="宋体"/>
                <w:i w:val="0"/>
                <w:color w:val="000000"/>
                <w:sz w:val="22"/>
                <w:szCs w:val="22"/>
                <w:u w:val="none"/>
              </w:rPr>
              <w:t>28,697.54</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宋体" w:hAnsi="宋体" w:eastAsia="宋体" w:cs="宋体"/>
                <w:i w:val="0"/>
                <w:color w:val="000000"/>
                <w:sz w:val="22"/>
                <w:szCs w:val="22"/>
                <w:u w:val="none"/>
              </w:rPr>
              <w:t>33,066.24</w:t>
            </w:r>
          </w:p>
        </w:tc>
        <w:tc>
          <w:tcPr>
            <w:tcW w:w="595" w:type="dxa"/>
            <w:tcBorders>
              <w:tl2br w:val="nil"/>
              <w:tr2bl w:val="nil"/>
            </w:tcBorders>
            <w:tcMar>
              <w:top w:w="15" w:type="dxa"/>
              <w:left w:w="15" w:type="dxa"/>
              <w:bottom w:w="0" w:type="dxa"/>
              <w:right w:w="15" w:type="dxa"/>
            </w:tcMar>
            <w:vAlign w:val="center"/>
          </w:tcPr>
          <w:p>
            <w:pPr>
              <w:spacing w:line="250" w:lineRule="exact"/>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w:t>
            </w:r>
            <w:r>
              <w:rPr>
                <w:rFonts w:hint="eastAsia" w:asciiTheme="minorEastAsia" w:hAnsiTheme="minorEastAsia" w:eastAsiaTheme="minorEastAsia" w:cstheme="minorEastAsia"/>
                <w:color w:val="000000"/>
                <w:sz w:val="21"/>
                <w:szCs w:val="21"/>
                <w:lang w:val="en-US" w:eastAsia="zh-CN"/>
              </w:rPr>
              <w:t>15</w:t>
            </w:r>
            <w:r>
              <w:rPr>
                <w:rFonts w:hint="eastAsia" w:asciiTheme="minorEastAsia" w:hAnsiTheme="minorEastAsia" w:eastAsiaTheme="minorEastAsia" w:cstheme="minorEastAsia"/>
                <w:color w:val="000000"/>
                <w:sz w:val="21"/>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（2）其他资金</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p>
        </w:tc>
        <w:tc>
          <w:tcPr>
            <w:tcW w:w="595" w:type="dxa"/>
            <w:tcBorders>
              <w:tl2br w:val="nil"/>
              <w:tr2bl w:val="nil"/>
            </w:tcBorders>
            <w:tcMar>
              <w:top w:w="15" w:type="dxa"/>
              <w:left w:w="15" w:type="dxa"/>
              <w:bottom w:w="0" w:type="dxa"/>
              <w:right w:w="15" w:type="dxa"/>
            </w:tcMar>
            <w:vAlign w:val="center"/>
          </w:tcPr>
          <w:p>
            <w:pPr>
              <w:spacing w:line="250" w:lineRule="exact"/>
              <w:rPr>
                <w:rFonts w:asciiTheme="minorEastAsia" w:hAnsiTheme="minorEastAsia" w:eastAsiaTheme="minorEastAsia" w:cstheme="minorEastAsia"/>
                <w:color w:val="000000"/>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sz w:val="21"/>
                <w:szCs w:val="21"/>
              </w:rPr>
            </w:pPr>
          </w:p>
        </w:tc>
        <w:tc>
          <w:tcPr>
            <w:tcW w:w="479" w:type="dxa"/>
            <w:gridSpan w:val="2"/>
            <w:vMerge w:val="restart"/>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资</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金</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结</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构</w:t>
            </w:r>
          </w:p>
          <w:p>
            <w:pPr>
              <w:spacing w:line="250" w:lineRule="exact"/>
              <w:jc w:val="center"/>
              <w:rPr>
                <w:rFonts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合计</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宋体" w:hAnsi="宋体" w:eastAsia="宋体" w:cs="宋体"/>
                <w:i w:val="0"/>
                <w:color w:val="000000"/>
                <w:sz w:val="22"/>
                <w:szCs w:val="22"/>
                <w:u w:val="none"/>
              </w:rPr>
              <w:t>28,697.54</w:t>
            </w:r>
            <w:r>
              <w:rPr>
                <w:rFonts w:hint="eastAsia" w:asciiTheme="minorEastAsia" w:hAnsiTheme="minorEastAsia" w:eastAsiaTheme="minorEastAsia" w:cstheme="minorEastAsia"/>
                <w:color w:val="000000"/>
                <w:sz w:val="21"/>
                <w:szCs w:val="21"/>
              </w:rPr>
              <w:t>　</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宋体" w:hAnsi="宋体" w:eastAsia="宋体" w:cs="宋体"/>
                <w:i w:val="0"/>
                <w:color w:val="000000"/>
                <w:sz w:val="22"/>
                <w:szCs w:val="22"/>
                <w:u w:val="none"/>
              </w:rPr>
              <w:t>33,066.24</w:t>
            </w:r>
          </w:p>
        </w:tc>
        <w:tc>
          <w:tcPr>
            <w:tcW w:w="595" w:type="dxa"/>
            <w:tcBorders>
              <w:tl2br w:val="nil"/>
              <w:tr2bl w:val="nil"/>
            </w:tcBorders>
            <w:tcMar>
              <w:top w:w="15" w:type="dxa"/>
              <w:left w:w="15" w:type="dxa"/>
              <w:bottom w:w="0" w:type="dxa"/>
              <w:right w:w="15" w:type="dxa"/>
            </w:tcMar>
            <w:vAlign w:val="center"/>
          </w:tcPr>
          <w:p>
            <w:pPr>
              <w:spacing w:line="250" w:lineRule="exact"/>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1</w:t>
            </w:r>
            <w:r>
              <w:rPr>
                <w:rFonts w:hint="eastAsia" w:asciiTheme="minorEastAsia" w:hAnsiTheme="minorEastAsia" w:eastAsiaTheme="minorEastAsia" w:cstheme="minorEastAsia"/>
                <w:color w:val="000000"/>
                <w:sz w:val="21"/>
                <w:szCs w:val="21"/>
                <w:lang w:val="en-US" w:eastAsia="zh-CN"/>
              </w:rPr>
              <w:t>1</w:t>
            </w:r>
            <w:r>
              <w:rPr>
                <w:rFonts w:hint="eastAsia" w:asciiTheme="minorEastAsia" w:hAnsiTheme="minorEastAsia" w:eastAsiaTheme="minorEastAsia" w:cstheme="minorEastAsia"/>
                <w:color w:val="000000"/>
                <w:sz w:val="21"/>
                <w:szCs w:val="21"/>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right"/>
              <w:rPr>
                <w:rFonts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（1）基本支出</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宋体" w:hAnsi="宋体" w:eastAsia="宋体" w:cs="宋体"/>
                <w:i w:val="0"/>
                <w:color w:val="000000"/>
                <w:sz w:val="22"/>
                <w:szCs w:val="22"/>
                <w:u w:val="none"/>
              </w:rPr>
              <w:t>12,049.44</w:t>
            </w:r>
            <w:r>
              <w:rPr>
                <w:rFonts w:hint="eastAsia" w:asciiTheme="minorEastAsia" w:hAnsiTheme="minorEastAsia" w:eastAsiaTheme="minorEastAsia" w:cstheme="minorEastAsia"/>
                <w:color w:val="000000"/>
                <w:sz w:val="21"/>
                <w:szCs w:val="21"/>
              </w:rPr>
              <w:t>　</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宋体" w:hAnsi="宋体" w:eastAsia="宋体" w:cs="宋体"/>
                <w:i w:val="0"/>
                <w:color w:val="000000"/>
                <w:sz w:val="22"/>
                <w:szCs w:val="22"/>
                <w:u w:val="none"/>
              </w:rPr>
              <w:t>13,398.97</w:t>
            </w:r>
          </w:p>
        </w:tc>
        <w:tc>
          <w:tcPr>
            <w:tcW w:w="595" w:type="dxa"/>
            <w:tcBorders>
              <w:tl2br w:val="nil"/>
              <w:tr2bl w:val="nil"/>
            </w:tcBorders>
            <w:tcMar>
              <w:top w:w="15" w:type="dxa"/>
              <w:left w:w="15" w:type="dxa"/>
              <w:bottom w:w="0" w:type="dxa"/>
              <w:right w:w="15" w:type="dxa"/>
            </w:tcMar>
            <w:vAlign w:val="center"/>
          </w:tcPr>
          <w:p>
            <w:pPr>
              <w:spacing w:line="250" w:lineRule="exact"/>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1</w:t>
            </w:r>
            <w:r>
              <w:rPr>
                <w:rFonts w:hint="eastAsia" w:asciiTheme="minorEastAsia" w:hAnsiTheme="minorEastAsia" w:eastAsiaTheme="minorEastAsia" w:cstheme="minorEastAsia"/>
                <w:color w:val="000000"/>
                <w:sz w:val="21"/>
                <w:szCs w:val="21"/>
                <w:lang w:val="en-US" w:eastAsia="zh-CN"/>
              </w:rPr>
              <w:t>11</w:t>
            </w:r>
            <w:r>
              <w:rPr>
                <w:rFonts w:hint="eastAsia" w:asciiTheme="minorEastAsia" w:hAnsiTheme="minorEastAsia" w:eastAsiaTheme="minorEastAsia" w:cstheme="minorEastAsia"/>
                <w:color w:val="000000"/>
                <w:sz w:val="21"/>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sz w:val="2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right"/>
              <w:rPr>
                <w:rFonts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tabs>
                <w:tab w:val="left" w:pos="567"/>
              </w:tabs>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（2）项目支出</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宋体" w:hAnsi="宋体" w:eastAsia="宋体" w:cs="宋体"/>
                <w:i w:val="0"/>
                <w:color w:val="000000"/>
                <w:sz w:val="22"/>
                <w:szCs w:val="22"/>
                <w:u w:val="none"/>
              </w:rPr>
              <w:t>16,648.10</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宋体" w:hAnsi="宋体" w:eastAsia="宋体" w:cs="宋体"/>
                <w:i w:val="0"/>
                <w:color w:val="000000"/>
                <w:sz w:val="22"/>
                <w:szCs w:val="22"/>
                <w:u w:val="none"/>
              </w:rPr>
              <w:t>19,667.27</w:t>
            </w:r>
            <w:r>
              <w:rPr>
                <w:rFonts w:hint="eastAsia" w:asciiTheme="minorEastAsia" w:hAnsiTheme="minorEastAsia" w:eastAsiaTheme="minorEastAsia" w:cstheme="minorEastAsia"/>
                <w:color w:val="000000"/>
                <w:sz w:val="21"/>
                <w:szCs w:val="21"/>
              </w:rPr>
              <w:t>　</w:t>
            </w:r>
          </w:p>
        </w:tc>
        <w:tc>
          <w:tcPr>
            <w:tcW w:w="595" w:type="dxa"/>
            <w:tcBorders>
              <w:tl2br w:val="nil"/>
              <w:tr2bl w:val="nil"/>
            </w:tcBorders>
            <w:tcMar>
              <w:top w:w="15" w:type="dxa"/>
              <w:left w:w="15" w:type="dxa"/>
              <w:bottom w:w="0" w:type="dxa"/>
              <w:right w:w="15" w:type="dxa"/>
            </w:tcMar>
            <w:vAlign w:val="center"/>
          </w:tcPr>
          <w:p>
            <w:pPr>
              <w:spacing w:line="250" w:lineRule="exact"/>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1</w:t>
            </w:r>
            <w:r>
              <w:rPr>
                <w:rFonts w:hint="eastAsia" w:asciiTheme="minorEastAsia" w:hAnsiTheme="minorEastAsia" w:eastAsiaTheme="minorEastAsia" w:cstheme="minorEastAsia"/>
                <w:color w:val="000000"/>
                <w:sz w:val="21"/>
                <w:szCs w:val="21"/>
                <w:lang w:val="en-US" w:eastAsia="zh-CN"/>
              </w:rPr>
              <w:t>18</w:t>
            </w:r>
            <w:r>
              <w:rPr>
                <w:rFonts w:hint="eastAsia" w:asciiTheme="minorEastAsia" w:hAnsiTheme="minorEastAsia" w:eastAsiaTheme="minorEastAsia" w:cstheme="minorEastAsia"/>
                <w:color w:val="000000"/>
                <w:sz w:val="21"/>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628" w:hRule="atLeast"/>
          <w:jc w:val="center"/>
        </w:trPr>
        <w:tc>
          <w:tcPr>
            <w:tcW w:w="1097" w:type="dxa"/>
            <w:gridSpan w:val="3"/>
            <w:vMerge w:val="restart"/>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年度总</w:t>
            </w:r>
          </w:p>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体目标</w:t>
            </w:r>
          </w:p>
        </w:tc>
        <w:tc>
          <w:tcPr>
            <w:tcW w:w="3983" w:type="dxa"/>
            <w:gridSpan w:val="8"/>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年初设定目标</w:t>
            </w:r>
          </w:p>
        </w:tc>
        <w:tc>
          <w:tcPr>
            <w:tcW w:w="3983" w:type="dxa"/>
            <w:gridSpan w:val="6"/>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1350" w:hRule="atLeast"/>
          <w:jc w:val="center"/>
        </w:trPr>
        <w:tc>
          <w:tcPr>
            <w:tcW w:w="1097" w:type="dxa"/>
            <w:gridSpan w:val="3"/>
            <w:vMerge w:val="continue"/>
            <w:tcBorders>
              <w:tl2br w:val="nil"/>
              <w:tr2bl w:val="nil"/>
            </w:tcBorders>
            <w:vAlign w:val="center"/>
          </w:tcPr>
          <w:p>
            <w:pPr>
              <w:spacing w:line="250" w:lineRule="exact"/>
              <w:rPr>
                <w:rFonts w:asciiTheme="minorEastAsia" w:hAnsiTheme="minorEastAsia" w:eastAsiaTheme="minorEastAsia" w:cstheme="minorEastAsia"/>
                <w:color w:val="000000"/>
                <w:sz w:val="18"/>
                <w:szCs w:val="18"/>
              </w:rPr>
            </w:pPr>
          </w:p>
        </w:tc>
        <w:tc>
          <w:tcPr>
            <w:tcW w:w="3983" w:type="dxa"/>
            <w:gridSpan w:val="8"/>
            <w:tcBorders>
              <w:tl2br w:val="nil"/>
              <w:tr2bl w:val="nil"/>
            </w:tcBorders>
            <w:tcMar>
              <w:top w:w="15" w:type="dxa"/>
              <w:left w:w="15" w:type="dxa"/>
              <w:bottom w:w="0" w:type="dxa"/>
              <w:right w:w="15" w:type="dxa"/>
            </w:tcMar>
            <w:vAlign w:val="center"/>
          </w:tcPr>
          <w:p>
            <w:pPr>
              <w:widowControl/>
              <w:shd w:val="clear" w:color="auto" w:fill="FFFFFF"/>
              <w:wordWrap/>
              <w:adjustRightInd/>
              <w:snapToGrid/>
              <w:spacing w:before="0" w:after="0" w:line="600" w:lineRule="exact"/>
              <w:ind w:left="0" w:leftChars="0" w:right="0" w:firstLine="72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2020年，</w:t>
            </w:r>
            <w:r>
              <w:rPr>
                <w:rFonts w:hint="eastAsia" w:asciiTheme="minorEastAsia" w:hAnsiTheme="minorEastAsia" w:eastAsiaTheme="minorEastAsia" w:cstheme="minorEastAsia"/>
                <w:sz w:val="24"/>
                <w:szCs w:val="24"/>
                <w:lang w:eastAsia="zh-CN"/>
              </w:rPr>
              <w:t>望城</w:t>
            </w:r>
            <w:r>
              <w:rPr>
                <w:rFonts w:hint="eastAsia" w:asciiTheme="minorEastAsia" w:hAnsiTheme="minorEastAsia" w:eastAsiaTheme="minorEastAsia" w:cstheme="minorEastAsia"/>
                <w:sz w:val="24"/>
                <w:szCs w:val="24"/>
              </w:rPr>
              <w:t>公安在</w:t>
            </w:r>
            <w:r>
              <w:rPr>
                <w:rFonts w:hint="eastAsia" w:asciiTheme="minorEastAsia" w:hAnsiTheme="minorEastAsia" w:eastAsiaTheme="minorEastAsia" w:cstheme="minorEastAsia"/>
                <w:sz w:val="24"/>
                <w:szCs w:val="24"/>
                <w:lang w:eastAsia="zh-CN"/>
              </w:rPr>
              <w:t>区</w:t>
            </w:r>
            <w:r>
              <w:rPr>
                <w:rFonts w:hint="eastAsia" w:asciiTheme="minorEastAsia" w:hAnsiTheme="minorEastAsia" w:eastAsiaTheme="minorEastAsia" w:cstheme="minorEastAsia"/>
                <w:sz w:val="24"/>
                <w:szCs w:val="24"/>
              </w:rPr>
              <w:t>委、</w:t>
            </w:r>
            <w:r>
              <w:rPr>
                <w:rFonts w:hint="eastAsia" w:asciiTheme="minorEastAsia" w:hAnsiTheme="minorEastAsia" w:eastAsiaTheme="minorEastAsia" w:cstheme="minorEastAsia"/>
                <w:sz w:val="24"/>
                <w:szCs w:val="24"/>
                <w:lang w:eastAsia="zh-CN"/>
              </w:rPr>
              <w:t>区</w:t>
            </w:r>
            <w:r>
              <w:rPr>
                <w:rFonts w:hint="eastAsia" w:asciiTheme="minorEastAsia" w:hAnsiTheme="minorEastAsia" w:eastAsiaTheme="minorEastAsia" w:cstheme="minorEastAsia"/>
                <w:sz w:val="24"/>
                <w:szCs w:val="24"/>
              </w:rPr>
              <w:t>政府和</w:t>
            </w:r>
            <w:r>
              <w:rPr>
                <w:rFonts w:hint="eastAsia" w:asciiTheme="minorEastAsia" w:hAnsiTheme="minorEastAsia" w:eastAsiaTheme="minorEastAsia" w:cstheme="minorEastAsia"/>
                <w:sz w:val="24"/>
                <w:szCs w:val="24"/>
                <w:lang w:eastAsia="zh-CN"/>
              </w:rPr>
              <w:t>市局</w:t>
            </w:r>
            <w:r>
              <w:rPr>
                <w:rFonts w:hint="eastAsia" w:asciiTheme="minorEastAsia" w:hAnsiTheme="minorEastAsia" w:eastAsiaTheme="minorEastAsia" w:cstheme="minorEastAsia"/>
                <w:sz w:val="24"/>
                <w:szCs w:val="24"/>
              </w:rPr>
              <w:t>党委坚强领导下，</w:t>
            </w:r>
            <w:r>
              <w:rPr>
                <w:rFonts w:hint="eastAsia" w:asciiTheme="minorEastAsia" w:hAnsiTheme="minorEastAsia" w:eastAsiaTheme="minorEastAsia" w:cstheme="minorEastAsia"/>
                <w:color w:val="000000"/>
                <w:kern w:val="0"/>
                <w:sz w:val="24"/>
                <w:szCs w:val="24"/>
                <w:lang w:val="en-US" w:eastAsia="zh-CN" w:bidi="ar-SA"/>
              </w:rPr>
              <w:t>高举习近平新时代中国特色社会主义思想伟大旗帜，牢牢把握“对党忠诚、服务人民、执法公正、纪律严明”的总要求和“政治建警、改革强警、科技兴警、从严治警”新时代公安工作方针，深入贯彻省厅“四个大抓”“双十条”警务战略和“五个不发生”工作目标，紧紧围绕长沙公安“社会治理创新年”“数据警务深化年”“保</w:t>
            </w:r>
            <w:r>
              <w:rPr>
                <w:rFonts w:hint="eastAsia" w:asciiTheme="minorEastAsia" w:hAnsiTheme="minorEastAsia" w:eastAsiaTheme="minorEastAsia" w:cstheme="minorEastAsia"/>
                <w:sz w:val="24"/>
                <w:szCs w:val="24"/>
              </w:rPr>
              <w:t>障体系优化年”</w:t>
            </w:r>
            <w:r>
              <w:rPr>
                <w:rFonts w:hint="eastAsia" w:asciiTheme="minorEastAsia" w:hAnsiTheme="minorEastAsia" w:eastAsiaTheme="minorEastAsia" w:cstheme="minorEastAsia"/>
                <w:sz w:val="24"/>
                <w:szCs w:val="24"/>
                <w:lang w:eastAsia="zh-CN"/>
              </w:rPr>
              <w:t>目标和</w:t>
            </w:r>
            <w:r>
              <w:rPr>
                <w:rFonts w:hint="eastAsia" w:asciiTheme="minorEastAsia" w:hAnsiTheme="minorEastAsia" w:eastAsiaTheme="minorEastAsia" w:cstheme="minorEastAsia"/>
                <w:sz w:val="24"/>
                <w:szCs w:val="24"/>
              </w:rPr>
              <w:t>“一二三</w:t>
            </w:r>
            <w:r>
              <w:rPr>
                <w:rFonts w:hint="eastAsia" w:asciiTheme="minorEastAsia" w:hAnsiTheme="minorEastAsia" w:eastAsiaTheme="minorEastAsia" w:cstheme="minorEastAsia"/>
                <w:sz w:val="24"/>
                <w:szCs w:val="24"/>
                <w:lang w:eastAsia="zh-CN"/>
              </w:rPr>
              <w:t>九</w:t>
            </w:r>
            <w:r>
              <w:rPr>
                <w:rFonts w:hint="eastAsia" w:asciiTheme="minorEastAsia" w:hAnsiTheme="minorEastAsia" w:eastAsiaTheme="minorEastAsia" w:cstheme="minorEastAsia"/>
                <w:sz w:val="24"/>
                <w:szCs w:val="24"/>
              </w:rPr>
              <w:t>”总体思路</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color w:val="000000"/>
                <w:kern w:val="0"/>
                <w:sz w:val="24"/>
                <w:szCs w:val="24"/>
                <w:lang w:val="en-US" w:eastAsia="zh-CN" w:bidi="ar-SA"/>
              </w:rPr>
              <w:t>统筹推进</w:t>
            </w:r>
            <w:r>
              <w:rPr>
                <w:rFonts w:hint="eastAsia" w:asciiTheme="minorEastAsia" w:hAnsiTheme="minorEastAsia" w:eastAsiaTheme="minorEastAsia" w:cstheme="minorEastAsia"/>
                <w:sz w:val="24"/>
                <w:szCs w:val="24"/>
                <w:lang w:eastAsia="zh-CN"/>
              </w:rPr>
              <w:t>“一提两抓”，“一提”</w:t>
            </w:r>
            <w:r>
              <w:rPr>
                <w:rFonts w:hint="eastAsia" w:asciiTheme="minorEastAsia" w:hAnsiTheme="minorEastAsia" w:eastAsiaTheme="minorEastAsia" w:cstheme="minorEastAsia"/>
                <w:color w:val="000000"/>
                <w:kern w:val="0"/>
                <w:sz w:val="24"/>
                <w:szCs w:val="24"/>
                <w:lang w:val="en-US" w:eastAsia="zh-CN" w:bidi="ar-SA"/>
              </w:rPr>
              <w:t>即全面提升“</w:t>
            </w:r>
            <w:r>
              <w:rPr>
                <w:rFonts w:hint="eastAsia" w:asciiTheme="minorEastAsia" w:hAnsiTheme="minorEastAsia" w:eastAsiaTheme="minorEastAsia" w:cstheme="minorEastAsia"/>
                <w:sz w:val="24"/>
                <w:szCs w:val="24"/>
                <w:lang w:val="en-US" w:eastAsia="zh-CN"/>
              </w:rPr>
              <w:t>情报指挥、风险防控、作战支撑、科技应用、交通治理、执法监督、从优保障、教育管理、从严治警</w:t>
            </w:r>
            <w:r>
              <w:rPr>
                <w:rFonts w:hint="eastAsia" w:asciiTheme="minorEastAsia" w:hAnsiTheme="minorEastAsia" w:eastAsiaTheme="minorEastAsia" w:cstheme="minorEastAsia"/>
                <w:b/>
                <w:bCs/>
                <w:color w:val="000000"/>
                <w:kern w:val="0"/>
                <w:sz w:val="24"/>
                <w:szCs w:val="24"/>
                <w:lang w:val="en-US" w:eastAsia="zh-CN" w:bidi="ar-SA"/>
              </w:rPr>
              <w:t>”</w:t>
            </w:r>
            <w:r>
              <w:rPr>
                <w:rFonts w:hint="eastAsia" w:asciiTheme="minorEastAsia" w:hAnsiTheme="minorEastAsia" w:eastAsiaTheme="minorEastAsia" w:cstheme="minorEastAsia"/>
                <w:color w:val="000000"/>
                <w:kern w:val="0"/>
                <w:sz w:val="24"/>
                <w:szCs w:val="24"/>
                <w:lang w:val="en-US" w:eastAsia="zh-CN" w:bidi="ar-SA"/>
              </w:rPr>
              <w:t>九个能力，“</w:t>
            </w:r>
            <w:r>
              <w:rPr>
                <w:rFonts w:hint="eastAsia" w:asciiTheme="minorEastAsia" w:hAnsiTheme="minorEastAsia" w:eastAsiaTheme="minorEastAsia" w:cstheme="minorEastAsia"/>
                <w:sz w:val="24"/>
                <w:szCs w:val="24"/>
                <w:lang w:val="en-US" w:eastAsia="zh-CN"/>
              </w:rPr>
              <w:t>两抓”</w:t>
            </w:r>
            <w:r>
              <w:rPr>
                <w:rFonts w:hint="eastAsia" w:asciiTheme="minorEastAsia" w:hAnsiTheme="minorEastAsia" w:eastAsiaTheme="minorEastAsia" w:cstheme="minorEastAsia"/>
                <w:color w:val="000000"/>
                <w:kern w:val="0"/>
                <w:sz w:val="24"/>
                <w:szCs w:val="24"/>
                <w:lang w:val="en-US" w:eastAsia="zh-CN" w:bidi="ar-SA"/>
              </w:rPr>
              <w:t>即坚持业务工作、队伍建设</w:t>
            </w:r>
            <w:r>
              <w:rPr>
                <w:rFonts w:hint="eastAsia" w:asciiTheme="minorEastAsia" w:hAnsiTheme="minorEastAsia" w:eastAsiaTheme="minorEastAsia" w:cstheme="minorEastAsia"/>
                <w:sz w:val="24"/>
                <w:szCs w:val="24"/>
                <w:lang w:eastAsia="zh-CN"/>
              </w:rPr>
              <w:t>“两手抓”，</w:t>
            </w:r>
            <w:r>
              <w:rPr>
                <w:rFonts w:hint="eastAsia" w:asciiTheme="minorEastAsia" w:hAnsiTheme="minorEastAsia" w:eastAsiaTheme="minorEastAsia" w:cstheme="minorEastAsia"/>
                <w:color w:val="000000"/>
                <w:kern w:val="0"/>
                <w:sz w:val="24"/>
                <w:szCs w:val="24"/>
                <w:lang w:val="en-US" w:eastAsia="zh-CN" w:bidi="ar-SA"/>
              </w:rPr>
              <w:t>业务工作聚焦</w:t>
            </w:r>
            <w:r>
              <w:rPr>
                <w:rFonts w:hint="eastAsia" w:asciiTheme="minorEastAsia" w:hAnsiTheme="minorEastAsia" w:eastAsiaTheme="minorEastAsia" w:cstheme="minorEastAsia"/>
                <w:sz w:val="24"/>
                <w:szCs w:val="24"/>
                <w:lang w:eastAsia="zh-CN"/>
              </w:rPr>
              <w:t>“防控风险、突出问题、减压发案、优化环境”抓主责主业，</w:t>
            </w:r>
            <w:r>
              <w:rPr>
                <w:rFonts w:hint="eastAsia" w:asciiTheme="minorEastAsia" w:hAnsiTheme="minorEastAsia" w:eastAsiaTheme="minorEastAsia" w:cstheme="minorEastAsia"/>
                <w:color w:val="000000"/>
                <w:kern w:val="0"/>
                <w:sz w:val="24"/>
                <w:szCs w:val="24"/>
                <w:lang w:val="en-US" w:eastAsia="zh-CN" w:bidi="ar-SA"/>
              </w:rPr>
              <w:t>队伍建设突出</w:t>
            </w:r>
            <w:r>
              <w:rPr>
                <w:rFonts w:hint="eastAsia" w:asciiTheme="minorEastAsia" w:hAnsiTheme="minorEastAsia" w:eastAsiaTheme="minorEastAsia" w:cstheme="minorEastAsia"/>
                <w:sz w:val="24"/>
                <w:szCs w:val="24"/>
                <w:lang w:eastAsia="zh-CN"/>
              </w:rPr>
              <w:t>“政治建警、科技创新、警示防范、规范执法”抓要素保障，</w:t>
            </w:r>
            <w:r>
              <w:rPr>
                <w:rFonts w:hint="eastAsia" w:asciiTheme="minorEastAsia" w:hAnsiTheme="minorEastAsia" w:eastAsiaTheme="minorEastAsia" w:cstheme="minorEastAsia"/>
                <w:color w:val="000000"/>
                <w:kern w:val="0"/>
                <w:sz w:val="24"/>
                <w:szCs w:val="24"/>
                <w:lang w:val="en-US" w:eastAsia="zh-CN" w:bidi="ar-SA"/>
              </w:rPr>
              <w:t>着力锻造“四个铁一般”高素质过硬公安铁军，坚决打赢防范化解重大风险攻坚战，全力推动望城公安工作现代化，为建设美丽强盛幸福的现代化新望城</w:t>
            </w:r>
            <w:r>
              <w:rPr>
                <w:rFonts w:hint="eastAsia" w:asciiTheme="minorEastAsia" w:hAnsiTheme="minorEastAsia" w:eastAsiaTheme="minorEastAsia" w:cstheme="minorEastAsia"/>
                <w:sz w:val="24"/>
                <w:szCs w:val="24"/>
              </w:rPr>
              <w:t>创造安全稳定政治社会环境</w:t>
            </w:r>
            <w:r>
              <w:rPr>
                <w:rFonts w:hint="eastAsia" w:asciiTheme="minorEastAsia" w:hAnsiTheme="minorEastAsia" w:eastAsiaTheme="minorEastAsia" w:cstheme="minorEastAsia"/>
                <w:color w:val="000000"/>
                <w:kern w:val="0"/>
                <w:sz w:val="24"/>
                <w:szCs w:val="24"/>
                <w:lang w:val="en-US" w:eastAsia="zh-CN" w:bidi="ar-SA"/>
              </w:rPr>
              <w:t>。</w:t>
            </w:r>
          </w:p>
          <w:p>
            <w:pPr>
              <w:spacing w:line="250" w:lineRule="exact"/>
              <w:jc w:val="center"/>
              <w:rPr>
                <w:rFonts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　</w:t>
            </w:r>
          </w:p>
        </w:tc>
        <w:tc>
          <w:tcPr>
            <w:tcW w:w="3983" w:type="dxa"/>
            <w:gridSpan w:val="6"/>
            <w:tcBorders>
              <w:tl2br w:val="nil"/>
              <w:tr2bl w:val="nil"/>
            </w:tcBorders>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2020年</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望城公安分局在</w:t>
            </w:r>
            <w:r>
              <w:rPr>
                <w:rFonts w:hint="eastAsia" w:asciiTheme="minorEastAsia" w:hAnsiTheme="minorEastAsia" w:eastAsiaTheme="minorEastAsia" w:cstheme="minorEastAsia"/>
                <w:sz w:val="24"/>
                <w:szCs w:val="24"/>
              </w:rPr>
              <w:t>市局和区委、区政府的坚强领导下，高举习近平新时代中国特色社会主义思想伟大旗帜，牢牢把握“对党忠诚、服务人民、执法公正、纪律严明”的总要求和“政治建警、改</w:t>
            </w:r>
            <w:r>
              <w:rPr>
                <w:rFonts w:hint="eastAsia" w:asciiTheme="minorEastAsia" w:hAnsiTheme="minorEastAsia" w:eastAsiaTheme="minorEastAsia" w:cstheme="minorEastAsia"/>
                <w:b w:val="0"/>
                <w:bCs w:val="0"/>
                <w:sz w:val="24"/>
                <w:szCs w:val="24"/>
              </w:rPr>
              <w:t>革强警、科技兴警、从严治警”新时代公安工作方针，深入贯彻省厅“四个大抓”“双十条”警务战略，紧紧围绕长沙公安“一二三九”总体思路，</w:t>
            </w:r>
            <w:r>
              <w:rPr>
                <w:rFonts w:hint="eastAsia" w:asciiTheme="minorEastAsia" w:hAnsiTheme="minorEastAsia" w:eastAsiaTheme="minorEastAsia" w:cstheme="minorEastAsia"/>
                <w:b w:val="0"/>
                <w:bCs w:val="0"/>
                <w:sz w:val="24"/>
                <w:szCs w:val="24"/>
                <w:lang w:eastAsia="zh-CN"/>
              </w:rPr>
              <w:t>深化新时代县域警务和教育</w:t>
            </w:r>
            <w:r>
              <w:rPr>
                <w:rFonts w:hint="eastAsia" w:asciiTheme="minorEastAsia" w:hAnsiTheme="minorEastAsia" w:eastAsiaTheme="minorEastAsia" w:cstheme="minorEastAsia"/>
                <w:sz w:val="24"/>
                <w:szCs w:val="24"/>
                <w:lang w:eastAsia="zh-CN"/>
              </w:rPr>
              <w:t>整顿“双一号工程”，围绕中心，服务大局，有效推动了公安工作与队伍建设的良性发展，实现了“发案少、秩序好、群众满意、党委政府认可”的工作目标。分局民意调查满意度连续多年排名全市前列，连续第9年被评为省级平安区县，连续第5年在市局绩效评估中评为优秀。</w:t>
            </w:r>
          </w:p>
          <w:p>
            <w:pPr>
              <w:spacing w:line="250" w:lineRule="exact"/>
              <w:jc w:val="center"/>
              <w:rPr>
                <w:rFonts w:asciiTheme="minorEastAsia" w:hAnsiTheme="minorEastAsia" w:eastAsiaTheme="minorEastAsia" w:cstheme="minorEastAsia"/>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451" w:hRule="atLeast"/>
          <w:jc w:val="center"/>
        </w:trPr>
        <w:tc>
          <w:tcPr>
            <w:tcW w:w="9063" w:type="dxa"/>
            <w:gridSpan w:val="17"/>
            <w:tcBorders>
              <w:tl2br w:val="nil"/>
              <w:tr2bl w:val="nil"/>
            </w:tcBorders>
            <w:vAlign w:val="center"/>
          </w:tcPr>
          <w:p>
            <w:pPr>
              <w:spacing w:line="250" w:lineRule="exact"/>
              <w:jc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分解目标自评</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blHeader/>
          <w:jc w:val="center"/>
        </w:trPr>
        <w:tc>
          <w:tcPr>
            <w:tcW w:w="503" w:type="dxa"/>
            <w:tcBorders>
              <w:tl2br w:val="nil"/>
              <w:tr2bl w:val="nil"/>
            </w:tcBorders>
            <w:vAlign w:val="center"/>
          </w:tcPr>
          <w:p>
            <w:pPr>
              <w:spacing w:line="240" w:lineRule="auto"/>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一级指标</w:t>
            </w:r>
          </w:p>
        </w:tc>
        <w:tc>
          <w:tcPr>
            <w:tcW w:w="503" w:type="dxa"/>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503" w:type="dxa"/>
            <w:gridSpan w:val="2"/>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二级</w:t>
            </w:r>
          </w:p>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w:t>
            </w:r>
          </w:p>
        </w:tc>
        <w:tc>
          <w:tcPr>
            <w:tcW w:w="503" w:type="dxa"/>
            <w:gridSpan w:val="2"/>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783" w:type="dxa"/>
            <w:gridSpan w:val="2"/>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三级</w:t>
            </w:r>
          </w:p>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w:t>
            </w:r>
          </w:p>
        </w:tc>
        <w:tc>
          <w:tcPr>
            <w:tcW w:w="517" w:type="dxa"/>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2483" w:type="dxa"/>
            <w:gridSpan w:val="4"/>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评价标准</w:t>
            </w:r>
          </w:p>
        </w:tc>
        <w:tc>
          <w:tcPr>
            <w:tcW w:w="2673" w:type="dxa"/>
            <w:gridSpan w:val="3"/>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指标说明</w:t>
            </w:r>
          </w:p>
        </w:tc>
        <w:tc>
          <w:tcPr>
            <w:tcW w:w="595" w:type="dxa"/>
            <w:tcBorders>
              <w:tl2br w:val="nil"/>
              <w:tr2bl w:val="nil"/>
            </w:tcBorders>
            <w:vAlign w:val="center"/>
          </w:tcPr>
          <w:p>
            <w:pPr>
              <w:spacing w:line="240" w:lineRule="auto"/>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得分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680" w:hRule="atLeast"/>
          <w:jc w:val="center"/>
        </w:trPr>
        <w:tc>
          <w:tcPr>
            <w:tcW w:w="503" w:type="dxa"/>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投入</w:t>
            </w:r>
          </w:p>
        </w:tc>
        <w:tc>
          <w:tcPr>
            <w:tcW w:w="503" w:type="dxa"/>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预算配置</w:t>
            </w: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在职人员控制率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以100%为标准。在职人员控制率≦100%，计5分；每超过一个百分点扣0.5分，扣完为止。</w:t>
            </w:r>
          </w:p>
        </w:tc>
        <w:tc>
          <w:tcPr>
            <w:tcW w:w="2673"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在职人员控制率=（在职人员数/编制数）×100%，在职人员数：部门（单位）实际在职人数，以财政厅确定的部门决算编制口径为准。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编制数：机构编制部门核定批复的部门（单位）的人员编制数。</w:t>
            </w:r>
          </w:p>
        </w:tc>
        <w:tc>
          <w:tcPr>
            <w:tcW w:w="595" w:type="dxa"/>
            <w:tcBorders>
              <w:tl2br w:val="nil"/>
              <w:tr2bl w:val="nil"/>
            </w:tcBorders>
            <w:vAlign w:val="center"/>
          </w:tcPr>
          <w:p>
            <w:pPr>
              <w:spacing w:line="240" w:lineRule="exact"/>
              <w:ind w:firstLine="211"/>
              <w:jc w:val="center"/>
              <w:rPr>
                <w:rFonts w:hint="eastAsia" w:asciiTheme="minorEastAsia" w:hAnsiTheme="minorEastAsia" w:eastAsiaTheme="minorEastAsia" w:cstheme="minorEastAsia"/>
                <w:color w:val="000000"/>
                <w:kern w:val="0"/>
                <w:sz w:val="18"/>
                <w:szCs w:val="18"/>
                <w:lang w:eastAsia="zh-CN"/>
              </w:rPr>
            </w:pPr>
            <w:r>
              <w:rPr>
                <w:rFonts w:hint="eastAsia" w:asciiTheme="minorEastAsia" w:hAnsiTheme="minorEastAsia" w:eastAsiaTheme="minorEastAsia" w:cstheme="minorEastAsia"/>
                <w:color w:val="000000"/>
                <w:kern w:val="0"/>
                <w:sz w:val="18"/>
                <w:szCs w:val="18"/>
                <w:lang w:val="en-US" w:eastAsia="zh-CN"/>
              </w:rPr>
              <w:t>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849"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“三公经费”变动率≦0,计5分；“三公经费”＞0，每超过一个百分点扣0.8分，扣完为止。</w:t>
            </w:r>
          </w:p>
        </w:tc>
        <w:tc>
          <w:tcPr>
            <w:tcW w:w="2673"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“三公经费”变动率=[（本年度“三公经费”预算数-上年度“三公经费”预算数）/上年度“三公经费”预算数]×100%</w:t>
            </w:r>
          </w:p>
        </w:tc>
        <w:tc>
          <w:tcPr>
            <w:tcW w:w="595" w:type="dxa"/>
            <w:tcBorders>
              <w:tl2br w:val="nil"/>
              <w:tr2bl w:val="nil"/>
            </w:tcBorders>
            <w:vAlign w:val="center"/>
          </w:tcPr>
          <w:p>
            <w:pPr>
              <w:spacing w:line="240" w:lineRule="exact"/>
              <w:jc w:val="center"/>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560" w:hRule="atLeast"/>
          <w:jc w:val="center"/>
        </w:trPr>
        <w:tc>
          <w:tcPr>
            <w:tcW w:w="503" w:type="dxa"/>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过</w:t>
            </w:r>
          </w:p>
          <w:p>
            <w:pPr>
              <w:spacing w:line="240" w:lineRule="exact"/>
              <w:jc w:val="center"/>
              <w:rPr>
                <w:rFonts w:asciiTheme="minorEastAsia" w:hAnsiTheme="minorEastAsia" w:eastAsiaTheme="minorEastAsia" w:cstheme="minorEastAsia"/>
                <w:kern w:val="0"/>
                <w:sz w:val="18"/>
                <w:szCs w:val="18"/>
              </w:rPr>
            </w:pPr>
          </w:p>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程</w:t>
            </w:r>
          </w:p>
        </w:tc>
        <w:tc>
          <w:tcPr>
            <w:tcW w:w="503" w:type="dxa"/>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60</w:t>
            </w: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预算执行</w:t>
            </w: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20</w:t>
            </w: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预算完成率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100%计满分，每低于5%扣2分，扣完为止。</w:t>
            </w:r>
          </w:p>
        </w:tc>
        <w:tc>
          <w:tcPr>
            <w:tcW w:w="2673"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预算完成率=（上年结转+年初预算+本年追加预算-年末结余）/（上年结转+年初预算+本年追加预算）×100%。</w:t>
            </w:r>
          </w:p>
        </w:tc>
        <w:tc>
          <w:tcPr>
            <w:tcW w:w="595" w:type="dxa"/>
            <w:tcBorders>
              <w:tl2br w:val="nil"/>
              <w:tr2bl w:val="nil"/>
            </w:tcBorders>
            <w:vAlign w:val="center"/>
          </w:tcPr>
          <w:p>
            <w:pPr>
              <w:spacing w:line="240" w:lineRule="exact"/>
              <w:jc w:val="center"/>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预算控制率=0，计5分；0-10%（含），计4分；10-20%（含），计3分；20-30%（含），计2分；大于30%不得分。</w:t>
            </w:r>
          </w:p>
        </w:tc>
        <w:tc>
          <w:tcPr>
            <w:tcW w:w="2673"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预算控制率=（本年追加预算/年初预算）×100%。</w:t>
            </w:r>
          </w:p>
        </w:tc>
        <w:tc>
          <w:tcPr>
            <w:tcW w:w="595" w:type="dxa"/>
            <w:tcBorders>
              <w:tl2br w:val="nil"/>
              <w:tr2bl w:val="nil"/>
            </w:tcBorders>
            <w:vAlign w:val="center"/>
          </w:tcPr>
          <w:p>
            <w:pPr>
              <w:spacing w:line="240" w:lineRule="exact"/>
              <w:jc w:val="center"/>
              <w:rPr>
                <w:rFonts w:hint="eastAsia" w:asciiTheme="minorEastAsia" w:hAnsiTheme="minorEastAsia" w:eastAsiaTheme="minorEastAsia" w:cstheme="minorEastAsia"/>
                <w:color w:val="000000"/>
                <w:kern w:val="0"/>
                <w:sz w:val="18"/>
                <w:szCs w:val="18"/>
                <w:lang w:eastAsia="zh-CN"/>
              </w:rPr>
            </w:pPr>
            <w:r>
              <w:rPr>
                <w:rFonts w:hint="eastAsia" w:asciiTheme="minorEastAsia" w:hAnsiTheme="minorEastAsia" w:eastAsiaTheme="minorEastAsia" w:cstheme="minorEastAsia"/>
                <w:color w:val="000000"/>
                <w:kern w:val="0"/>
                <w:sz w:val="18"/>
                <w:szCs w:val="18"/>
                <w:lang w:val="en-US" w:eastAsia="zh-CN"/>
              </w:rPr>
              <w:t>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新建楼堂馆所面积控制率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100%以下（含）计满分，每超出5%扣2分，扣完为止。没有楼堂馆所项目的部门按满分计算。</w:t>
            </w:r>
          </w:p>
        </w:tc>
        <w:tc>
          <w:tcPr>
            <w:tcW w:w="2673"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楼堂馆所面积控制率=实际建设面积/批准建设面积×100% 。</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该指标以当年完工的新建楼堂馆所为评价内容。</w:t>
            </w:r>
          </w:p>
        </w:tc>
        <w:tc>
          <w:tcPr>
            <w:tcW w:w="595" w:type="dxa"/>
            <w:tcBorders>
              <w:tl2br w:val="nil"/>
              <w:tr2bl w:val="nil"/>
            </w:tcBorders>
            <w:vAlign w:val="center"/>
          </w:tcPr>
          <w:p>
            <w:pPr>
              <w:spacing w:line="240" w:lineRule="exact"/>
              <w:jc w:val="center"/>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新建楼堂馆所投资概算控制率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100%以下（含）计满分，每超出5%扣2分，扣完为止。</w:t>
            </w:r>
          </w:p>
        </w:tc>
        <w:tc>
          <w:tcPr>
            <w:tcW w:w="2673"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楼堂馆所投资预算控制率=实际投资金额/批准投资金额×100% 。</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该指标以当年完工的新建楼堂馆所为评价内容。</w:t>
            </w:r>
          </w:p>
        </w:tc>
        <w:tc>
          <w:tcPr>
            <w:tcW w:w="595" w:type="dxa"/>
            <w:tcBorders>
              <w:tl2br w:val="nil"/>
              <w:tr2bl w:val="nil"/>
            </w:tcBorders>
            <w:vAlign w:val="center"/>
          </w:tcPr>
          <w:p>
            <w:pPr>
              <w:spacing w:line="240" w:lineRule="exact"/>
              <w:jc w:val="center"/>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预算管理</w:t>
            </w: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40</w:t>
            </w: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公用经费控制率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100%以下（含）计满分，每超出1%扣1分，扣完为止。</w:t>
            </w:r>
          </w:p>
        </w:tc>
        <w:tc>
          <w:tcPr>
            <w:tcW w:w="2673"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公用经费控制率=（实际支出公用经费总额/预算安排公用经费总额）×100%。</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公用经费支出是指部门基本支出中的一般商品和服务支出。</w:t>
            </w:r>
          </w:p>
        </w:tc>
        <w:tc>
          <w:tcPr>
            <w:tcW w:w="595" w:type="dxa"/>
            <w:tcBorders>
              <w:tl2br w:val="nil"/>
              <w:tr2bl w:val="nil"/>
            </w:tcBorders>
            <w:vAlign w:val="center"/>
          </w:tcPr>
          <w:p>
            <w:pPr>
              <w:spacing w:line="240" w:lineRule="exact"/>
              <w:jc w:val="center"/>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7</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100%以下（含）计满分，每超出1%扣1分，扣完为止。</w:t>
            </w:r>
          </w:p>
        </w:tc>
        <w:tc>
          <w:tcPr>
            <w:tcW w:w="2673"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“三公经费”控制率=（“三公经费”实际支出数/“三公经费”预算安排数）×100%。</w:t>
            </w:r>
          </w:p>
        </w:tc>
        <w:tc>
          <w:tcPr>
            <w:tcW w:w="595" w:type="dxa"/>
            <w:tcBorders>
              <w:tl2br w:val="nil"/>
              <w:tr2bl w:val="nil"/>
            </w:tcBorders>
            <w:vAlign w:val="center"/>
          </w:tcPr>
          <w:p>
            <w:pPr>
              <w:spacing w:line="240" w:lineRule="exact"/>
              <w:jc w:val="center"/>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政府采购执行率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100%计满分，每超过（降低）5%扣2分。扣完为止。</w:t>
            </w:r>
          </w:p>
        </w:tc>
        <w:tc>
          <w:tcPr>
            <w:tcW w:w="2673" w:type="dxa"/>
            <w:gridSpan w:val="3"/>
            <w:tcBorders>
              <w:tl2br w:val="nil"/>
              <w:tr2bl w:val="nil"/>
            </w:tcBorders>
            <w:vAlign w:val="center"/>
          </w:tcPr>
          <w:p>
            <w:pPr>
              <w:spacing w:line="24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政府采购执行率=（实际政府采购金额/政府采购预算数）×100%</w:t>
            </w:r>
          </w:p>
        </w:tc>
        <w:tc>
          <w:tcPr>
            <w:tcW w:w="595" w:type="dxa"/>
            <w:tcBorders>
              <w:tl2br w:val="nil"/>
              <w:tr2bl w:val="nil"/>
            </w:tcBorders>
            <w:vAlign w:val="center"/>
          </w:tcPr>
          <w:p>
            <w:pPr>
              <w:spacing w:line="24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kern w:val="0"/>
                <w:sz w:val="18"/>
                <w:szCs w:val="18"/>
              </w:rPr>
              <w:t>　0</w:t>
            </w:r>
            <w:r>
              <w:rPr>
                <w:rFonts w:hint="eastAsia" w:asciiTheme="minorEastAsia" w:hAnsiTheme="minorEastAsia" w:eastAsiaTheme="minorEastAsia" w:cstheme="minorEastAsia"/>
                <w:kern w:val="0"/>
                <w:sz w:val="18"/>
                <w:szCs w:val="18"/>
                <w:shd w:val="clear" w:color="auto" w:fill="FFFFFF"/>
              </w:rPr>
              <w:fldChar w:fldCharType="begin">
                <w:fldData xml:space="preserve">QQAyADgAOAA0ADIANgBBAEUANwBDADYANABEADMARABCADQAQgA1ADEAQgAzAEIAQgBBAEIARAAy
ADcARQAzAA==
</w:fldData>
              </w:fldChar>
            </w:r>
            <w:r>
              <w:rPr>
                <w:rFonts w:hint="eastAsia" w:asciiTheme="minorEastAsia" w:hAnsiTheme="minorEastAsia" w:eastAsiaTheme="minorEastAsia" w:cstheme="minorEastAsia"/>
                <w:kern w:val="0"/>
                <w:sz w:val="18"/>
                <w:szCs w:val="18"/>
                <w:shd w:val="clear" w:color="auto" w:fill="FFFFFF"/>
              </w:rPr>
              <w:instrText xml:space="preserve">Addin PF9</w:instrText>
            </w:r>
            <w:r>
              <w:rPr>
                <w:rFonts w:hint="eastAsia" w:asciiTheme="minorEastAsia" w:hAnsiTheme="minorEastAsia" w:eastAsiaTheme="minorEastAsia" w:cstheme="minorEastAsia"/>
                <w:kern w:val="0"/>
                <w:sz w:val="18"/>
                <w:szCs w:val="18"/>
                <w:shd w:val="clear" w:color="auto" w:fill="FFFFFF"/>
              </w:rPr>
              <w:fldChar w:fldCharType="end"/>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2016" w:hRule="atLeast"/>
          <w:jc w:val="center"/>
        </w:trPr>
        <w:tc>
          <w:tcPr>
            <w:tcW w:w="503" w:type="dxa"/>
            <w:vMerge w:val="continue"/>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管理制度健全性</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483" w:type="dxa"/>
            <w:gridSpan w:val="4"/>
            <w:tcBorders>
              <w:tl2br w:val="nil"/>
              <w:tr2bl w:val="nil"/>
            </w:tcBorders>
            <w:vAlign w:val="center"/>
          </w:tcPr>
          <w:p>
            <w:pPr>
              <w:spacing w:line="26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①有内部财务管理制度、会计核算制度等管理制度，2分；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②有本部门厉行节约制度,2分；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③相关管理制度合法、合规、完整，2分；④相关管理制度得到有效执行，2分。</w:t>
            </w:r>
          </w:p>
        </w:tc>
        <w:tc>
          <w:tcPr>
            <w:tcW w:w="2673" w:type="dxa"/>
            <w:gridSpan w:val="3"/>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w:t>
            </w:r>
          </w:p>
        </w:tc>
        <w:tc>
          <w:tcPr>
            <w:tcW w:w="595" w:type="dxa"/>
            <w:tcBorders>
              <w:tl2br w:val="nil"/>
              <w:tr2bl w:val="nil"/>
            </w:tcBorders>
            <w:vAlign w:val="center"/>
          </w:tcPr>
          <w:p>
            <w:pPr>
              <w:spacing w:line="280" w:lineRule="exact"/>
              <w:jc w:val="center"/>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2485" w:hRule="atLeast"/>
          <w:jc w:val="center"/>
        </w:trPr>
        <w:tc>
          <w:tcPr>
            <w:tcW w:w="503" w:type="dxa"/>
            <w:vMerge w:val="restart"/>
            <w:tcBorders>
              <w:tl2br w:val="nil"/>
              <w:tr2bl w:val="nil"/>
            </w:tcBorders>
            <w:vAlign w:val="center"/>
          </w:tcPr>
          <w:p>
            <w:pPr>
              <w:spacing w:line="24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过</w:t>
            </w:r>
          </w:p>
          <w:p>
            <w:pPr>
              <w:spacing w:line="240" w:lineRule="exact"/>
              <w:jc w:val="center"/>
              <w:rPr>
                <w:rFonts w:asciiTheme="minorEastAsia" w:hAnsiTheme="minorEastAsia" w:eastAsiaTheme="minorEastAsia" w:cstheme="minorEastAsia"/>
                <w:kern w:val="0"/>
                <w:sz w:val="18"/>
                <w:szCs w:val="18"/>
              </w:rPr>
            </w:pPr>
          </w:p>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程</w:t>
            </w:r>
          </w:p>
        </w:tc>
        <w:tc>
          <w:tcPr>
            <w:tcW w:w="503" w:type="dxa"/>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60</w:t>
            </w:r>
          </w:p>
        </w:tc>
        <w:tc>
          <w:tcPr>
            <w:tcW w:w="503" w:type="dxa"/>
            <w:gridSpan w:val="2"/>
            <w:vMerge w:val="restart"/>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预算管理</w:t>
            </w:r>
          </w:p>
        </w:tc>
        <w:tc>
          <w:tcPr>
            <w:tcW w:w="503" w:type="dxa"/>
            <w:gridSpan w:val="2"/>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40</w:t>
            </w: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资金使用合规性</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6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①支出符合国家财经法规和财务管理制度规定以及有关专项资金管理办法的规定；②资金拨付有完整的审批程序和手续；③项目支出按规定经过评估论证；④支出符合部门预算批复的用途；⑤资金使用无截留、挤占、挪用、虚列支出等情况。</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以上情况每出现一例不符合要求的扣1分，扣完为止。</w:t>
            </w:r>
          </w:p>
        </w:tc>
        <w:tc>
          <w:tcPr>
            <w:tcW w:w="2673" w:type="dxa"/>
            <w:gridSpan w:val="3"/>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w:t>
            </w:r>
          </w:p>
        </w:tc>
        <w:tc>
          <w:tcPr>
            <w:tcW w:w="595" w:type="dxa"/>
            <w:tcBorders>
              <w:tl2br w:val="nil"/>
              <w:tr2bl w:val="nil"/>
            </w:tcBorders>
            <w:vAlign w:val="center"/>
          </w:tcPr>
          <w:p>
            <w:pPr>
              <w:spacing w:line="280" w:lineRule="exact"/>
              <w:jc w:val="center"/>
              <w:rPr>
                <w:rFonts w:hint="eastAsia" w:asciiTheme="minorEastAsia" w:hAnsiTheme="minorEastAsia" w:eastAsiaTheme="minorEastAsia" w:cstheme="minorEastAsia"/>
                <w:color w:val="000000"/>
                <w:kern w:val="0"/>
                <w:sz w:val="18"/>
                <w:szCs w:val="18"/>
                <w:lang w:eastAsia="zh-CN"/>
              </w:rPr>
            </w:pPr>
            <w:r>
              <w:rPr>
                <w:rFonts w:hint="eastAsia" w:asciiTheme="minorEastAsia" w:hAnsiTheme="minorEastAsia" w:eastAsiaTheme="minorEastAsia" w:cstheme="minorEastAsia"/>
                <w:color w:val="000000"/>
                <w:kern w:val="0"/>
                <w:sz w:val="18"/>
                <w:szCs w:val="18"/>
                <w:lang w:val="en-US" w:eastAsia="zh-CN"/>
              </w:rPr>
              <w:t>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865" w:hRule="atLeast"/>
          <w:jc w:val="center"/>
        </w:trPr>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预决算信息公开性</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6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xml:space="preserve">①按规定内容公开预决算信息，1分；②按规定时限公开预决算信息，1分；③基础数据信息和会计信息资料真实，1分；④基础数据信息和会计信息资料完整，1分；⑤基础数据信息和汇集信息资料准确，1分。  </w:t>
            </w:r>
          </w:p>
        </w:tc>
        <w:tc>
          <w:tcPr>
            <w:tcW w:w="2673" w:type="dxa"/>
            <w:gridSpan w:val="3"/>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预决算信息是指与部门预算、执行、决算、监督、绩效等管理相关的信息。</w:t>
            </w:r>
          </w:p>
        </w:tc>
        <w:tc>
          <w:tcPr>
            <w:tcW w:w="595" w:type="dxa"/>
            <w:tcBorders>
              <w:tl2br w:val="nil"/>
              <w:tr2bl w:val="nil"/>
            </w:tcBorders>
            <w:vAlign w:val="center"/>
          </w:tcPr>
          <w:p>
            <w:pPr>
              <w:spacing w:line="280" w:lineRule="exact"/>
              <w:jc w:val="center"/>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735" w:hRule="atLeast"/>
          <w:jc w:val="center"/>
        </w:trPr>
        <w:tc>
          <w:tcPr>
            <w:tcW w:w="503" w:type="dxa"/>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产出及效率</w:t>
            </w:r>
          </w:p>
        </w:tc>
        <w:tc>
          <w:tcPr>
            <w:tcW w:w="503" w:type="dxa"/>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30</w:t>
            </w:r>
          </w:p>
        </w:tc>
        <w:tc>
          <w:tcPr>
            <w:tcW w:w="50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职责履行</w:t>
            </w:r>
          </w:p>
        </w:tc>
        <w:tc>
          <w:tcPr>
            <w:tcW w:w="50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重点工作实际完成率</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483" w:type="dxa"/>
            <w:gridSpan w:val="4"/>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根据履职情况，结合绩效目标和项目性质，对重点工作计划完成、产出质量、产出时效和有关成本控制情况评价，实现70%以上得4分，70%以下不得分。</w:t>
            </w:r>
          </w:p>
        </w:tc>
        <w:tc>
          <w:tcPr>
            <w:tcW w:w="2673" w:type="dxa"/>
            <w:gridSpan w:val="3"/>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w:t>
            </w:r>
          </w:p>
        </w:tc>
        <w:tc>
          <w:tcPr>
            <w:tcW w:w="595" w:type="dxa"/>
            <w:tcBorders>
              <w:tl2br w:val="nil"/>
              <w:tr2bl w:val="nil"/>
            </w:tcBorders>
            <w:vAlign w:val="center"/>
          </w:tcPr>
          <w:p>
            <w:pPr>
              <w:spacing w:line="280" w:lineRule="exact"/>
              <w:jc w:val="center"/>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754" w:hRule="atLeast"/>
          <w:jc w:val="center"/>
        </w:trPr>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履职 效益</w:t>
            </w:r>
          </w:p>
        </w:tc>
        <w:tc>
          <w:tcPr>
            <w:tcW w:w="503" w:type="dxa"/>
            <w:gridSpan w:val="2"/>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经济</w:t>
            </w:r>
          </w:p>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效益</w:t>
            </w:r>
          </w:p>
        </w:tc>
        <w:tc>
          <w:tcPr>
            <w:tcW w:w="517" w:type="dxa"/>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2483" w:type="dxa"/>
            <w:gridSpan w:val="4"/>
            <w:vMerge w:val="restart"/>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此两项指标为设置部门整体支出绩效评价指标时必须考虑的共性要素，可根据部门实际情况有选择的进行设置，并将其细化为相应的个性化指标。</w:t>
            </w:r>
          </w:p>
        </w:tc>
        <w:tc>
          <w:tcPr>
            <w:tcW w:w="2673" w:type="dxa"/>
            <w:gridSpan w:val="3"/>
            <w:vMerge w:val="restart"/>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p>
        </w:tc>
        <w:tc>
          <w:tcPr>
            <w:tcW w:w="595" w:type="dxa"/>
            <w:vMerge w:val="restart"/>
            <w:tcBorders>
              <w:tl2br w:val="nil"/>
              <w:tr2bl w:val="nil"/>
            </w:tcBorders>
            <w:vAlign w:val="center"/>
          </w:tcPr>
          <w:p>
            <w:pPr>
              <w:spacing w:line="280" w:lineRule="exact"/>
              <w:jc w:val="center"/>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669" w:hRule="atLeast"/>
          <w:jc w:val="center"/>
        </w:trPr>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w:t>
            </w:r>
          </w:p>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效益</w:t>
            </w:r>
          </w:p>
        </w:tc>
        <w:tc>
          <w:tcPr>
            <w:tcW w:w="517"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2483" w:type="dxa"/>
            <w:gridSpan w:val="4"/>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2673" w:type="dxa"/>
            <w:gridSpan w:val="3"/>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95" w:type="dxa"/>
            <w:vMerge w:val="continue"/>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584" w:hRule="atLeast"/>
          <w:jc w:val="center"/>
        </w:trPr>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restart"/>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12</w:t>
            </w: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行政</w:t>
            </w:r>
          </w:p>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效能</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促进部门改进文风会风，加强经费及资产管理，推动网上办事，提高行政效率，降低行政成本效果较好的计6分；一般3分；无效果或者效果不明显0分。</w:t>
            </w:r>
          </w:p>
        </w:tc>
        <w:tc>
          <w:tcPr>
            <w:tcW w:w="2673" w:type="dxa"/>
            <w:gridSpan w:val="3"/>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根据部门自评材料评定。</w:t>
            </w:r>
          </w:p>
        </w:tc>
        <w:tc>
          <w:tcPr>
            <w:tcW w:w="595" w:type="dxa"/>
            <w:tcBorders>
              <w:tl2br w:val="nil"/>
              <w:tr2bl w:val="nil"/>
            </w:tcBorders>
            <w:vAlign w:val="center"/>
          </w:tcPr>
          <w:p>
            <w:pPr>
              <w:spacing w:line="280" w:lineRule="exact"/>
              <w:jc w:val="center"/>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584" w:hRule="atLeast"/>
          <w:jc w:val="center"/>
        </w:trPr>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503" w:type="dxa"/>
            <w:gridSpan w:val="2"/>
            <w:vMerge w:val="continue"/>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社会公众或服务对象满意度</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90%（含）以上计6分；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80%（含）-90%，计4分；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70%（含）-80%，计2分；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低于70%计0分。</w:t>
            </w:r>
          </w:p>
        </w:tc>
        <w:tc>
          <w:tcPr>
            <w:tcW w:w="2673" w:type="dxa"/>
            <w:gridSpan w:val="3"/>
            <w:tcBorders>
              <w:tl2br w:val="nil"/>
              <w:tr2bl w:val="nil"/>
            </w:tcBorders>
            <w:vAlign w:val="center"/>
          </w:tcPr>
          <w:p>
            <w:pPr>
              <w:spacing w:line="280" w:lineRule="exact"/>
              <w:jc w:val="left"/>
              <w:rPr>
                <w:rFonts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社会公众或服务对象是指部门（单位）履行职责而影响到的部门、群体或个人，一般采取社会调查的方式。</w:t>
            </w:r>
          </w:p>
        </w:tc>
        <w:tc>
          <w:tcPr>
            <w:tcW w:w="595" w:type="dxa"/>
            <w:tcBorders>
              <w:tl2br w:val="nil"/>
              <w:tr2bl w:val="nil"/>
            </w:tcBorders>
            <w:vAlign w:val="center"/>
          </w:tcPr>
          <w:p>
            <w:pPr>
              <w:spacing w:line="280" w:lineRule="exact"/>
              <w:jc w:val="left"/>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kern w:val="0"/>
                <w:sz w:val="18"/>
                <w:szCs w:val="18"/>
              </w:rPr>
              <w:t>　6</w:t>
            </w:r>
            <w:r>
              <w:rPr>
                <w:rFonts w:hint="eastAsia" w:asciiTheme="minorEastAsia" w:hAnsiTheme="minorEastAsia" w:eastAsiaTheme="minorEastAsia" w:cstheme="minorEastAsia"/>
                <w:kern w:val="0"/>
                <w:sz w:val="18"/>
                <w:szCs w:val="18"/>
                <w:shd w:val="clear" w:color="auto" w:fill="FFFFFF"/>
              </w:rPr>
              <w:fldChar w:fldCharType="begin">
                <w:fldData xml:space="preserve">QgAzADUAMgBGADUAMgBDADkAMAAzADAANAA1ADMAOABCADAARgA0ADAANAA5AEEAOQA0AEUAMgA0
ADQARQAxAA==
</w:fldData>
              </w:fldChar>
            </w:r>
            <w:r>
              <w:rPr>
                <w:rFonts w:hint="eastAsia" w:asciiTheme="minorEastAsia" w:hAnsiTheme="minorEastAsia" w:eastAsiaTheme="minorEastAsia" w:cstheme="minorEastAsia"/>
                <w:kern w:val="0"/>
                <w:sz w:val="18"/>
                <w:szCs w:val="18"/>
                <w:shd w:val="clear" w:color="auto" w:fill="FFFFFF"/>
              </w:rPr>
              <w:instrText xml:space="preserve">Addin PF16</w:instrText>
            </w:r>
            <w:r>
              <w:rPr>
                <w:rFonts w:hint="eastAsia" w:asciiTheme="minorEastAsia" w:hAnsiTheme="minorEastAsia" w:eastAsiaTheme="minorEastAsia" w:cstheme="minorEastAsia"/>
                <w:kern w:val="0"/>
                <w:sz w:val="18"/>
                <w:szCs w:val="18"/>
                <w:shd w:val="clear" w:color="auto" w:fill="FFFFFF"/>
              </w:rPr>
              <w:fldChar w:fldCharType="end"/>
            </w:r>
          </w:p>
        </w:tc>
      </w:tr>
    </w:tbl>
    <w:p>
      <w:pPr>
        <w:adjustRightInd w:val="0"/>
        <w:snapToGrid w:val="0"/>
        <w:spacing w:line="600" w:lineRule="exact"/>
        <w:jc w:val="center"/>
        <w:rPr>
          <w:rFonts w:ascii="Times New Roman" w:hAnsi="Times New Roman" w:eastAsia="方正小标宋简体"/>
          <w:bCs/>
          <w:color w:val="000000"/>
          <w:kern w:val="0"/>
          <w:sz w:val="36"/>
          <w:szCs w:val="36"/>
        </w:rPr>
      </w:pPr>
      <w:r>
        <w:rPr>
          <w:rFonts w:hint="eastAsia" w:ascii="Times New Roman" w:hAnsi="Times New Roman" w:eastAsia="方正小标宋简体"/>
          <w:bCs/>
          <w:color w:val="000000"/>
          <w:kern w:val="0"/>
          <w:sz w:val="36"/>
          <w:szCs w:val="36"/>
        </w:rPr>
        <w:t>9</w:t>
      </w:r>
      <w:r>
        <w:rPr>
          <w:rFonts w:hint="eastAsia" w:ascii="Times New Roman" w:hAnsi="Times New Roman" w:eastAsia="方正小标宋简体"/>
          <w:bCs/>
          <w:color w:val="000000"/>
          <w:kern w:val="0"/>
          <w:sz w:val="36"/>
          <w:szCs w:val="36"/>
          <w:lang w:val="en-US" w:eastAsia="zh-CN"/>
        </w:rPr>
        <w:t>1</w:t>
      </w:r>
      <w:r>
        <w:rPr>
          <w:rFonts w:hint="eastAsia" w:ascii="Times New Roman" w:hAnsi="Times New Roman" w:eastAsia="方正小标宋简体"/>
          <w:bCs/>
          <w:color w:val="000000"/>
          <w:kern w:val="0"/>
          <w:sz w:val="36"/>
          <w:szCs w:val="36"/>
        </w:rPr>
        <w:t>分</w:t>
      </w:r>
    </w:p>
    <w:p>
      <w:pPr>
        <w:adjustRightInd w:val="0"/>
        <w:snapToGrid w:val="0"/>
        <w:spacing w:line="600" w:lineRule="exact"/>
        <w:jc w:val="center"/>
        <w:rPr>
          <w:rFonts w:ascii="Times New Roman" w:hAnsi="Times New Roman" w:eastAsia="方正小标宋简体"/>
          <w:bCs/>
          <w:color w:val="000000"/>
          <w:kern w:val="0"/>
          <w:sz w:val="36"/>
          <w:szCs w:val="36"/>
        </w:rPr>
      </w:pPr>
    </w:p>
    <w:p>
      <w:pPr>
        <w:spacing w:line="600" w:lineRule="exact"/>
        <w:jc w:val="center"/>
        <w:rPr>
          <w:rFonts w:ascii="Times New Roman" w:hAnsi="Times New Roman" w:eastAsia="方正小标宋简体"/>
          <w:sz w:val="36"/>
          <w:szCs w:val="36"/>
        </w:rPr>
      </w:pPr>
    </w:p>
    <w:p>
      <w:pPr>
        <w:spacing w:line="600" w:lineRule="exact"/>
        <w:jc w:val="center"/>
        <w:rPr>
          <w:rFonts w:ascii="Times New Roman" w:hAnsi="Times New Roman" w:eastAsia="方正小标宋简体"/>
          <w:sz w:val="36"/>
          <w:szCs w:val="36"/>
        </w:rPr>
      </w:pPr>
    </w:p>
    <w:p>
      <w:pPr>
        <w:spacing w:line="600" w:lineRule="exact"/>
        <w:jc w:val="center"/>
        <w:rPr>
          <w:rFonts w:ascii="Times New Roman" w:hAnsi="Times New Roman" w:eastAsia="方正小标宋简体"/>
          <w:sz w:val="36"/>
          <w:szCs w:val="36"/>
        </w:rPr>
      </w:pPr>
      <w:r>
        <w:rPr>
          <w:rFonts w:hint="eastAsia" w:ascii="方正小标宋_GBK" w:hAnsi="方正小标宋_GBK" w:eastAsia="方正小标宋_GBK" w:cs="方正小标宋_GBK"/>
          <w:sz w:val="36"/>
          <w:szCs w:val="36"/>
        </w:rPr>
        <w:t>20</w:t>
      </w:r>
      <w:r>
        <w:rPr>
          <w:rFonts w:hint="eastAsia" w:ascii="方正小标宋_GBK" w:hAnsi="方正小标宋_GBK" w:eastAsia="方正小标宋_GBK" w:cs="方正小标宋_GBK"/>
          <w:sz w:val="36"/>
          <w:szCs w:val="36"/>
          <w:lang w:val="en-US" w:eastAsia="zh-CN"/>
        </w:rPr>
        <w:t>20</w:t>
      </w:r>
      <w:r>
        <w:rPr>
          <w:rFonts w:hint="eastAsia" w:ascii="方正小标宋_GBK" w:hAnsi="方正小标宋_GBK" w:eastAsia="方正小标宋_GBK" w:cs="方正小标宋_GBK"/>
          <w:sz w:val="36"/>
          <w:szCs w:val="36"/>
        </w:rPr>
        <w:t>年度长沙市公安局望城分局部门整体支出预算绩效</w:t>
      </w:r>
      <w:r>
        <w:rPr>
          <w:rFonts w:ascii="Times New Roman" w:hAnsi="Times New Roman" w:eastAsia="方正小标宋简体"/>
          <w:sz w:val="36"/>
          <w:szCs w:val="36"/>
        </w:rPr>
        <w:t>自评报告</w:t>
      </w:r>
    </w:p>
    <w:p>
      <w:pPr>
        <w:spacing w:line="600" w:lineRule="exact"/>
        <w:jc w:val="center"/>
        <w:rPr>
          <w:rFonts w:ascii="Times New Roman" w:hAnsi="Times New Roman"/>
        </w:rPr>
      </w:pPr>
    </w:p>
    <w:p>
      <w:pPr>
        <w:numPr>
          <w:ilvl w:val="0"/>
          <w:numId w:val="1"/>
        </w:numPr>
        <w:spacing w:line="600" w:lineRule="exact"/>
        <w:ind w:firstLine="600" w:firstLineChars="200"/>
        <w:rPr>
          <w:rFonts w:ascii="Times New Roman" w:hAnsi="Times New Roman" w:eastAsia="黑体"/>
          <w:sz w:val="30"/>
        </w:rPr>
      </w:pPr>
      <w:r>
        <w:rPr>
          <w:rFonts w:ascii="Times New Roman" w:hAnsi="Times New Roman" w:eastAsia="黑体"/>
          <w:sz w:val="30"/>
        </w:rPr>
        <w:t>部门（单位）基本情况</w:t>
      </w:r>
    </w:p>
    <w:p>
      <w:pPr>
        <w:spacing w:line="600" w:lineRule="exact"/>
        <w:ind w:firstLine="600" w:firstLineChars="200"/>
        <w:rPr>
          <w:rFonts w:hAnsi="仿宋_GB2312" w:cs="仿宋_GB2312"/>
          <w:sz w:val="30"/>
          <w:szCs w:val="30"/>
        </w:rPr>
      </w:pPr>
      <w:r>
        <w:rPr>
          <w:rFonts w:hint="eastAsia" w:hAnsi="仿宋_GB2312" w:cs="仿宋_GB2312"/>
          <w:sz w:val="30"/>
          <w:szCs w:val="30"/>
        </w:rPr>
        <w:t>我局为正科级财政全额拨款行政单位，</w:t>
      </w:r>
      <w:r>
        <w:rPr>
          <w:rFonts w:hAnsi="仿宋_GB2312" w:cs="仿宋_GB2312"/>
          <w:sz w:val="30"/>
          <w:szCs w:val="30"/>
        </w:rPr>
        <w:t>20</w:t>
      </w:r>
      <w:r>
        <w:rPr>
          <w:rFonts w:hint="eastAsia" w:hAnsi="仿宋_GB2312" w:cs="仿宋_GB2312"/>
          <w:sz w:val="30"/>
          <w:szCs w:val="30"/>
          <w:lang w:val="en-US" w:eastAsia="zh-CN"/>
        </w:rPr>
        <w:t>20</w:t>
      </w:r>
      <w:r>
        <w:rPr>
          <w:rFonts w:hint="eastAsia" w:hAnsi="仿宋_GB2312" w:cs="仿宋_GB2312"/>
          <w:sz w:val="30"/>
          <w:szCs w:val="30"/>
        </w:rPr>
        <w:t>年人员在职编制数348人，实际在职人员1248人</w:t>
      </w:r>
      <w:r>
        <w:rPr>
          <w:rFonts w:hint="eastAsia" w:hAnsi="仿宋_GB2312" w:cs="仿宋_GB2312"/>
          <w:sz w:val="30"/>
          <w:szCs w:val="30"/>
          <w:lang w:eastAsia="zh-CN"/>
        </w:rPr>
        <w:t>（</w:t>
      </w:r>
      <w:r>
        <w:rPr>
          <w:rFonts w:hint="eastAsia" w:hAnsi="仿宋_GB2312" w:cs="仿宋_GB2312"/>
          <w:sz w:val="30"/>
          <w:szCs w:val="30"/>
        </w:rPr>
        <w:t>其中辅警774人</w:t>
      </w:r>
      <w:r>
        <w:rPr>
          <w:rFonts w:hint="eastAsia" w:hAnsi="仿宋_GB2312" w:cs="仿宋_GB2312"/>
          <w:sz w:val="30"/>
          <w:szCs w:val="30"/>
          <w:lang w:eastAsia="zh-CN"/>
        </w:rPr>
        <w:t>）。</w:t>
      </w:r>
      <w:bookmarkStart w:id="0" w:name="_GoBack"/>
      <w:bookmarkEnd w:id="0"/>
      <w:r>
        <w:rPr>
          <w:rFonts w:hint="eastAsia" w:hAnsi="仿宋_GB2312" w:cs="仿宋_GB2312"/>
          <w:sz w:val="30"/>
          <w:szCs w:val="30"/>
        </w:rPr>
        <w:t>全局共</w:t>
      </w:r>
      <w:r>
        <w:rPr>
          <w:rFonts w:hAnsi="仿宋_GB2312" w:cs="仿宋_GB2312"/>
          <w:sz w:val="30"/>
          <w:szCs w:val="30"/>
        </w:rPr>
        <w:t>35</w:t>
      </w:r>
      <w:r>
        <w:rPr>
          <w:rFonts w:hint="eastAsia" w:hAnsi="仿宋_GB2312" w:cs="仿宋_GB2312"/>
          <w:sz w:val="30"/>
          <w:szCs w:val="30"/>
        </w:rPr>
        <w:t>个科室所队，其中</w:t>
      </w:r>
      <w:r>
        <w:rPr>
          <w:rFonts w:hAnsi="仿宋_GB2312" w:cs="仿宋_GB2312"/>
          <w:sz w:val="30"/>
          <w:szCs w:val="30"/>
        </w:rPr>
        <w:t>5</w:t>
      </w:r>
      <w:r>
        <w:rPr>
          <w:rFonts w:hint="eastAsia" w:hAnsi="仿宋_GB2312" w:cs="仿宋_GB2312"/>
          <w:sz w:val="30"/>
          <w:szCs w:val="30"/>
        </w:rPr>
        <w:t>个科室（办公室、政工室、警保室、督察及纪检组、警卫科），</w:t>
      </w:r>
      <w:r>
        <w:rPr>
          <w:rFonts w:hAnsi="仿宋_GB2312" w:cs="仿宋_GB2312"/>
          <w:sz w:val="30"/>
          <w:szCs w:val="30"/>
        </w:rPr>
        <w:t>12</w:t>
      </w:r>
      <w:r>
        <w:rPr>
          <w:rFonts w:hint="eastAsia" w:hAnsi="仿宋_GB2312" w:cs="仿宋_GB2312"/>
          <w:sz w:val="30"/>
          <w:szCs w:val="30"/>
        </w:rPr>
        <w:t>个大队（法制、巡特警、刑侦、治安、经侦、国保、禁毒、交警、内保、网络安全保卫、人口与出入境、食药环），</w:t>
      </w:r>
      <w:r>
        <w:rPr>
          <w:rFonts w:hAnsi="仿宋_GB2312" w:cs="仿宋_GB2312"/>
          <w:sz w:val="30"/>
          <w:szCs w:val="30"/>
        </w:rPr>
        <w:t>16</w:t>
      </w:r>
      <w:r>
        <w:rPr>
          <w:rFonts w:hint="eastAsia" w:hAnsi="仿宋_GB2312" w:cs="仿宋_GB2312"/>
          <w:sz w:val="30"/>
          <w:szCs w:val="30"/>
        </w:rPr>
        <w:t>个行政派出所（高塘、乌山、黄金、白箬、星城、桥驿、丁字、铜官、茶亭、月亮岛、格塘、靖港、乔口、新康、同兴、水上），</w:t>
      </w:r>
      <w:r>
        <w:rPr>
          <w:rFonts w:hAnsi="仿宋_GB2312" w:cs="仿宋_GB2312"/>
          <w:sz w:val="30"/>
          <w:szCs w:val="30"/>
        </w:rPr>
        <w:t>1</w:t>
      </w:r>
      <w:r>
        <w:rPr>
          <w:rFonts w:hint="eastAsia" w:hAnsi="仿宋_GB2312" w:cs="仿宋_GB2312"/>
          <w:sz w:val="30"/>
          <w:szCs w:val="30"/>
        </w:rPr>
        <w:t>个看守所，</w:t>
      </w:r>
      <w:r>
        <w:rPr>
          <w:rFonts w:hAnsi="仿宋_GB2312" w:cs="仿宋_GB2312"/>
          <w:sz w:val="30"/>
          <w:szCs w:val="30"/>
        </w:rPr>
        <w:t>1</w:t>
      </w:r>
      <w:r>
        <w:rPr>
          <w:rFonts w:hint="eastAsia" w:hAnsi="仿宋_GB2312" w:cs="仿宋_GB2312"/>
          <w:sz w:val="30"/>
          <w:szCs w:val="30"/>
        </w:rPr>
        <w:t>个拘留所。</w:t>
      </w:r>
    </w:p>
    <w:p>
      <w:pPr>
        <w:spacing w:line="600" w:lineRule="exact"/>
        <w:ind w:firstLine="600" w:firstLineChars="200"/>
        <w:rPr>
          <w:rFonts w:ascii="Times New Roman" w:hAnsi="Times New Roman" w:eastAsia="黑体"/>
          <w:sz w:val="30"/>
        </w:rPr>
      </w:pPr>
      <w:r>
        <w:rPr>
          <w:rFonts w:hint="eastAsia" w:ascii="Times New Roman" w:hAnsi="Times New Roman" w:eastAsia="黑体"/>
          <w:sz w:val="30"/>
        </w:rPr>
        <w:t>二、</w:t>
      </w:r>
      <w:r>
        <w:rPr>
          <w:rFonts w:ascii="Times New Roman" w:hAnsi="Times New Roman" w:eastAsia="黑体"/>
          <w:sz w:val="30"/>
        </w:rPr>
        <w:t>部门（单位）预算管理及执行情况</w:t>
      </w:r>
    </w:p>
    <w:p>
      <w:pPr>
        <w:ind w:firstLine="600" w:firstLineChars="200"/>
        <w:rPr>
          <w:rFonts w:hAnsi="仿宋_GB2312" w:cs="仿宋_GB2312"/>
          <w:sz w:val="30"/>
          <w:szCs w:val="30"/>
        </w:rPr>
      </w:pPr>
      <w:r>
        <w:rPr>
          <w:rFonts w:hint="eastAsia" w:hAnsi="仿宋_GB2312" w:cs="仿宋_GB2312"/>
          <w:sz w:val="30"/>
          <w:szCs w:val="30"/>
        </w:rPr>
        <w:t>分局制定了《</w:t>
      </w:r>
      <w:r>
        <w:rPr>
          <w:rFonts w:hint="eastAsia" w:hAnsi="仿宋_GB2312" w:cs="仿宋_GB2312"/>
          <w:sz w:val="30"/>
          <w:szCs w:val="30"/>
          <w:lang w:eastAsia="zh-CN"/>
        </w:rPr>
        <w:t>长沙市公安局望城分局</w:t>
      </w:r>
      <w:r>
        <w:rPr>
          <w:rFonts w:hint="eastAsia" w:hAnsi="仿宋_GB2312" w:cs="仿宋_GB2312"/>
          <w:sz w:val="30"/>
          <w:szCs w:val="30"/>
        </w:rPr>
        <w:t>20</w:t>
      </w:r>
      <w:r>
        <w:rPr>
          <w:rFonts w:hint="eastAsia" w:hAnsi="仿宋_GB2312" w:cs="仿宋_GB2312"/>
          <w:sz w:val="30"/>
          <w:szCs w:val="30"/>
          <w:lang w:val="en-US" w:eastAsia="zh-CN"/>
        </w:rPr>
        <w:t>20</w:t>
      </w:r>
      <w:r>
        <w:rPr>
          <w:rFonts w:hint="eastAsia" w:hAnsi="仿宋_GB2312" w:cs="仿宋_GB2312"/>
          <w:sz w:val="30"/>
          <w:szCs w:val="30"/>
        </w:rPr>
        <w:t>年度财务管理实施办法》和《</w:t>
      </w:r>
      <w:r>
        <w:rPr>
          <w:rFonts w:hint="eastAsia" w:hAnsi="仿宋_GB2312" w:cs="仿宋_GB2312"/>
          <w:sz w:val="30"/>
          <w:szCs w:val="30"/>
          <w:lang w:eastAsia="zh-CN"/>
        </w:rPr>
        <w:t>长沙市公安局望城分局</w:t>
      </w:r>
      <w:r>
        <w:rPr>
          <w:rFonts w:hint="eastAsia" w:hAnsi="仿宋_GB2312" w:cs="仿宋_GB2312"/>
          <w:sz w:val="30"/>
          <w:szCs w:val="30"/>
        </w:rPr>
        <w:t>专项资金管理办法》，对专项资金的审批程序、拨付和使用、监督检查及绩效评价等作出了详细规定，专项资金的使用均按相关的规定执行，管理规范：</w:t>
      </w:r>
      <w:r>
        <w:rPr>
          <w:rFonts w:hint="eastAsia" w:hAnsi="仿宋_GB2312" w:cs="仿宋_GB2312"/>
        </w:rPr>
        <w:t>1.</w:t>
      </w:r>
      <w:r>
        <w:rPr>
          <w:rFonts w:hint="eastAsia" w:hAnsi="仿宋_GB2312" w:cs="仿宋_GB2312"/>
          <w:sz w:val="30"/>
          <w:szCs w:val="30"/>
        </w:rPr>
        <w:t>建立健全财务管理制度和内部控制制度，实施预算绩效管理，对财务活动进行管理和监督；2.科学合理编制部门预算，严格预算执行，完整、准确、及时编制决算，统筹安排、节约使用各项资金；3.定期编制财务报告，如实反映公安机关预算执行和财务收支等情况，进行财务活动分析；4.对下级公安机关及所属单位的财务活动进行指导、监督和检查。</w:t>
      </w:r>
    </w:p>
    <w:p>
      <w:pPr>
        <w:keepNext w:val="0"/>
        <w:keepLines w:val="0"/>
        <w:pageBreakBefore w:val="0"/>
        <w:widowControl w:val="0"/>
        <w:numPr>
          <w:ilvl w:val="0"/>
          <w:numId w:val="0"/>
        </w:numPr>
        <w:kinsoku/>
        <w:wordWrap/>
        <w:overflowPunct/>
        <w:topLinePunct w:val="0"/>
        <w:autoSpaceDE/>
        <w:autoSpaceDN/>
        <w:bidi w:val="0"/>
        <w:adjustRightInd/>
        <w:snapToGrid/>
        <w:ind w:firstLine="600" w:firstLineChars="200"/>
        <w:textAlignment w:val="auto"/>
        <w:outlineLvl w:val="9"/>
        <w:rPr>
          <w:rFonts w:ascii="Times New Roman" w:hAnsi="Times New Roman" w:eastAsia="黑体"/>
          <w:sz w:val="30"/>
        </w:rPr>
      </w:pPr>
      <w:r>
        <w:rPr>
          <w:rFonts w:hint="eastAsia" w:ascii="Times New Roman" w:hAnsi="Times New Roman" w:eastAsia="黑体"/>
          <w:sz w:val="30"/>
          <w:lang w:eastAsia="zh-CN"/>
        </w:rPr>
        <w:t>三、</w:t>
      </w:r>
      <w:r>
        <w:rPr>
          <w:rFonts w:ascii="Times New Roman" w:hAnsi="Times New Roman" w:eastAsia="黑体"/>
          <w:sz w:val="30"/>
        </w:rPr>
        <w:t>部门（单位）</w:t>
      </w:r>
      <w:r>
        <w:rPr>
          <w:rFonts w:hint="eastAsia" w:ascii="Times New Roman" w:hAnsi="Times New Roman" w:eastAsia="黑体"/>
          <w:sz w:val="30"/>
        </w:rPr>
        <w:t>资产管理情况</w:t>
      </w:r>
    </w:p>
    <w:p>
      <w:pPr>
        <w:ind w:firstLine="600" w:firstLineChars="200"/>
        <w:rPr>
          <w:rFonts w:hAnsi="仿宋_GB2312" w:cs="仿宋_GB2312"/>
          <w:sz w:val="30"/>
          <w:szCs w:val="30"/>
        </w:rPr>
      </w:pPr>
      <w:r>
        <w:rPr>
          <w:rFonts w:hint="eastAsia" w:hAnsi="仿宋_GB2312" w:cs="仿宋_GB2312"/>
          <w:sz w:val="30"/>
          <w:szCs w:val="30"/>
        </w:rPr>
        <w:t>分局加强资产管理，合理配置、有效利用、规范处置资产，防止国有资产流失。制定了全局资产管理规定，固定资产的增加、减少、划拨、转让、移交均按规定执行。201</w:t>
      </w:r>
      <w:r>
        <w:rPr>
          <w:rFonts w:hint="eastAsia" w:hAnsi="仿宋_GB2312" w:cs="仿宋_GB2312"/>
          <w:sz w:val="30"/>
          <w:szCs w:val="30"/>
          <w:lang w:val="en-US" w:eastAsia="zh-CN"/>
        </w:rPr>
        <w:t>9-2020</w:t>
      </w:r>
      <w:r>
        <w:rPr>
          <w:rFonts w:hint="eastAsia" w:hAnsi="仿宋_GB2312" w:cs="仿宋_GB2312"/>
          <w:sz w:val="30"/>
          <w:szCs w:val="30"/>
        </w:rPr>
        <w:t>年底全面开展了全局资产清查，经过清查盘点、中介机构审核归类等流程，出具了资产清查专项报告。</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00" w:firstLineChars="200"/>
        <w:textAlignment w:val="auto"/>
        <w:outlineLvl w:val="9"/>
        <w:rPr>
          <w:rFonts w:ascii="Times New Roman" w:hAnsi="Times New Roman" w:eastAsia="黑体"/>
          <w:sz w:val="30"/>
        </w:rPr>
      </w:pPr>
      <w:r>
        <w:rPr>
          <w:rFonts w:hint="eastAsia" w:ascii="Times New Roman" w:hAnsi="Times New Roman" w:eastAsia="黑体"/>
          <w:sz w:val="30"/>
          <w:lang w:eastAsia="zh-CN"/>
        </w:rPr>
        <w:t>四、</w:t>
      </w:r>
      <w:r>
        <w:rPr>
          <w:rFonts w:ascii="Times New Roman" w:hAnsi="Times New Roman" w:eastAsia="黑体"/>
          <w:sz w:val="30"/>
        </w:rPr>
        <w:t>部门（单位）整体支出绩效目标及开展情况</w:t>
      </w:r>
    </w:p>
    <w:p>
      <w:pPr>
        <w:ind w:firstLine="600" w:firstLineChars="200"/>
        <w:rPr>
          <w:rFonts w:hint="eastAsia" w:hAnsi="仿宋_GB2312" w:cs="仿宋_GB2312"/>
          <w:sz w:val="30"/>
          <w:szCs w:val="30"/>
          <w:lang w:val="en-US" w:eastAsia="zh-CN"/>
        </w:rPr>
      </w:pPr>
      <w:r>
        <w:rPr>
          <w:rFonts w:hint="eastAsia" w:hAnsi="仿宋_GB2312" w:cs="仿宋_GB2312"/>
          <w:sz w:val="30"/>
          <w:szCs w:val="30"/>
        </w:rPr>
        <w:t>20</w:t>
      </w:r>
      <w:r>
        <w:rPr>
          <w:rFonts w:hint="eastAsia" w:hAnsi="仿宋_GB2312" w:cs="仿宋_GB2312"/>
          <w:sz w:val="30"/>
          <w:szCs w:val="30"/>
          <w:lang w:val="en-US" w:eastAsia="zh-CN"/>
        </w:rPr>
        <w:t>20</w:t>
      </w:r>
      <w:r>
        <w:rPr>
          <w:rFonts w:hint="eastAsia" w:hAnsi="仿宋_GB2312" w:cs="仿宋_GB2312"/>
          <w:sz w:val="30"/>
          <w:szCs w:val="30"/>
        </w:rPr>
        <w:t>年分局总体目标是：在</w:t>
      </w:r>
      <w:r>
        <w:rPr>
          <w:rFonts w:hint="eastAsia" w:hAnsi="仿宋_GB2312" w:cs="仿宋_GB2312"/>
          <w:sz w:val="30"/>
          <w:szCs w:val="30"/>
          <w:lang w:eastAsia="zh-CN"/>
        </w:rPr>
        <w:t>区</w:t>
      </w:r>
      <w:r>
        <w:rPr>
          <w:rFonts w:hint="eastAsia" w:hAnsi="仿宋_GB2312" w:cs="仿宋_GB2312"/>
          <w:sz w:val="30"/>
          <w:szCs w:val="30"/>
        </w:rPr>
        <w:t>委、</w:t>
      </w:r>
      <w:r>
        <w:rPr>
          <w:rFonts w:hint="eastAsia" w:hAnsi="仿宋_GB2312" w:cs="仿宋_GB2312"/>
          <w:sz w:val="30"/>
          <w:szCs w:val="30"/>
          <w:lang w:eastAsia="zh-CN"/>
        </w:rPr>
        <w:t>区</w:t>
      </w:r>
      <w:r>
        <w:rPr>
          <w:rFonts w:hint="eastAsia" w:hAnsi="仿宋_GB2312" w:cs="仿宋_GB2312"/>
          <w:sz w:val="30"/>
          <w:szCs w:val="30"/>
        </w:rPr>
        <w:t>政府和</w:t>
      </w:r>
      <w:r>
        <w:rPr>
          <w:rFonts w:hint="eastAsia" w:hAnsi="仿宋_GB2312" w:cs="仿宋_GB2312"/>
          <w:sz w:val="30"/>
          <w:szCs w:val="30"/>
          <w:lang w:eastAsia="zh-CN"/>
        </w:rPr>
        <w:t>市局</w:t>
      </w:r>
      <w:r>
        <w:rPr>
          <w:rFonts w:hint="eastAsia" w:hAnsi="仿宋_GB2312" w:cs="仿宋_GB2312"/>
          <w:sz w:val="30"/>
          <w:szCs w:val="30"/>
        </w:rPr>
        <w:t>党委坚强领导下，</w:t>
      </w:r>
      <w:r>
        <w:rPr>
          <w:rFonts w:hint="eastAsia" w:hAnsi="仿宋_GB2312" w:cs="仿宋_GB2312"/>
          <w:sz w:val="30"/>
          <w:szCs w:val="30"/>
          <w:lang w:val="en-US" w:eastAsia="zh-CN"/>
        </w:rPr>
        <w:t>高举习近平新时代中国特色社会主义思想伟大旗帜，牢牢把握“对党忠诚、服务人民、执法公正、纪律严明”的总要求和“政治建警、改革强警、科技兴警、从严治警”新时代公安工作方针，深入贯彻省厅“四个大抓”“双十条”警务战略和“五个不发生”工作目标，紧紧围绕长沙公安“社会治理创新年”“数据警务深化年”“保</w:t>
      </w:r>
      <w:r>
        <w:rPr>
          <w:rFonts w:hint="eastAsia" w:hAnsi="仿宋_GB2312" w:cs="仿宋_GB2312"/>
          <w:sz w:val="30"/>
          <w:szCs w:val="30"/>
        </w:rPr>
        <w:t>障体系优化年”</w:t>
      </w:r>
      <w:r>
        <w:rPr>
          <w:rFonts w:hint="eastAsia" w:hAnsi="仿宋_GB2312" w:cs="仿宋_GB2312"/>
          <w:sz w:val="30"/>
          <w:szCs w:val="30"/>
          <w:lang w:eastAsia="zh-CN"/>
        </w:rPr>
        <w:t>目标和</w:t>
      </w:r>
      <w:r>
        <w:rPr>
          <w:rFonts w:hint="eastAsia" w:hAnsi="仿宋_GB2312" w:cs="仿宋_GB2312"/>
          <w:sz w:val="30"/>
          <w:szCs w:val="30"/>
        </w:rPr>
        <w:t>“一二三</w:t>
      </w:r>
      <w:r>
        <w:rPr>
          <w:rFonts w:hint="eastAsia" w:hAnsi="仿宋_GB2312" w:cs="仿宋_GB2312"/>
          <w:sz w:val="30"/>
          <w:szCs w:val="30"/>
          <w:lang w:eastAsia="zh-CN"/>
        </w:rPr>
        <w:t>九</w:t>
      </w:r>
      <w:r>
        <w:rPr>
          <w:rFonts w:hint="eastAsia" w:hAnsi="仿宋_GB2312" w:cs="仿宋_GB2312"/>
          <w:sz w:val="30"/>
          <w:szCs w:val="30"/>
        </w:rPr>
        <w:t>”总体思路</w:t>
      </w:r>
      <w:r>
        <w:rPr>
          <w:rFonts w:hint="eastAsia" w:hAnsi="仿宋_GB2312" w:cs="仿宋_GB2312"/>
          <w:sz w:val="30"/>
          <w:szCs w:val="30"/>
          <w:lang w:eastAsia="zh-CN"/>
        </w:rPr>
        <w:t>，</w:t>
      </w:r>
      <w:r>
        <w:rPr>
          <w:rFonts w:hint="eastAsia" w:hAnsi="仿宋_GB2312" w:cs="仿宋_GB2312"/>
          <w:sz w:val="30"/>
          <w:szCs w:val="30"/>
          <w:lang w:val="en-US" w:eastAsia="zh-CN"/>
        </w:rPr>
        <w:t>统筹推进</w:t>
      </w:r>
      <w:r>
        <w:rPr>
          <w:rFonts w:hint="eastAsia" w:hAnsi="仿宋_GB2312" w:cs="仿宋_GB2312"/>
          <w:sz w:val="30"/>
          <w:szCs w:val="30"/>
          <w:lang w:eastAsia="zh-CN"/>
        </w:rPr>
        <w:t>“一提两抓”，“一提”</w:t>
      </w:r>
      <w:r>
        <w:rPr>
          <w:rFonts w:hint="eastAsia" w:hAnsi="仿宋_GB2312" w:cs="仿宋_GB2312"/>
          <w:sz w:val="30"/>
          <w:szCs w:val="30"/>
          <w:lang w:val="en-US" w:eastAsia="zh-CN"/>
        </w:rPr>
        <w:t>即全面提升“情报指挥、风险防控、作战支撑、科技应用、交通治理、执法监督、从优保障、教育管理、从严治警”九个能力，“两抓”即坚持业务工作、队伍建设</w:t>
      </w:r>
      <w:r>
        <w:rPr>
          <w:rFonts w:hint="eastAsia" w:hAnsi="仿宋_GB2312" w:cs="仿宋_GB2312"/>
          <w:sz w:val="30"/>
          <w:szCs w:val="30"/>
          <w:lang w:eastAsia="zh-CN"/>
        </w:rPr>
        <w:t>“两手抓”，</w:t>
      </w:r>
      <w:r>
        <w:rPr>
          <w:rFonts w:hint="eastAsia" w:hAnsi="仿宋_GB2312" w:cs="仿宋_GB2312"/>
          <w:sz w:val="30"/>
          <w:szCs w:val="30"/>
          <w:lang w:val="en-US" w:eastAsia="zh-CN"/>
        </w:rPr>
        <w:t>业务工作聚焦</w:t>
      </w:r>
      <w:r>
        <w:rPr>
          <w:rFonts w:hint="eastAsia" w:hAnsi="仿宋_GB2312" w:cs="仿宋_GB2312"/>
          <w:sz w:val="30"/>
          <w:szCs w:val="30"/>
          <w:lang w:eastAsia="zh-CN"/>
        </w:rPr>
        <w:t>“防控风险、突出问题、减压发案、优化环境”抓主责主业，</w:t>
      </w:r>
      <w:r>
        <w:rPr>
          <w:rFonts w:hint="eastAsia" w:hAnsi="仿宋_GB2312" w:cs="仿宋_GB2312"/>
          <w:sz w:val="30"/>
          <w:szCs w:val="30"/>
          <w:lang w:val="en-US" w:eastAsia="zh-CN"/>
        </w:rPr>
        <w:t>队伍建设突出</w:t>
      </w:r>
      <w:r>
        <w:rPr>
          <w:rFonts w:hint="eastAsia" w:hAnsi="仿宋_GB2312" w:cs="仿宋_GB2312"/>
          <w:sz w:val="30"/>
          <w:szCs w:val="30"/>
          <w:lang w:eastAsia="zh-CN"/>
        </w:rPr>
        <w:t>“政治建警、科技创新、警示防范、规范执法”抓要素保障，</w:t>
      </w:r>
      <w:r>
        <w:rPr>
          <w:rFonts w:hint="eastAsia" w:hAnsi="仿宋_GB2312" w:cs="仿宋_GB2312"/>
          <w:sz w:val="30"/>
          <w:szCs w:val="30"/>
          <w:lang w:val="en-US" w:eastAsia="zh-CN"/>
        </w:rPr>
        <w:t>着力锻造“四个铁一般”高素质过硬公安铁军，坚决打赢防范化解重大风险攻坚战，全力推动望城公安工作现代化，为建设美丽强盛幸福的现代化新望城</w:t>
      </w:r>
      <w:r>
        <w:rPr>
          <w:rFonts w:hint="eastAsia" w:hAnsi="仿宋_GB2312" w:cs="仿宋_GB2312"/>
          <w:sz w:val="30"/>
          <w:szCs w:val="30"/>
        </w:rPr>
        <w:t>创造安全稳定政治社会环境</w:t>
      </w:r>
      <w:r>
        <w:rPr>
          <w:rFonts w:hint="eastAsia" w:hAnsi="仿宋_GB2312" w:cs="仿宋_GB2312"/>
          <w:sz w:val="30"/>
          <w:szCs w:val="30"/>
          <w:lang w:val="en-US" w:eastAsia="zh-CN"/>
        </w:rPr>
        <w:t>。</w:t>
      </w:r>
    </w:p>
    <w:p>
      <w:pPr>
        <w:spacing w:line="600" w:lineRule="exact"/>
        <w:ind w:firstLine="600" w:firstLineChars="200"/>
        <w:rPr>
          <w:rFonts w:ascii="Times New Roman" w:hAnsi="Times New Roman" w:eastAsia="黑体"/>
          <w:sz w:val="30"/>
        </w:rPr>
      </w:pPr>
      <w:r>
        <w:rPr>
          <w:rFonts w:hint="eastAsia" w:ascii="Times New Roman" w:hAnsi="Times New Roman" w:eastAsia="黑体"/>
          <w:sz w:val="30"/>
          <w:lang w:eastAsia="zh-CN"/>
        </w:rPr>
        <w:t>五</w:t>
      </w:r>
      <w:r>
        <w:rPr>
          <w:rFonts w:ascii="Times New Roman" w:hAnsi="Times New Roman" w:eastAsia="黑体"/>
          <w:sz w:val="30"/>
        </w:rPr>
        <w:t>、部门（单位）整体支出绩效实现情况</w:t>
      </w:r>
    </w:p>
    <w:p>
      <w:pPr>
        <w:ind w:firstLine="600" w:firstLineChars="200"/>
        <w:rPr>
          <w:rFonts w:hAnsi="仿宋_GB2312" w:cs="仿宋_GB2312"/>
          <w:sz w:val="30"/>
          <w:szCs w:val="30"/>
        </w:rPr>
      </w:pPr>
      <w:r>
        <w:rPr>
          <w:rFonts w:hint="eastAsia" w:hAnsi="仿宋_GB2312" w:cs="仿宋_GB2312"/>
          <w:sz w:val="30"/>
          <w:szCs w:val="30"/>
          <w:lang w:val="en-US" w:eastAsia="zh-CN"/>
        </w:rPr>
        <w:t>（一）履职完成情况：2020年，在市局和区委、区政府的坚强领导下，高举习近平新时代中国特色社会主义思想伟大旗帜，牢牢把握“对党忠诚、服务人民、执法公正、纪律严明”的总要求和“政治建警、改革强警、科技兴警、从严治警”新时代公安工作方针，深入贯彻省厅“四个大抓”“双十条”警务战略，紧紧围绕长沙公安“一二三九”总体思路，深化新时代县域警务和教育整顿“双一号工程”，围绕中心，服务大局，有效推动了公安工作与队伍建设的良性发展，实现了“发案少、秩序好、群众满意、党委政府认可”的工作目标。分局民意调查满意度连续多年排名全市前列，连续第9年被评为省级平安区县，连续第5年在市局绩效评估中评为优秀。</w:t>
      </w:r>
    </w:p>
    <w:p>
      <w:pPr>
        <w:keepNext w:val="0"/>
        <w:keepLines w:val="0"/>
        <w:pageBreakBefore w:val="0"/>
        <w:kinsoku/>
        <w:wordWrap/>
        <w:overflowPunct/>
        <w:topLinePunct w:val="0"/>
        <w:autoSpaceDE/>
        <w:autoSpaceDN/>
        <w:bidi w:val="0"/>
        <w:adjustRightInd/>
        <w:spacing w:before="0" w:beforeLines="0" w:after="0" w:afterLines="0" w:line="600" w:lineRule="exact"/>
        <w:ind w:left="0" w:leftChars="0" w:right="0" w:rightChars="0" w:firstLine="600" w:firstLineChars="200"/>
        <w:textAlignment w:val="auto"/>
        <w:outlineLvl w:val="9"/>
        <w:rPr>
          <w:rFonts w:hint="default" w:hAnsi="仿宋_GB2312" w:cs="仿宋_GB2312"/>
          <w:sz w:val="30"/>
          <w:szCs w:val="30"/>
          <w:lang w:val="en-US" w:eastAsia="zh-CN"/>
        </w:rPr>
      </w:pPr>
      <w:r>
        <w:rPr>
          <w:rFonts w:ascii="Times New Roman" w:hAnsi="Times New Roman"/>
          <w:sz w:val="30"/>
        </w:rPr>
        <w:t>（二）履职效果情况：</w:t>
      </w:r>
      <w:r>
        <w:rPr>
          <w:rFonts w:hint="eastAsia" w:hAnsi="仿宋_GB2312" w:cs="仿宋_GB2312"/>
          <w:sz w:val="30"/>
          <w:szCs w:val="30"/>
          <w:lang w:val="en-US" w:eastAsia="zh-CN"/>
        </w:rPr>
        <w:t>1</w:t>
      </w:r>
      <w:r>
        <w:rPr>
          <w:rFonts w:hint="default" w:hAnsi="仿宋_GB2312" w:cs="仿宋_GB2312"/>
          <w:sz w:val="30"/>
          <w:szCs w:val="30"/>
          <w:lang w:val="en-US" w:eastAsia="zh-CN"/>
        </w:rPr>
        <w:t>、坚持最高站位，全面抓好疫情防控</w:t>
      </w:r>
      <w:r>
        <w:rPr>
          <w:rFonts w:hint="eastAsia" w:hAnsi="仿宋_GB2312" w:cs="仿宋_GB2312"/>
          <w:sz w:val="30"/>
          <w:szCs w:val="30"/>
          <w:lang w:val="en-US" w:eastAsia="zh-CN"/>
        </w:rPr>
        <w:t>；2</w:t>
      </w:r>
      <w:r>
        <w:rPr>
          <w:rFonts w:hint="default" w:hAnsi="仿宋_GB2312" w:cs="仿宋_GB2312"/>
          <w:sz w:val="30"/>
          <w:szCs w:val="30"/>
          <w:lang w:val="en-US" w:eastAsia="zh-CN"/>
        </w:rPr>
        <w:t>、坚持底线思维，全力维护安全稳定</w:t>
      </w:r>
      <w:r>
        <w:rPr>
          <w:rFonts w:hint="eastAsia" w:hAnsi="仿宋_GB2312" w:cs="仿宋_GB2312"/>
          <w:sz w:val="30"/>
          <w:szCs w:val="30"/>
          <w:lang w:val="en-US" w:eastAsia="zh-CN"/>
        </w:rPr>
        <w:t>；3</w:t>
      </w:r>
      <w:r>
        <w:rPr>
          <w:rFonts w:hint="default" w:hAnsi="仿宋_GB2312" w:cs="仿宋_GB2312"/>
          <w:sz w:val="30"/>
          <w:szCs w:val="30"/>
          <w:lang w:val="en-US" w:eastAsia="zh-CN"/>
        </w:rPr>
        <w:t>、坚持风险防范，深入推进平安建设</w:t>
      </w:r>
      <w:r>
        <w:rPr>
          <w:rFonts w:hint="eastAsia" w:hAnsi="仿宋_GB2312" w:cs="仿宋_GB2312"/>
          <w:sz w:val="30"/>
          <w:szCs w:val="30"/>
          <w:lang w:val="en-US" w:eastAsia="zh-CN"/>
        </w:rPr>
        <w:t>；4</w:t>
      </w:r>
      <w:r>
        <w:rPr>
          <w:rFonts w:hint="default" w:hAnsi="仿宋_GB2312" w:cs="仿宋_GB2312"/>
          <w:sz w:val="30"/>
          <w:szCs w:val="30"/>
          <w:lang w:val="en-US" w:eastAsia="zh-CN"/>
        </w:rPr>
        <w:t>、坚持实战引领，重拳开展严打整治</w:t>
      </w:r>
      <w:r>
        <w:rPr>
          <w:rFonts w:hint="eastAsia" w:hAnsi="仿宋_GB2312" w:cs="仿宋_GB2312"/>
          <w:sz w:val="30"/>
          <w:szCs w:val="30"/>
          <w:lang w:val="en-US" w:eastAsia="zh-CN"/>
        </w:rPr>
        <w:t>；5</w:t>
      </w:r>
      <w:r>
        <w:rPr>
          <w:rFonts w:hint="default" w:hAnsi="仿宋_GB2312" w:cs="仿宋_GB2312"/>
          <w:sz w:val="30"/>
          <w:szCs w:val="30"/>
          <w:lang w:val="en-US" w:eastAsia="zh-CN"/>
        </w:rPr>
        <w:t>、坚持改革创新，打造警务亮点工程</w:t>
      </w:r>
      <w:r>
        <w:rPr>
          <w:rFonts w:hint="eastAsia" w:hAnsi="仿宋_GB2312" w:cs="仿宋_GB2312"/>
          <w:sz w:val="30"/>
          <w:szCs w:val="30"/>
          <w:lang w:val="en-US" w:eastAsia="zh-CN"/>
        </w:rPr>
        <w:t>；6</w:t>
      </w:r>
      <w:r>
        <w:rPr>
          <w:rFonts w:hint="default" w:hAnsi="仿宋_GB2312" w:cs="仿宋_GB2312"/>
          <w:sz w:val="30"/>
          <w:szCs w:val="30"/>
          <w:lang w:val="en-US" w:eastAsia="zh-CN"/>
        </w:rPr>
        <w:t>、坚持夯垒筑基，大抓基层基础建设</w:t>
      </w:r>
      <w:r>
        <w:rPr>
          <w:rFonts w:hint="eastAsia" w:hAnsi="仿宋_GB2312" w:cs="仿宋_GB2312"/>
          <w:sz w:val="30"/>
          <w:szCs w:val="30"/>
          <w:lang w:val="en-US" w:eastAsia="zh-CN"/>
        </w:rPr>
        <w:t>；7</w:t>
      </w:r>
      <w:r>
        <w:rPr>
          <w:rFonts w:hint="default" w:hAnsi="仿宋_GB2312" w:cs="仿宋_GB2312"/>
          <w:sz w:val="30"/>
          <w:szCs w:val="30"/>
          <w:lang w:val="en-US" w:eastAsia="zh-CN"/>
        </w:rPr>
        <w:t>、坚持公平正义，深入推进规范执法</w:t>
      </w:r>
      <w:r>
        <w:rPr>
          <w:rFonts w:hint="eastAsia" w:hAnsi="仿宋_GB2312" w:cs="仿宋_GB2312"/>
          <w:sz w:val="30"/>
          <w:szCs w:val="30"/>
          <w:lang w:val="en-US" w:eastAsia="zh-CN"/>
        </w:rPr>
        <w:t>；8</w:t>
      </w:r>
      <w:r>
        <w:rPr>
          <w:rFonts w:hint="default" w:hAnsi="仿宋_GB2312" w:cs="仿宋_GB2312"/>
          <w:sz w:val="30"/>
          <w:szCs w:val="30"/>
          <w:lang w:val="en-US" w:eastAsia="zh-CN"/>
        </w:rPr>
        <w:t>、坚持政治建警，锻造过硬公安铁军</w:t>
      </w:r>
      <w:r>
        <w:rPr>
          <w:rFonts w:hint="eastAsia" w:hAnsi="仿宋_GB2312" w:cs="仿宋_GB2312"/>
          <w:sz w:val="30"/>
          <w:szCs w:val="30"/>
          <w:lang w:val="en-US" w:eastAsia="zh-CN"/>
        </w:rPr>
        <w:t>。</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right="0" w:rightChars="0" w:firstLine="600" w:firstLineChars="200"/>
        <w:jc w:val="both"/>
        <w:textAlignment w:val="auto"/>
        <w:outlineLvl w:val="9"/>
        <w:rPr>
          <w:rFonts w:hint="eastAsia" w:ascii="Times New Roman" w:hAnsi="Times New Roman" w:cs="Times New Roman"/>
          <w:sz w:val="30"/>
        </w:rPr>
      </w:pPr>
      <w:r>
        <w:rPr>
          <w:rFonts w:ascii="Times New Roman" w:hAnsi="Times New Roman"/>
          <w:sz w:val="30"/>
        </w:rPr>
        <w:t>（三）社会满意度情况</w:t>
      </w:r>
      <w:r>
        <w:rPr>
          <w:rFonts w:hint="eastAsia" w:ascii="Times New Roman" w:hAnsi="Times New Roman"/>
          <w:sz w:val="30"/>
        </w:rPr>
        <w:t>：</w:t>
      </w:r>
      <w:r>
        <w:rPr>
          <w:rFonts w:hint="eastAsia" w:ascii="Times New Roman" w:hAnsi="Times New Roman" w:cs="Times New Roman"/>
          <w:sz w:val="30"/>
          <w:lang w:eastAsia="zh-CN"/>
        </w:rPr>
        <w:t>分局民意调查满意度连续多年排名全市前列，连续第9年被评为省级平安区县，连续第5年在市局绩效评估中评为优秀。</w:t>
      </w:r>
    </w:p>
    <w:p>
      <w:pPr>
        <w:spacing w:line="600" w:lineRule="exact"/>
        <w:ind w:firstLine="600" w:firstLineChars="200"/>
        <w:rPr>
          <w:rFonts w:ascii="Times New Roman" w:hAnsi="Times New Roman" w:eastAsia="黑体"/>
          <w:sz w:val="30"/>
        </w:rPr>
      </w:pPr>
      <w:r>
        <w:rPr>
          <w:rFonts w:hint="eastAsia" w:ascii="Times New Roman" w:hAnsi="Times New Roman" w:eastAsia="黑体"/>
          <w:sz w:val="30"/>
          <w:lang w:eastAsia="zh-CN"/>
        </w:rPr>
        <w:t>六</w:t>
      </w:r>
      <w:r>
        <w:rPr>
          <w:rFonts w:ascii="Times New Roman" w:hAnsi="Times New Roman" w:eastAsia="黑体"/>
          <w:sz w:val="30"/>
        </w:rPr>
        <w:t>、部门（单位）整体支出绩效中存在问题及改进措施</w:t>
      </w:r>
    </w:p>
    <w:p>
      <w:pPr>
        <w:spacing w:line="600" w:lineRule="exact"/>
        <w:ind w:firstLine="600" w:firstLineChars="200"/>
        <w:rPr>
          <w:rFonts w:ascii="Times New Roman" w:hAnsi="Times New Roman"/>
          <w:sz w:val="30"/>
        </w:rPr>
      </w:pPr>
      <w:r>
        <w:rPr>
          <w:rFonts w:ascii="Times New Roman" w:hAnsi="Times New Roman"/>
          <w:sz w:val="30"/>
        </w:rPr>
        <w:t>（一）主要问题及原因分析</w:t>
      </w:r>
    </w:p>
    <w:p>
      <w:pPr>
        <w:spacing w:line="600" w:lineRule="exact"/>
        <w:ind w:firstLine="600" w:firstLineChars="200"/>
        <w:rPr>
          <w:rFonts w:hint="eastAsia" w:ascii="Times New Roman" w:hAnsi="Times New Roman" w:eastAsia="仿宋_GB2312"/>
          <w:sz w:val="30"/>
          <w:lang w:eastAsia="zh-CN"/>
        </w:rPr>
      </w:pPr>
      <w:r>
        <w:rPr>
          <w:rFonts w:hint="eastAsia" w:ascii="Times New Roman" w:hAnsi="Times New Roman"/>
          <w:sz w:val="30"/>
          <w:lang w:eastAsia="zh-CN"/>
        </w:rPr>
        <w:t>分局目前存在预算编制与执行有差距，政府采购预算执行率较低等问题。原因是年初预算编制不够规范细化和完善。</w:t>
      </w:r>
    </w:p>
    <w:p>
      <w:pPr>
        <w:spacing w:line="600" w:lineRule="exact"/>
        <w:ind w:firstLine="600" w:firstLineChars="200"/>
        <w:rPr>
          <w:rFonts w:ascii="Times New Roman" w:hAnsi="Times New Roman"/>
          <w:sz w:val="30"/>
        </w:rPr>
      </w:pPr>
      <w:r>
        <w:rPr>
          <w:rFonts w:ascii="Times New Roman" w:hAnsi="Times New Roman"/>
          <w:sz w:val="30"/>
        </w:rPr>
        <w:t>（二）改进的方向和具体措施</w:t>
      </w:r>
    </w:p>
    <w:p>
      <w:pPr>
        <w:spacing w:line="600" w:lineRule="exact"/>
        <w:ind w:firstLine="600" w:firstLineChars="200"/>
        <w:rPr>
          <w:rFonts w:ascii="Times New Roman" w:hAnsi="Times New Roman"/>
          <w:sz w:val="30"/>
        </w:rPr>
      </w:pPr>
      <w:r>
        <w:rPr>
          <w:rFonts w:hint="eastAsia" w:ascii="Times New Roman" w:hAnsi="Times New Roman"/>
          <w:sz w:val="30"/>
          <w:lang w:eastAsia="zh-CN"/>
        </w:rPr>
        <w:t>规范、完善和细化年初预算编制，</w:t>
      </w:r>
      <w:r>
        <w:rPr>
          <w:rFonts w:hint="eastAsia" w:ascii="Times New Roman" w:hAnsi="Times New Roman"/>
          <w:sz w:val="30"/>
        </w:rPr>
        <w:t>加强绩效评价信息化建设。</w:t>
      </w:r>
    </w:p>
    <w:p>
      <w:pPr>
        <w:spacing w:line="600" w:lineRule="exact"/>
        <w:ind w:firstLine="600" w:firstLineChars="200"/>
        <w:rPr>
          <w:rFonts w:ascii="Times New Roman" w:hAnsi="Times New Roman"/>
          <w:sz w:val="30"/>
        </w:rPr>
      </w:pPr>
      <w:r>
        <w:rPr>
          <w:rFonts w:hint="eastAsia" w:ascii="Times New Roman" w:hAnsi="Times New Roman" w:eastAsia="黑体"/>
          <w:sz w:val="30"/>
          <w:lang w:eastAsia="zh-CN"/>
        </w:rPr>
        <w:t>七</w:t>
      </w:r>
      <w:r>
        <w:rPr>
          <w:rFonts w:ascii="Times New Roman" w:hAnsi="Times New Roman" w:eastAsia="黑体"/>
          <w:sz w:val="30"/>
        </w:rPr>
        <w:t>、其它需要说明的情况</w:t>
      </w:r>
    </w:p>
    <w:p>
      <w:pPr>
        <w:adjustRightInd w:val="0"/>
        <w:snapToGrid w:val="0"/>
        <w:spacing w:line="600" w:lineRule="exact"/>
        <w:ind w:firstLine="640" w:firstLineChars="200"/>
        <w:jc w:val="left"/>
      </w:pPr>
      <w:r>
        <w:rPr>
          <w:rFonts w:hint="eastAsia" w:ascii="Times New Roman" w:hAnsi="Times New Roman"/>
          <w:szCs w:val="21"/>
          <w:lang w:eastAsia="zh-CN"/>
        </w:rPr>
        <w:t>无</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方正小标宋简体">
    <w:altName w:val="微软雅黑"/>
    <w:panose1 w:val="00000000000000000000"/>
    <w:charset w:val="86"/>
    <w:family w:val="script"/>
    <w:pitch w:val="default"/>
    <w:sig w:usb0="00000000" w:usb1="00000000" w:usb2="00000000" w:usb3="00000000" w:csb0="00040000" w:csb1="00000000"/>
  </w:font>
  <w:font w:name="仿宋">
    <w:altName w:val="微软雅黑"/>
    <w:panose1 w:val="02010609060101010101"/>
    <w:charset w:val="86"/>
    <w:family w:val="modern"/>
    <w:pitch w:val="default"/>
    <w:sig w:usb0="00000000" w:usb1="00000000" w:usb2="00000016" w:usb3="00000000" w:csb0="00040001" w:csb1="00000000"/>
  </w:font>
  <w:font w:name="方正小标宋_GBK">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89B214F"/>
    <w:multiLevelType w:val="singleLevel"/>
    <w:tmpl w:val="E89B214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622F7D"/>
    <w:rsid w:val="0055439D"/>
    <w:rsid w:val="00622F7D"/>
    <w:rsid w:val="023B3415"/>
    <w:rsid w:val="032F27B6"/>
    <w:rsid w:val="090F7E69"/>
    <w:rsid w:val="0C3C00CE"/>
    <w:rsid w:val="10461878"/>
    <w:rsid w:val="10ED0F24"/>
    <w:rsid w:val="11894332"/>
    <w:rsid w:val="12203C2A"/>
    <w:rsid w:val="15640C66"/>
    <w:rsid w:val="16AD045B"/>
    <w:rsid w:val="228754A7"/>
    <w:rsid w:val="244274C3"/>
    <w:rsid w:val="26070D96"/>
    <w:rsid w:val="2D783C60"/>
    <w:rsid w:val="32BD59CE"/>
    <w:rsid w:val="34393879"/>
    <w:rsid w:val="352D01DC"/>
    <w:rsid w:val="4635376A"/>
    <w:rsid w:val="49DE0072"/>
    <w:rsid w:val="4A286999"/>
    <w:rsid w:val="547B557B"/>
    <w:rsid w:val="585A7523"/>
    <w:rsid w:val="5A3A6F26"/>
    <w:rsid w:val="5F3F0C7B"/>
    <w:rsid w:val="61B14A5B"/>
    <w:rsid w:val="61D52FFD"/>
    <w:rsid w:val="62EE3E80"/>
    <w:rsid w:val="6315074C"/>
    <w:rsid w:val="659B193C"/>
    <w:rsid w:val="66937B1F"/>
    <w:rsid w:val="6B872FAD"/>
    <w:rsid w:val="6FA57B4D"/>
    <w:rsid w:val="74C16214"/>
    <w:rsid w:val="768D6279"/>
    <w:rsid w:val="7739097E"/>
    <w:rsid w:val="7B435D5F"/>
    <w:rsid w:val="7B800192"/>
    <w:rsid w:val="7D3C1095"/>
    <w:rsid w:val="7DFD1B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80" w:lineRule="exact"/>
      <w:jc w:val="both"/>
    </w:pPr>
    <w:rPr>
      <w:rFonts w:ascii="仿宋_GB2312" w:hAnsi="Calibri" w:eastAsia="仿宋_GB2312" w:cs="Times New Roman"/>
      <w:kern w:val="2"/>
      <w:sz w:val="32"/>
      <w:szCs w:val="32"/>
      <w:lang w:val="en-US" w:eastAsia="zh-CN" w:bidi="ar-SA"/>
    </w:rPr>
  </w:style>
  <w:style w:type="character" w:default="1" w:styleId="5">
    <w:name w:val="Default Paragraph Font"/>
    <w:semiHidden/>
    <w:unhideWhenUsed/>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spacing w:line="240" w:lineRule="atLeast"/>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4">
    <w:name w:val="Normal (Web)"/>
    <w:basedOn w:val="1"/>
    <w:unhideWhenUsed/>
    <w:qFormat/>
    <w:uiPriority w:val="99"/>
    <w:pPr>
      <w:spacing w:before="100" w:beforeLines="0" w:beforeAutospacing="1" w:after="100" w:afterLines="0" w:afterAutospacing="1"/>
      <w:jc w:val="left"/>
    </w:pPr>
    <w:rPr>
      <w:rFonts w:ascii="Calibri" w:hAnsi="Calibri"/>
      <w:kern w:val="0"/>
      <w:sz w:val="24"/>
    </w:rPr>
  </w:style>
  <w:style w:type="character" w:customStyle="1" w:styleId="7">
    <w:name w:val="页眉 Char"/>
    <w:basedOn w:val="5"/>
    <w:link w:val="3"/>
    <w:qFormat/>
    <w:uiPriority w:val="0"/>
    <w:rPr>
      <w:rFonts w:ascii="仿宋_GB2312" w:hAnsi="Calibri" w:eastAsia="仿宋_GB2312"/>
      <w:kern w:val="2"/>
      <w:sz w:val="18"/>
      <w:szCs w:val="18"/>
    </w:rPr>
  </w:style>
  <w:style w:type="character" w:customStyle="1" w:styleId="8">
    <w:name w:val="页脚 Char"/>
    <w:basedOn w:val="5"/>
    <w:link w:val="2"/>
    <w:qFormat/>
    <w:uiPriority w:val="0"/>
    <w:rPr>
      <w:rFonts w:ascii="仿宋_GB2312" w:hAnsi="Calibri" w:eastAsia="仿宋_GB2312"/>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3619</Words>
  <Characters>609</Characters>
  <Lines>5</Lines>
  <Paragraphs>8</Paragraphs>
  <TotalTime>21</TotalTime>
  <ScaleCrop>false</ScaleCrop>
  <LinksUpToDate>false</LinksUpToDate>
  <CharactersWithSpaces>4220</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lenovo</cp:lastModifiedBy>
  <cp:lastPrinted>2020-04-09T11:48:00Z</cp:lastPrinted>
  <dcterms:modified xsi:type="dcterms:W3CDTF">2021-08-20T01:28:07Z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