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48980">
      <w:pPr>
        <w:rPr>
          <w:rFonts w:ascii="Times New Roman" w:hAnsi="Times New Roman" w:eastAsia="宋体" w:cs="宋体"/>
          <w:szCs w:val="32"/>
        </w:rPr>
      </w:pPr>
      <w:bookmarkStart w:id="30" w:name="_GoBack"/>
      <w:bookmarkEnd w:id="30"/>
    </w:p>
    <w:p w14:paraId="71E24D74">
      <w:pPr>
        <w:rPr>
          <w:rFonts w:ascii="Times New Roman" w:hAnsi="Times New Roman" w:eastAsia="宋体" w:cs="宋体"/>
          <w:szCs w:val="32"/>
        </w:rPr>
      </w:pPr>
    </w:p>
    <w:p w14:paraId="641028F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CESI小标宋-GB18030" w:hAnsi="CESI小标宋-GB18030" w:eastAsia="CESI小标宋-GB18030" w:cs="CESI小标宋-GB18030"/>
          <w:color w:val="333333"/>
          <w:sz w:val="44"/>
          <w:szCs w:val="44"/>
          <w:shd w:val="clear" w:color="auto" w:fill="FFFFFF"/>
        </w:rPr>
      </w:pPr>
      <w:bookmarkStart w:id="0" w:name="最高人民法院关于审理预付式消费民事纠纷案件适用法律若干问题的解释"/>
      <w:bookmarkEnd w:id="0"/>
      <w:r>
        <w:rPr>
          <w:rFonts w:hint="eastAsia" w:ascii="方正小标宋简体" w:hAnsi="方正小标宋简体" w:eastAsia="方正小标宋简体" w:cs="方正小标宋简体"/>
          <w:color w:val="333333"/>
          <w:sz w:val="44"/>
          <w:szCs w:val="44"/>
          <w:shd w:val="clear" w:color="auto" w:fill="FFFFFF"/>
        </w:rPr>
        <w:t>最高人民法院</w:t>
      </w:r>
      <w:r>
        <w:rPr>
          <w:rFonts w:hint="eastAsia" w:ascii="方正小标宋简体" w:hAnsi="方正小标宋简体" w:eastAsia="方正小标宋简体" w:cs="方正小标宋简体"/>
          <w:color w:val="333333"/>
          <w:sz w:val="44"/>
          <w:szCs w:val="44"/>
          <w:shd w:val="clear" w:color="auto" w:fill="FFFFFF"/>
        </w:rPr>
        <w:br w:type="textWrapping"/>
      </w:r>
      <w:r>
        <w:rPr>
          <w:rFonts w:hint="eastAsia" w:ascii="方正小标宋简体" w:hAnsi="方正小标宋简体" w:eastAsia="方正小标宋简体" w:cs="方正小标宋简体"/>
          <w:color w:val="333333"/>
          <w:sz w:val="44"/>
          <w:szCs w:val="44"/>
          <w:shd w:val="clear" w:color="auto" w:fill="FFFFFF"/>
        </w:rPr>
        <w:t>关于审理预付式消费民事纠纷案件</w:t>
      </w:r>
      <w:r>
        <w:rPr>
          <w:rFonts w:hint="eastAsia" w:ascii="方正小标宋简体" w:hAnsi="方正小标宋简体" w:eastAsia="方正小标宋简体" w:cs="方正小标宋简体"/>
          <w:color w:val="333333"/>
          <w:sz w:val="44"/>
          <w:szCs w:val="44"/>
          <w:shd w:val="clear" w:color="auto" w:fill="FFFFFF"/>
        </w:rPr>
        <w:br w:type="textWrapping"/>
      </w:r>
      <w:r>
        <w:rPr>
          <w:rFonts w:hint="eastAsia" w:ascii="方正小标宋简体" w:hAnsi="方正小标宋简体" w:eastAsia="方正小标宋简体" w:cs="方正小标宋简体"/>
          <w:color w:val="333333"/>
          <w:sz w:val="44"/>
          <w:szCs w:val="44"/>
          <w:shd w:val="clear" w:color="auto" w:fill="FFFFFF"/>
        </w:rPr>
        <w:t>适用法律若干问题的解释</w:t>
      </w:r>
    </w:p>
    <w:p w14:paraId="28A6FC52">
      <w:pPr>
        <w:rPr>
          <w:rFonts w:ascii="Times New Roman" w:hAnsi="Times New Roman" w:eastAsia="宋体" w:cs="宋体"/>
          <w:szCs w:val="32"/>
        </w:rPr>
      </w:pPr>
    </w:p>
    <w:p w14:paraId="39373B1D">
      <w:pPr>
        <w:jc w:val="center"/>
        <w:rPr>
          <w:rFonts w:hint="default" w:ascii="Times New Roman" w:hAnsi="Times New Roman" w:eastAsia="仿宋_GB2312" w:cs="仿宋_GB2312"/>
          <w:sz w:val="32"/>
          <w:szCs w:val="32"/>
          <w:lang w:val="en-US" w:eastAsia="zh-CN"/>
        </w:rPr>
      </w:pPr>
      <w:bookmarkStart w:id="1" w:name="文号"/>
      <w:bookmarkEnd w:id="1"/>
      <w:r>
        <w:rPr>
          <w:rFonts w:hint="eastAsia" w:ascii="Times New Roman" w:hAnsi="Times New Roman" w:eastAsia="仿宋_GB2312" w:cs="仿宋_GB2312"/>
          <w:sz w:val="32"/>
          <w:szCs w:val="32"/>
          <w:lang w:val="en-US" w:eastAsia="zh-CN"/>
        </w:rPr>
        <w:t>法释〔2025〕4号</w:t>
      </w:r>
    </w:p>
    <w:p w14:paraId="09580697">
      <w:pPr>
        <w:rPr>
          <w:rFonts w:ascii="Times New Roman" w:hAnsi="Times New Roman" w:eastAsia="宋体" w:cs="宋体"/>
          <w:szCs w:val="32"/>
        </w:rPr>
      </w:pPr>
    </w:p>
    <w:p w14:paraId="07D4C064">
      <w:pPr>
        <w:keepNext w:val="0"/>
        <w:keepLines w:val="0"/>
        <w:pageBreakBefore w:val="0"/>
        <w:widowControl/>
        <w:kinsoku/>
        <w:wordWrap/>
        <w:overflowPunct/>
        <w:topLinePunct w:val="0"/>
        <w:autoSpaceDE/>
        <w:autoSpaceDN/>
        <w:bidi w:val="0"/>
        <w:adjustRightInd/>
        <w:snapToGrid/>
        <w:ind w:left="632" w:leftChars="200" w:right="632" w:rightChars="200"/>
        <w:textAlignment w:val="auto"/>
        <w:rPr>
          <w:rFonts w:ascii="Times New Roman" w:hAnsi="Times New Roman" w:eastAsia="楷体_GB2312" w:cs="楷体_GB2312"/>
          <w:bCs/>
          <w:spacing w:val="6"/>
          <w:sz w:val="32"/>
          <w:szCs w:val="32"/>
          <w:shd w:val="clear" w:color="auto" w:fill="FFFFFF"/>
        </w:rPr>
      </w:pPr>
      <w:bookmarkStart w:id="2" w:name="题注"/>
      <w:bookmarkEnd w:id="2"/>
      <w:r>
        <w:rPr>
          <w:rFonts w:hint="eastAsia" w:ascii="Times New Roman" w:hAnsi="Times New Roman" w:eastAsia="楷体_GB2312" w:cs="楷体_GB2312"/>
          <w:bCs/>
          <w:spacing w:val="0"/>
          <w:sz w:val="32"/>
          <w:szCs w:val="32"/>
          <w:shd w:val="clear" w:color="auto" w:fill="FFFFFF"/>
        </w:rPr>
        <w:t>（2024年11月18日最高人民法院审判委员会第1932次会议通过，自2025年5月1日起施行）</w:t>
      </w:r>
    </w:p>
    <w:p w14:paraId="41BDD51C">
      <w:pPr>
        <w:rPr>
          <w:rFonts w:ascii="Times New Roman" w:hAnsi="Times New Roman" w:eastAsia="宋体" w:cs="宋体"/>
          <w:szCs w:val="32"/>
        </w:rPr>
      </w:pPr>
    </w:p>
    <w:p w14:paraId="3D792DA8">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为正确审理预付式消费民事纠纷案件，保护消费者和经营者权益，根据《中华人民共和国民法典》《中华人民共和国消费者权益保护法》《中华人民共和国民事诉讼法》等法律规定，结合审判实践，制定本解释。</w:t>
      </w:r>
    </w:p>
    <w:p w14:paraId="29C913AD">
      <w:pPr>
        <w:ind w:firstLine="632" w:firstLineChars="200"/>
        <w:rPr>
          <w:rFonts w:hint="eastAsia" w:ascii="Times New Roman" w:hAnsi="Times New Roman" w:cs="仿宋_GB2312"/>
          <w:sz w:val="32"/>
          <w:szCs w:val="32"/>
        </w:rPr>
      </w:pPr>
      <w:bookmarkStart w:id="3" w:name="第一条"/>
      <w:bookmarkEnd w:id="3"/>
      <w:r>
        <w:rPr>
          <w:rFonts w:hint="eastAsia" w:ascii="黑体" w:hAnsi="黑体" w:eastAsia="黑体" w:cs="黑体"/>
          <w:sz w:val="32"/>
          <w:szCs w:val="32"/>
          <w:lang w:val="en-US" w:eastAsia="zh-CN"/>
        </w:rPr>
        <w:t>第一条</w:t>
      </w:r>
      <w:r>
        <w:rPr>
          <w:rFonts w:hint="eastAsia" w:ascii="Times New Roman" w:hAnsi="Times New Roman" w:cs="仿宋_GB2312"/>
          <w:sz w:val="32"/>
          <w:szCs w:val="32"/>
        </w:rPr>
        <w:t>　在零售、住宿、餐饮、健身、出行、理发、美容、培训、养老、旅游等生活消费领域，经营者收取预付款后多次或者持续向消费者兑付商品或者提供服务产生的纠纷适用本解释。</w:t>
      </w:r>
    </w:p>
    <w:p w14:paraId="7D5B5E5A">
      <w:pPr>
        <w:ind w:firstLine="632" w:firstLineChars="200"/>
        <w:rPr>
          <w:rFonts w:hint="eastAsia" w:ascii="Times New Roman" w:hAnsi="Times New Roman" w:cs="仿宋_GB2312"/>
          <w:sz w:val="32"/>
          <w:szCs w:val="32"/>
        </w:rPr>
      </w:pPr>
      <w:bookmarkStart w:id="4" w:name="第二条"/>
      <w:bookmarkEnd w:id="4"/>
      <w:r>
        <w:rPr>
          <w:rFonts w:hint="eastAsia" w:ascii="黑体" w:hAnsi="黑体" w:eastAsia="黑体" w:cs="黑体"/>
          <w:sz w:val="32"/>
          <w:szCs w:val="32"/>
          <w:lang w:val="en-US" w:eastAsia="zh-CN"/>
        </w:rPr>
        <w:t>第二条</w:t>
      </w:r>
      <w:r>
        <w:rPr>
          <w:rFonts w:hint="eastAsia" w:ascii="Times New Roman" w:hAnsi="Times New Roman" w:cs="仿宋_GB2312"/>
          <w:sz w:val="32"/>
          <w:szCs w:val="32"/>
        </w:rPr>
        <w:t>　不记名预付卡的持卡人起诉请求经营者承担民事责任的，人民法院应当依法受理。记名预付卡的实际持卡人与预付卡记载的持卡人不一致，但提供其系合法持卡人的初步证据，起诉请求经营者承担民事责任的，人民法院应当依法受理。</w:t>
      </w:r>
    </w:p>
    <w:p w14:paraId="7221B26C">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消费者提供其与经营者存在预付式消费合同关系的其他初步证据，起诉请求经营者承担民事责任的，人民法院应当依法受理。</w:t>
      </w:r>
    </w:p>
    <w:p w14:paraId="32EA3D09">
      <w:pPr>
        <w:ind w:firstLine="632" w:firstLineChars="200"/>
        <w:rPr>
          <w:rFonts w:hint="eastAsia" w:ascii="Times New Roman" w:hAnsi="Times New Roman" w:cs="仿宋_GB2312"/>
          <w:sz w:val="32"/>
          <w:szCs w:val="32"/>
        </w:rPr>
      </w:pPr>
      <w:bookmarkStart w:id="5" w:name="第三条"/>
      <w:bookmarkEnd w:id="5"/>
      <w:r>
        <w:rPr>
          <w:rFonts w:hint="eastAsia" w:ascii="黑体" w:hAnsi="黑体" w:eastAsia="黑体" w:cs="黑体"/>
          <w:sz w:val="32"/>
          <w:szCs w:val="32"/>
          <w:lang w:val="en-US" w:eastAsia="zh-CN"/>
        </w:rPr>
        <w:t>第三条</w:t>
      </w:r>
      <w:r>
        <w:rPr>
          <w:rFonts w:hint="eastAsia" w:ascii="Times New Roman" w:hAnsi="Times New Roman" w:cs="仿宋_GB2312"/>
          <w:sz w:val="32"/>
          <w:szCs w:val="32"/>
        </w:rPr>
        <w:t>　监护人与经营者订立预付式消费合同，约定由经营者向被监护人兑付商品或者提供服务，监护人因预付式消费合同纠纷以被监护人名义起诉，请求经营者承担民事责任的，人民法院应当向监护人释明应以其本人名义起诉。</w:t>
      </w:r>
    </w:p>
    <w:p w14:paraId="1DACB551">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被监护人因接受商品或者服务权益受到损害，起诉请求经营者承担责任的，人民法院应当依法受理。</w:t>
      </w:r>
    </w:p>
    <w:p w14:paraId="3BB457A1">
      <w:pPr>
        <w:ind w:firstLine="632" w:firstLineChars="200"/>
        <w:rPr>
          <w:rFonts w:hint="eastAsia" w:ascii="Times New Roman" w:hAnsi="Times New Roman" w:cs="仿宋_GB2312"/>
          <w:sz w:val="32"/>
          <w:szCs w:val="32"/>
        </w:rPr>
      </w:pPr>
      <w:bookmarkStart w:id="6" w:name="第四条"/>
      <w:bookmarkEnd w:id="6"/>
      <w:r>
        <w:rPr>
          <w:rFonts w:hint="eastAsia" w:ascii="黑体" w:hAnsi="黑体" w:eastAsia="黑体" w:cs="黑体"/>
          <w:sz w:val="32"/>
          <w:szCs w:val="32"/>
          <w:lang w:val="en-US" w:eastAsia="zh-CN"/>
        </w:rPr>
        <w:t>第四条</w:t>
      </w:r>
      <w:r>
        <w:rPr>
          <w:rFonts w:hint="eastAsia" w:ascii="Times New Roman" w:hAnsi="Times New Roman" w:cs="仿宋_GB2312"/>
          <w:sz w:val="32"/>
          <w:szCs w:val="32"/>
        </w:rPr>
        <w:t>　经营者允许他人使用其营业执照或者以其他方式允许他人使用其名义与消费者订立预付式消费合同，消费者请求经营者承担民事责任，经营者以其并非实际经营者为由提出抗辩的，人民法院对其抗辩不予支持。</w:t>
      </w:r>
    </w:p>
    <w:p w14:paraId="44A3C50A">
      <w:pPr>
        <w:ind w:firstLine="632" w:firstLineChars="200"/>
        <w:rPr>
          <w:rFonts w:hint="eastAsia" w:ascii="Times New Roman" w:hAnsi="Times New Roman" w:cs="仿宋_GB2312"/>
          <w:sz w:val="32"/>
          <w:szCs w:val="32"/>
        </w:rPr>
      </w:pPr>
      <w:bookmarkStart w:id="7" w:name="第五条"/>
      <w:bookmarkEnd w:id="7"/>
      <w:r>
        <w:rPr>
          <w:rFonts w:hint="eastAsia" w:ascii="黑体" w:hAnsi="黑体" w:eastAsia="黑体" w:cs="黑体"/>
          <w:sz w:val="32"/>
          <w:szCs w:val="32"/>
          <w:lang w:val="en-US" w:eastAsia="zh-CN"/>
        </w:rPr>
        <w:t>第五条</w:t>
      </w:r>
      <w:r>
        <w:rPr>
          <w:rFonts w:hint="eastAsia" w:ascii="Times New Roman" w:hAnsi="Times New Roman" w:cs="仿宋_GB2312"/>
          <w:sz w:val="32"/>
          <w:szCs w:val="32"/>
        </w:rPr>
        <w:t>　同一品牌商业特许经营体系内企业标志或者注册商标使用权的特许人与消费者订立预付式消费合同，消费者因权益受到损害请求被特许人承担民事责任，存在下列情形之一的，人民法院应予支持：</w:t>
      </w:r>
    </w:p>
    <w:p w14:paraId="58500805">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（一）被特许人事先同意承担预付式消费合同义务；</w:t>
      </w:r>
    </w:p>
    <w:p w14:paraId="59C5470D">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（二）被特许人事后追认预付式消费合同；</w:t>
      </w:r>
    </w:p>
    <w:p w14:paraId="2CBEB8C0">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（三）特许经营合同约定消费者可以直接请求被特许人向其履行债务；</w:t>
      </w:r>
    </w:p>
    <w:p w14:paraId="2D18DA32">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（四）被特许人的行为使消费者有理由相信其受预付式消费合同约束。</w:t>
      </w:r>
    </w:p>
    <w:p w14:paraId="4E52AFB4">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消费者与被特许人订立预付式消费合同后，因权益受到损害请求特许人承担民事责任的，参照适用前款规定。</w:t>
      </w:r>
    </w:p>
    <w:p w14:paraId="671DB71A">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不存在前两款规定情形，但特许人对消费者损失产生或者扩大有过错，消费者请求特许人根据其过错承担民事责任的，人民法院应予支持。</w:t>
      </w:r>
    </w:p>
    <w:p w14:paraId="4A7964AA">
      <w:pPr>
        <w:ind w:firstLine="632" w:firstLineChars="200"/>
        <w:rPr>
          <w:rFonts w:hint="eastAsia" w:ascii="Times New Roman" w:hAnsi="Times New Roman" w:cs="仿宋_GB2312"/>
          <w:sz w:val="32"/>
          <w:szCs w:val="32"/>
        </w:rPr>
      </w:pPr>
      <w:bookmarkStart w:id="8" w:name="第六条"/>
      <w:bookmarkEnd w:id="8"/>
      <w:r>
        <w:rPr>
          <w:rFonts w:hint="eastAsia" w:ascii="黑体" w:hAnsi="黑体" w:eastAsia="黑体" w:cs="黑体"/>
          <w:sz w:val="32"/>
          <w:szCs w:val="32"/>
          <w:lang w:val="en-US" w:eastAsia="zh-CN"/>
        </w:rPr>
        <w:t>第六条</w:t>
      </w:r>
      <w:r>
        <w:rPr>
          <w:rFonts w:hint="eastAsia" w:ascii="Times New Roman" w:hAnsi="Times New Roman" w:cs="仿宋_GB2312"/>
          <w:sz w:val="32"/>
          <w:szCs w:val="32"/>
        </w:rPr>
        <w:t>　商场场地出租者未要求租赁商场场地的经营者提供经营资质证明、营业执照，致使不具有资质的经营者租赁其场地收取消费者预付款并造成消费者损失，消费者请求场地出租者根据其过错承担民事责任的，人民法院应予支持。</w:t>
      </w:r>
    </w:p>
    <w:p w14:paraId="30AEB1ED">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场地出租者承担赔偿责任后，向租赁商场场地的经营者追偿的，人民法院应予支持。</w:t>
      </w:r>
    </w:p>
    <w:p w14:paraId="3E23EBB8">
      <w:pPr>
        <w:ind w:firstLine="632" w:firstLineChars="200"/>
        <w:rPr>
          <w:rFonts w:hint="eastAsia" w:ascii="Times New Roman" w:hAnsi="Times New Roman" w:cs="仿宋_GB2312"/>
          <w:sz w:val="32"/>
          <w:szCs w:val="32"/>
        </w:rPr>
      </w:pPr>
      <w:bookmarkStart w:id="9" w:name="第七条"/>
      <w:bookmarkEnd w:id="9"/>
      <w:r>
        <w:rPr>
          <w:rFonts w:hint="eastAsia" w:ascii="黑体" w:hAnsi="黑体" w:eastAsia="黑体" w:cs="黑体"/>
          <w:sz w:val="32"/>
          <w:szCs w:val="32"/>
          <w:lang w:val="en-US" w:eastAsia="zh-CN"/>
        </w:rPr>
        <w:t>第七条</w:t>
      </w:r>
      <w:r>
        <w:rPr>
          <w:rFonts w:hint="eastAsia" w:ascii="Times New Roman" w:hAnsi="Times New Roman" w:cs="仿宋_GB2312"/>
          <w:sz w:val="32"/>
          <w:szCs w:val="32"/>
        </w:rPr>
        <w:t>　经营者收取预付款后因经营困难不能按照合同约定兑付商品或者提供服务的，应当及时依法清算。经营者依法应当清算但未及时进行清算，造成消费者损失，消费者请求经营者的清算义务人依法承担民事责任的，人民法院应予支持。</w:t>
      </w:r>
    </w:p>
    <w:p w14:paraId="786CEF5C">
      <w:pPr>
        <w:ind w:firstLine="632" w:firstLineChars="200"/>
        <w:rPr>
          <w:rFonts w:hint="eastAsia" w:ascii="Times New Roman" w:hAnsi="Times New Roman" w:cs="仿宋_GB2312"/>
          <w:sz w:val="32"/>
          <w:szCs w:val="32"/>
        </w:rPr>
      </w:pPr>
      <w:bookmarkStart w:id="10" w:name="第八条"/>
      <w:bookmarkEnd w:id="10"/>
      <w:r>
        <w:rPr>
          <w:rFonts w:hint="eastAsia" w:ascii="黑体" w:hAnsi="黑体" w:eastAsia="黑体" w:cs="黑体"/>
          <w:sz w:val="32"/>
          <w:szCs w:val="32"/>
          <w:lang w:val="en-US" w:eastAsia="zh-CN"/>
        </w:rPr>
        <w:t>第八条</w:t>
      </w:r>
      <w:r>
        <w:rPr>
          <w:rFonts w:hint="eastAsia" w:ascii="Times New Roman" w:hAnsi="Times New Roman" w:cs="仿宋_GB2312"/>
          <w:sz w:val="32"/>
          <w:szCs w:val="32"/>
        </w:rPr>
        <w:t>　经营者未与消费者就商品或者服务的质量、价款、履行期限、履行地点和履行方式等内容订立书面合同或者虽订立书面合同但对合同内容约定不明，依照民法典第五百一十条、第五百一十一条等规定对合同内容可以作出两种以上解释，消费者主张就合同内容作出对其有利的解释的，人民法院应予支持。</w:t>
      </w:r>
    </w:p>
    <w:p w14:paraId="6256AB8B">
      <w:pPr>
        <w:ind w:firstLine="632" w:firstLineChars="200"/>
        <w:rPr>
          <w:rFonts w:hint="eastAsia" w:ascii="Times New Roman" w:hAnsi="Times New Roman" w:cs="仿宋_GB2312"/>
          <w:sz w:val="32"/>
          <w:szCs w:val="32"/>
        </w:rPr>
      </w:pPr>
      <w:bookmarkStart w:id="11" w:name="第九条"/>
      <w:bookmarkEnd w:id="11"/>
      <w:r>
        <w:rPr>
          <w:rFonts w:hint="eastAsia" w:ascii="黑体" w:hAnsi="黑体" w:eastAsia="黑体" w:cs="黑体"/>
          <w:sz w:val="32"/>
          <w:szCs w:val="32"/>
          <w:lang w:val="en-US" w:eastAsia="zh-CN"/>
        </w:rPr>
        <w:t>第九条</w:t>
      </w:r>
      <w:r>
        <w:rPr>
          <w:rFonts w:hint="eastAsia" w:ascii="Times New Roman" w:hAnsi="Times New Roman" w:cs="仿宋_GB2312"/>
          <w:sz w:val="32"/>
          <w:szCs w:val="32"/>
        </w:rPr>
        <w:t>　消费者依照消费者权益保护法第二十六条、民法典第四百九十七条等法律规定，主张经营者提供的下列格式条款无效的，人民法院应予支持：</w:t>
      </w:r>
    </w:p>
    <w:p w14:paraId="52F5FDEC">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（一）排除消费者依法解除合同或者请求返还预付款的权利；</w:t>
      </w:r>
    </w:p>
    <w:p w14:paraId="43D5A2CC">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（二）不合理地限制消费者转让预付式消费合同债权；</w:t>
      </w:r>
    </w:p>
    <w:p w14:paraId="3A061027">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（三）约定消费者遗失记名预付卡后不补办；</w:t>
      </w:r>
    </w:p>
    <w:p w14:paraId="121D47E4">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（四）约定经营者有权单方变更兑付商品或者提供服务的价款、种类、质量、数量等合同实质性内容；</w:t>
      </w:r>
    </w:p>
    <w:p w14:paraId="2DE15D20">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（五）免除经营者对所兑付商品或者提供服务的瑕疵担保责任或者造成消费者损失的赔偿责任；</w:t>
      </w:r>
    </w:p>
    <w:p w14:paraId="0518309F">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（六）约定的解决争议方法不合理增加消费者维权成本；</w:t>
      </w:r>
    </w:p>
    <w:p w14:paraId="02F088A4">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（七）存在其他排除或者限制消费者权利、减轻或者免除经营者责任、加重消费者责任等对消费者不公平、不合理情形。</w:t>
      </w:r>
    </w:p>
    <w:p w14:paraId="7C61188A">
      <w:pPr>
        <w:ind w:firstLine="632" w:firstLineChars="200"/>
        <w:rPr>
          <w:rFonts w:hint="eastAsia" w:ascii="Times New Roman" w:hAnsi="Times New Roman" w:cs="仿宋_GB2312"/>
          <w:sz w:val="32"/>
          <w:szCs w:val="32"/>
        </w:rPr>
      </w:pPr>
      <w:bookmarkStart w:id="12" w:name="第十条"/>
      <w:bookmarkEnd w:id="12"/>
      <w:r>
        <w:rPr>
          <w:rFonts w:hint="eastAsia" w:ascii="黑体" w:hAnsi="黑体" w:eastAsia="黑体" w:cs="黑体"/>
          <w:sz w:val="32"/>
          <w:szCs w:val="32"/>
          <w:lang w:val="en-US" w:eastAsia="zh-CN"/>
        </w:rPr>
        <w:t>第十条</w:t>
      </w:r>
      <w:r>
        <w:rPr>
          <w:rFonts w:hint="eastAsia" w:ascii="Times New Roman" w:hAnsi="Times New Roman" w:cs="仿宋_GB2312"/>
          <w:sz w:val="32"/>
          <w:szCs w:val="32"/>
        </w:rPr>
        <w:t>　无民事行为能力人与经营者订立预付式消费合同，向经营者支付预付款，法定代理人请求确认合同无效、经营者返还预付款的，人民法院应予支持。</w:t>
      </w:r>
    </w:p>
    <w:p w14:paraId="7DC90F84">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限制民事行为能力人与经营者订立预付式消费合同，向经营者支付预付款，法定代理人请求确认合同无效、经营者返还预付款的，人民法院应予支持，但该合同经法定代理人同意、追认或者预付款金额等合同内容与限制民事行为能力人的年龄、智力相适应的除外。</w:t>
      </w:r>
    </w:p>
    <w:p w14:paraId="38AC02E0">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经营者主张从预付款中抵扣已经兑付商品或者提供服务价款的，人民法院依法予以支持，但经营者违反法律规定向未成年人提供网络付费游戏等服务的除外。</w:t>
      </w:r>
    </w:p>
    <w:p w14:paraId="7ACFB7B2">
      <w:pPr>
        <w:ind w:firstLine="632" w:firstLineChars="200"/>
        <w:rPr>
          <w:rFonts w:hint="eastAsia" w:ascii="Times New Roman" w:hAnsi="Times New Roman" w:cs="仿宋_GB2312"/>
          <w:sz w:val="32"/>
          <w:szCs w:val="32"/>
        </w:rPr>
      </w:pPr>
      <w:bookmarkStart w:id="13" w:name="第十一条"/>
      <w:bookmarkEnd w:id="13"/>
      <w:r>
        <w:rPr>
          <w:rFonts w:hint="eastAsia" w:ascii="黑体" w:hAnsi="黑体" w:eastAsia="黑体" w:cs="黑体"/>
          <w:sz w:val="32"/>
          <w:szCs w:val="32"/>
          <w:lang w:val="en-US" w:eastAsia="zh-CN"/>
        </w:rPr>
        <w:t>第十一条</w:t>
      </w:r>
      <w:r>
        <w:rPr>
          <w:rFonts w:hint="eastAsia" w:ascii="Times New Roman" w:hAnsi="Times New Roman" w:cs="仿宋_GB2312"/>
          <w:sz w:val="32"/>
          <w:szCs w:val="32"/>
        </w:rPr>
        <w:t>　消费者转让预付式消费合同债权的，自债权转让通知到达经营者时对经营者发生法律效力。债权转让对经营者发生效力后，受让人请求经营者依据预付式消费合同约定兑付商品或者提供服务的，人民法院依法予以支持。受让人请求经营者提供预付卡更名、修改密码等服务的，人民法院依法予以支持。</w:t>
      </w:r>
    </w:p>
    <w:p w14:paraId="687EFEBC">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预付式消费合同约定经营者在履行期限内向消费者提供不限次数服务，消费者违反诚实信用原则，以债权转让的名义让多名消费者行使本应由一名消费者行使的权利、损害经营者利益，经营者主张债权转让行为对其不发生效力的，人民法院应予支持。</w:t>
      </w:r>
    </w:p>
    <w:p w14:paraId="153B1304">
      <w:pPr>
        <w:ind w:firstLine="632" w:firstLineChars="200"/>
        <w:rPr>
          <w:rFonts w:hint="eastAsia" w:ascii="Times New Roman" w:hAnsi="Times New Roman" w:cs="仿宋_GB2312"/>
          <w:sz w:val="32"/>
          <w:szCs w:val="32"/>
        </w:rPr>
      </w:pPr>
      <w:bookmarkStart w:id="14" w:name="第十二条"/>
      <w:bookmarkEnd w:id="14"/>
      <w:r>
        <w:rPr>
          <w:rFonts w:hint="eastAsia" w:ascii="黑体" w:hAnsi="黑体" w:eastAsia="黑体" w:cs="黑体"/>
          <w:sz w:val="32"/>
          <w:szCs w:val="32"/>
          <w:lang w:val="en-US" w:eastAsia="zh-CN"/>
        </w:rPr>
        <w:t>第十二条</w:t>
      </w:r>
      <w:r>
        <w:rPr>
          <w:rFonts w:hint="eastAsia" w:ascii="Times New Roman" w:hAnsi="Times New Roman" w:cs="仿宋_GB2312"/>
          <w:sz w:val="32"/>
          <w:szCs w:val="32"/>
        </w:rPr>
        <w:t>　经营者与消费者订立预付式消费合同后，未经消费者同意，单方提高商品或者服务的价格、降低商品或者服务的质量，消费者请求经营者按合同约定履行义务并承担相应违约责任的，人民法院应予支持。</w:t>
      </w:r>
    </w:p>
    <w:p w14:paraId="4244D6C7">
      <w:pPr>
        <w:ind w:firstLine="632" w:firstLineChars="200"/>
        <w:rPr>
          <w:rFonts w:hint="eastAsia" w:ascii="Times New Roman" w:hAnsi="Times New Roman" w:cs="仿宋_GB2312"/>
          <w:sz w:val="32"/>
          <w:szCs w:val="32"/>
        </w:rPr>
      </w:pPr>
      <w:bookmarkStart w:id="15" w:name="第十三条"/>
      <w:bookmarkEnd w:id="15"/>
      <w:r>
        <w:rPr>
          <w:rFonts w:hint="eastAsia" w:ascii="黑体" w:hAnsi="黑体" w:eastAsia="黑体" w:cs="黑体"/>
          <w:sz w:val="32"/>
          <w:szCs w:val="32"/>
          <w:lang w:val="en-US" w:eastAsia="zh-CN"/>
        </w:rPr>
        <w:t>第十三条</w:t>
      </w:r>
      <w:r>
        <w:rPr>
          <w:rFonts w:hint="eastAsia" w:ascii="Times New Roman" w:hAnsi="Times New Roman" w:cs="仿宋_GB2312"/>
          <w:sz w:val="32"/>
          <w:szCs w:val="32"/>
        </w:rPr>
        <w:t>　消费者请求解除预付式消费合同，经营者存在下列情形之一的，人民法院应予支持：</w:t>
      </w:r>
    </w:p>
    <w:p w14:paraId="0F31CF25">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（一）变更经营场所给消费者接受商品或者服务造成明显不便；</w:t>
      </w:r>
    </w:p>
    <w:p w14:paraId="74780A9B">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（二）未经消费者同意将预付式消费合同义务转移给第三人；</w:t>
      </w:r>
    </w:p>
    <w:p w14:paraId="171178CC">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（三）承诺在合同约定期限内提供不限次数服务却不能正常提供；</w:t>
      </w:r>
    </w:p>
    <w:p w14:paraId="7D1A2FEC">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（四）法律规定或者合同约定消费者享有解除合同权利的其他情形。</w:t>
      </w:r>
    </w:p>
    <w:p w14:paraId="0F08DA84">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预付式消费合同成立后，消费者身体健康等合同的基础条件发生了当事人在订立合同时无法预见、不属于商业风险的重大变化，继续履行合同对于消费者明显不公平的，消费者可以与经营者重新协商；在合理期限内协商不成，消费者请求人民法院变更或者解除预付式消费合同的，人民法院应予支持。</w:t>
      </w:r>
    </w:p>
    <w:p w14:paraId="770C627B">
      <w:pPr>
        <w:ind w:firstLine="632" w:firstLineChars="200"/>
        <w:rPr>
          <w:rFonts w:hint="eastAsia" w:ascii="Times New Roman" w:hAnsi="Times New Roman" w:cs="仿宋_GB2312"/>
          <w:sz w:val="32"/>
          <w:szCs w:val="32"/>
        </w:rPr>
      </w:pPr>
      <w:bookmarkStart w:id="16" w:name="第十四条"/>
      <w:bookmarkEnd w:id="16"/>
      <w:r>
        <w:rPr>
          <w:rFonts w:hint="eastAsia" w:ascii="黑体" w:hAnsi="黑体" w:eastAsia="黑体" w:cs="黑体"/>
          <w:sz w:val="32"/>
          <w:szCs w:val="32"/>
          <w:lang w:val="en-US" w:eastAsia="zh-CN"/>
        </w:rPr>
        <w:t>第十四条</w:t>
      </w:r>
      <w:r>
        <w:rPr>
          <w:rFonts w:hint="eastAsia" w:ascii="Times New Roman" w:hAnsi="Times New Roman" w:cs="仿宋_GB2312"/>
          <w:sz w:val="32"/>
          <w:szCs w:val="32"/>
        </w:rPr>
        <w:t>　消费者自付款之日起七日内请求经营者返还预付款本金的，人民法院应予支持，但存在下列情形之一的除外：</w:t>
      </w:r>
    </w:p>
    <w:p w14:paraId="3F7E6036">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（一）消费者订立预付式消费合同时已经从经营者处获得过相同商品或者服务；</w:t>
      </w:r>
    </w:p>
    <w:p w14:paraId="35CF6B7A">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（二）消费者订立预付式消费合同时已经从其他经营者处获得过相同商品或者服务。</w:t>
      </w:r>
    </w:p>
    <w:p w14:paraId="046DBA15">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当事人就消费者无理由退款作出对消费者更有利的约定的，按照约定处理。</w:t>
      </w:r>
    </w:p>
    <w:p w14:paraId="0E58ED91">
      <w:pPr>
        <w:ind w:firstLine="632" w:firstLineChars="200"/>
        <w:rPr>
          <w:rFonts w:hint="eastAsia" w:ascii="Times New Roman" w:hAnsi="Times New Roman" w:cs="仿宋_GB2312"/>
          <w:sz w:val="32"/>
          <w:szCs w:val="32"/>
        </w:rPr>
      </w:pPr>
      <w:bookmarkStart w:id="17" w:name="第十五条"/>
      <w:bookmarkEnd w:id="17"/>
      <w:r>
        <w:rPr>
          <w:rFonts w:hint="eastAsia" w:ascii="黑体" w:hAnsi="黑体" w:eastAsia="黑体" w:cs="黑体"/>
          <w:sz w:val="32"/>
          <w:szCs w:val="32"/>
          <w:lang w:val="en-US" w:eastAsia="zh-CN"/>
        </w:rPr>
        <w:t>第十五条</w:t>
      </w:r>
      <w:r>
        <w:rPr>
          <w:rFonts w:hint="eastAsia" w:ascii="Times New Roman" w:hAnsi="Times New Roman" w:cs="仿宋_GB2312"/>
          <w:sz w:val="32"/>
          <w:szCs w:val="32"/>
        </w:rPr>
        <w:t>　预付式消费合同解除、无效、被撤销或者确定不发生效力，消费者请求经营者返还剩余预付款并支付利息的，人民法院应予支持。返还预付款本金应为预付款扣减已兑付商品或者提供服务的价款后的余额。</w:t>
      </w:r>
    </w:p>
    <w:p w14:paraId="65E7723C">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预付式消费合同解除、无效、被撤销或者确定不发生效力，当事人依照民法典第一百五十七条、第五百六十六条等规定请求赔偿其支付的合理费用等损失的，人民法院应予支持，但当事人因不可抗力或者情势变更解除合同的除外。</w:t>
      </w:r>
    </w:p>
    <w:p w14:paraId="736125D6">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经营者支付给员工等人员的预付款提成不属于前款规定的合理费用。</w:t>
      </w:r>
    </w:p>
    <w:p w14:paraId="6201E8A2">
      <w:pPr>
        <w:ind w:firstLine="632" w:firstLineChars="200"/>
        <w:rPr>
          <w:rFonts w:hint="eastAsia" w:ascii="Times New Roman" w:hAnsi="Times New Roman" w:cs="仿宋_GB2312"/>
          <w:sz w:val="32"/>
          <w:szCs w:val="32"/>
        </w:rPr>
      </w:pPr>
      <w:bookmarkStart w:id="18" w:name="第十六条"/>
      <w:bookmarkEnd w:id="18"/>
      <w:r>
        <w:rPr>
          <w:rFonts w:hint="eastAsia" w:ascii="黑体" w:hAnsi="黑体" w:eastAsia="黑体" w:cs="黑体"/>
          <w:sz w:val="32"/>
          <w:szCs w:val="32"/>
          <w:lang w:val="en-US" w:eastAsia="zh-CN"/>
        </w:rPr>
        <w:t>第十六条</w:t>
      </w:r>
      <w:r>
        <w:rPr>
          <w:rFonts w:hint="eastAsia" w:ascii="Times New Roman" w:hAnsi="Times New Roman" w:cs="仿宋_GB2312"/>
          <w:sz w:val="32"/>
          <w:szCs w:val="32"/>
        </w:rPr>
        <w:t>　当事人对返还预付款利息计付标准有约定的，按照约定处理。没有约定或者约定不明，因经营者原因返还预付款的，按照预付式消费合同成立时一年期贷款市场报价利率计算利息；因消费者原因返还预付款的，按照预付式消费合同成立时中国人民银行公布的一年定期存款基准利率计算利息。</w:t>
      </w:r>
    </w:p>
    <w:p w14:paraId="7B4CEA11">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经营者依照行政主管部门要求已将预付款转入监管账户，消费者请求按被监管资金的实际利率计算应返还的被监管部分预付款利息的，人民法院应予支持。</w:t>
      </w:r>
    </w:p>
    <w:p w14:paraId="0DA9BA38">
      <w:pPr>
        <w:ind w:firstLine="632" w:firstLineChars="200"/>
        <w:rPr>
          <w:rFonts w:hint="eastAsia" w:ascii="Times New Roman" w:hAnsi="Times New Roman" w:cs="仿宋_GB2312"/>
          <w:sz w:val="32"/>
          <w:szCs w:val="32"/>
        </w:rPr>
      </w:pPr>
      <w:bookmarkStart w:id="19" w:name="第十七条"/>
      <w:bookmarkEnd w:id="19"/>
      <w:r>
        <w:rPr>
          <w:rFonts w:hint="eastAsia" w:ascii="黑体" w:hAnsi="黑体" w:eastAsia="黑体" w:cs="黑体"/>
          <w:sz w:val="32"/>
          <w:szCs w:val="32"/>
          <w:lang w:val="en-US" w:eastAsia="zh-CN"/>
        </w:rPr>
        <w:t>第十七条</w:t>
      </w:r>
      <w:r>
        <w:rPr>
          <w:rFonts w:hint="eastAsia" w:ascii="Times New Roman" w:hAnsi="Times New Roman" w:cs="仿宋_GB2312"/>
          <w:sz w:val="32"/>
          <w:szCs w:val="32"/>
        </w:rPr>
        <w:t>　预付式消费合同解除、无效、被撤销或者确定不发生效力，消费者请求返还预付款的，自合同解除、被确认无效、被撤销或者确定不发生效力时起计算利息。</w:t>
      </w:r>
    </w:p>
    <w:p w14:paraId="1ECA3739">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当事人就返还预付款利息起算时间作出对消费者更有利的约定或者法律另有规定的，按照当事人约定或者法律规定处理。</w:t>
      </w:r>
    </w:p>
    <w:p w14:paraId="45A685D0">
      <w:pPr>
        <w:ind w:firstLine="632" w:firstLineChars="200"/>
        <w:rPr>
          <w:rFonts w:hint="eastAsia" w:ascii="Times New Roman" w:hAnsi="Times New Roman" w:cs="仿宋_GB2312"/>
          <w:sz w:val="32"/>
          <w:szCs w:val="32"/>
        </w:rPr>
      </w:pPr>
      <w:bookmarkStart w:id="20" w:name="第十八条"/>
      <w:bookmarkEnd w:id="20"/>
      <w:r>
        <w:rPr>
          <w:rFonts w:hint="eastAsia" w:ascii="黑体" w:hAnsi="黑体" w:eastAsia="黑体" w:cs="黑体"/>
          <w:sz w:val="32"/>
          <w:szCs w:val="32"/>
          <w:lang w:val="en-US" w:eastAsia="zh-CN"/>
        </w:rPr>
        <w:t>第十八条</w:t>
      </w:r>
      <w:r>
        <w:rPr>
          <w:rFonts w:hint="eastAsia" w:ascii="Times New Roman" w:hAnsi="Times New Roman" w:cs="仿宋_GB2312"/>
          <w:sz w:val="32"/>
          <w:szCs w:val="32"/>
        </w:rPr>
        <w:t>　非因消费者原因返还预付款的，人民法院按下列方式计算已兑付商品或者提供服务的价款：</w:t>
      </w:r>
    </w:p>
    <w:p w14:paraId="57425CDC">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（一）经营者向消费者提供折扣商品或者服务的，按折扣价计算已兑付商品或者提供服务的价款；</w:t>
      </w:r>
    </w:p>
    <w:p w14:paraId="4305ED86">
      <w:pPr>
        <w:ind w:firstLine="632" w:firstLineChars="200"/>
        <w:rPr>
          <w:rFonts w:hint="eastAsia" w:ascii="Times New Roman" w:hAnsi="Times New Roman" w:eastAsia="仿宋_GB2312" w:cs="仿宋_GB2312"/>
          <w:sz w:val="32"/>
          <w:szCs w:val="32"/>
          <w:lang w:val="en-US" w:eastAsia="zh-CN"/>
        </w:rPr>
      </w:pPr>
      <w:r>
        <w:rPr>
          <w:rFonts w:hint="eastAsia" w:ascii="Times New Roman" w:hAnsi="Times New Roman" w:cs="仿宋_GB2312"/>
          <w:sz w:val="32"/>
          <w:szCs w:val="32"/>
        </w:rPr>
        <w:t>（二）经营者向消费者赠送消费金额的，根据消费者实付金额与实付金额加赠送金额之比计算优惠比例，按优惠比例计算已兑付商品或者提供服务的价款。</w:t>
      </w:r>
    </w:p>
    <w:p w14:paraId="160BBE45">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当事人就已兑付商品或者提供服务折价作出对消费者更有利的约定的，按照约定处理。</w:t>
      </w:r>
    </w:p>
    <w:p w14:paraId="1170DBAF">
      <w:pPr>
        <w:ind w:firstLine="632" w:firstLineChars="200"/>
        <w:rPr>
          <w:rFonts w:hint="eastAsia" w:ascii="Times New Roman" w:hAnsi="Times New Roman" w:cs="仿宋_GB2312"/>
          <w:sz w:val="32"/>
          <w:szCs w:val="32"/>
        </w:rPr>
      </w:pPr>
      <w:bookmarkStart w:id="21" w:name="第十九条"/>
      <w:bookmarkEnd w:id="21"/>
      <w:r>
        <w:rPr>
          <w:rFonts w:hint="eastAsia" w:ascii="黑体" w:hAnsi="黑体" w:eastAsia="黑体" w:cs="黑体"/>
          <w:sz w:val="32"/>
          <w:szCs w:val="32"/>
          <w:lang w:val="en-US" w:eastAsia="zh-CN"/>
        </w:rPr>
        <w:t>第十九条</w:t>
      </w:r>
      <w:r>
        <w:rPr>
          <w:rFonts w:hint="eastAsia" w:ascii="Times New Roman" w:hAnsi="Times New Roman" w:cs="仿宋_GB2312"/>
          <w:sz w:val="32"/>
          <w:szCs w:val="32"/>
        </w:rPr>
        <w:t>　因消费者原因返还预付款，经营者向消费者提供折扣商品、服务或者向消费者赠送消费金额的，人民法院应当按商品或者服务打折前的价格计算已兑付商品或者提供服务的价款。</w:t>
      </w:r>
    </w:p>
    <w:p w14:paraId="08593951">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消费者主张打折前的价格明显不合理，经营者不能提供打折前价格交易记录的，人民法院可以按照订立合同时履行地同类商品或者服务的市场价格计算已兑付商品或者提供服务的价款。</w:t>
      </w:r>
    </w:p>
    <w:p w14:paraId="533FD2E1">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当事人就已兑付商品或者提供服务折价作出对消费者更有利的约定的，按照约定处理。</w:t>
      </w:r>
    </w:p>
    <w:p w14:paraId="065D90EA">
      <w:pPr>
        <w:ind w:firstLine="632" w:firstLineChars="200"/>
        <w:rPr>
          <w:rFonts w:hint="eastAsia" w:ascii="Times New Roman" w:hAnsi="Times New Roman" w:cs="仿宋_GB2312"/>
          <w:sz w:val="32"/>
          <w:szCs w:val="32"/>
        </w:rPr>
      </w:pPr>
      <w:bookmarkStart w:id="22" w:name="第二十条"/>
      <w:bookmarkEnd w:id="22"/>
      <w:r>
        <w:rPr>
          <w:rFonts w:hint="eastAsia" w:ascii="黑体" w:hAnsi="黑体" w:eastAsia="黑体" w:cs="黑体"/>
          <w:sz w:val="32"/>
          <w:szCs w:val="32"/>
          <w:lang w:val="en-US" w:eastAsia="zh-CN"/>
        </w:rPr>
        <w:t>第二十条</w:t>
      </w:r>
      <w:r>
        <w:rPr>
          <w:rFonts w:hint="eastAsia" w:ascii="Times New Roman" w:hAnsi="Times New Roman" w:cs="仿宋_GB2312"/>
          <w:sz w:val="32"/>
          <w:szCs w:val="32"/>
        </w:rPr>
        <w:t>　按折扣价或者优惠比例计算已兑付商品或者提供服务的价款未超出消费者预付款，但按打折前的价格计算已兑付商品或者提供服务的价款超出消费者预付款，经营者请求消费者支付按打折前的价格计算超出预付款部分价款的，人民法院不予支持。</w:t>
      </w:r>
    </w:p>
    <w:p w14:paraId="202553A1">
      <w:pPr>
        <w:ind w:firstLine="632" w:firstLineChars="200"/>
        <w:rPr>
          <w:rFonts w:hint="eastAsia" w:ascii="Times New Roman" w:hAnsi="Times New Roman" w:cs="仿宋_GB2312"/>
          <w:sz w:val="32"/>
          <w:szCs w:val="32"/>
        </w:rPr>
      </w:pPr>
      <w:bookmarkStart w:id="23" w:name="第二十一条"/>
      <w:bookmarkEnd w:id="23"/>
      <w:r>
        <w:rPr>
          <w:rFonts w:hint="eastAsia" w:ascii="黑体" w:hAnsi="黑体" w:eastAsia="黑体" w:cs="黑体"/>
          <w:sz w:val="32"/>
          <w:szCs w:val="32"/>
          <w:lang w:val="en-US" w:eastAsia="zh-CN"/>
        </w:rPr>
        <w:t>第二十一条</w:t>
      </w:r>
      <w:r>
        <w:rPr>
          <w:rFonts w:hint="eastAsia" w:ascii="Times New Roman" w:hAnsi="Times New Roman" w:cs="仿宋_GB2312"/>
          <w:sz w:val="32"/>
          <w:szCs w:val="32"/>
        </w:rPr>
        <w:t>　经营者向消费者赠送商品或者服务，消费者在预付式消费合同解除、无效、被撤销、确定不发生效力后请求返还剩余预付款，经营者主张消费者返还或者折价补偿已经赠送的商品或者服务的，人民法院应当综合考虑已经赠送的商品或者服务的价值、预付式消费合同标的金额、合同履行情况、退款原因等因素，依照诚实信用原则对是否支持经营者主张作出认定。</w:t>
      </w:r>
    </w:p>
    <w:p w14:paraId="71CB69EF">
      <w:pPr>
        <w:ind w:firstLine="632" w:firstLineChars="200"/>
        <w:rPr>
          <w:rFonts w:hint="eastAsia" w:ascii="Times New Roman" w:hAnsi="Times New Roman" w:cs="仿宋_GB2312"/>
          <w:sz w:val="32"/>
          <w:szCs w:val="32"/>
        </w:rPr>
      </w:pPr>
      <w:bookmarkStart w:id="24" w:name="第二十二条"/>
      <w:bookmarkEnd w:id="24"/>
      <w:r>
        <w:rPr>
          <w:rFonts w:hint="eastAsia" w:ascii="黑体" w:hAnsi="黑体" w:eastAsia="黑体" w:cs="黑体"/>
          <w:sz w:val="32"/>
          <w:szCs w:val="32"/>
          <w:lang w:val="en-US" w:eastAsia="zh-CN"/>
        </w:rPr>
        <w:t>第二十二条</w:t>
      </w:r>
      <w:r>
        <w:rPr>
          <w:rFonts w:hint="eastAsia" w:ascii="Times New Roman" w:hAnsi="Times New Roman" w:cs="仿宋_GB2312"/>
          <w:sz w:val="32"/>
          <w:szCs w:val="32"/>
        </w:rPr>
        <w:t>　预付式消费合同约定经营者在履行期限内向消费者提供不限次数服务，消费者请求按合同解除后的剩余履行期限与全部履行期限的比例计算应予返还的预付款的，人民法院应予支持。</w:t>
      </w:r>
    </w:p>
    <w:p w14:paraId="7B36379D">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经营者在预付式消费合同解除前已经停止提供商品或者服务，消费者请求按经营者停止提供商品或者服务后的剩余履行期限与全部履行期限的比例计算应予返还的预付款的，人民法院应予支持。</w:t>
      </w:r>
    </w:p>
    <w:p w14:paraId="6FA50DE8">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消费者因自身原因未在合同约定履行期限内要求经营者提供服务，请求返还预付款的，人民法院不予支持。</w:t>
      </w:r>
    </w:p>
    <w:p w14:paraId="6CDD3502">
      <w:pPr>
        <w:ind w:firstLine="632" w:firstLineChars="200"/>
        <w:rPr>
          <w:rFonts w:hint="eastAsia" w:ascii="Times New Roman" w:hAnsi="Times New Roman" w:cs="仿宋_GB2312"/>
          <w:sz w:val="32"/>
          <w:szCs w:val="32"/>
        </w:rPr>
      </w:pPr>
      <w:bookmarkStart w:id="25" w:name="第二十三条"/>
      <w:bookmarkEnd w:id="25"/>
      <w:r>
        <w:rPr>
          <w:rFonts w:hint="eastAsia" w:ascii="黑体" w:hAnsi="黑体" w:eastAsia="黑体" w:cs="黑体"/>
          <w:sz w:val="32"/>
          <w:szCs w:val="32"/>
          <w:lang w:val="en-US" w:eastAsia="zh-CN"/>
        </w:rPr>
        <w:t>第二十三条</w:t>
      </w:r>
      <w:r>
        <w:rPr>
          <w:rFonts w:hint="eastAsia" w:ascii="Times New Roman" w:hAnsi="Times New Roman" w:cs="仿宋_GB2312"/>
          <w:sz w:val="32"/>
          <w:szCs w:val="32"/>
        </w:rPr>
        <w:t>　经营者收取预付款后终止营业，既不按照约定兑付商品或者提供服务又恶意逃避消费者申请退款，消费者请求经营者承担惩罚性赔偿责任的，人民法院依法予以支持。</w:t>
      </w:r>
    </w:p>
    <w:p w14:paraId="5FE8898F">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经营者行为涉嫌刑事犯罪的，人民法院应当将犯罪线索移送公安机关。</w:t>
      </w:r>
    </w:p>
    <w:p w14:paraId="646492C9">
      <w:pPr>
        <w:ind w:firstLine="632" w:firstLineChars="200"/>
        <w:rPr>
          <w:rFonts w:hint="eastAsia" w:ascii="Times New Roman" w:hAnsi="Times New Roman" w:cs="仿宋_GB2312"/>
          <w:sz w:val="32"/>
          <w:szCs w:val="32"/>
        </w:rPr>
      </w:pPr>
      <w:bookmarkStart w:id="26" w:name="第二十四条"/>
      <w:bookmarkEnd w:id="26"/>
      <w:r>
        <w:rPr>
          <w:rFonts w:hint="eastAsia" w:ascii="黑体" w:hAnsi="黑体" w:eastAsia="黑体" w:cs="黑体"/>
          <w:sz w:val="32"/>
          <w:szCs w:val="32"/>
          <w:lang w:val="en-US" w:eastAsia="zh-CN"/>
        </w:rPr>
        <w:t>第二十四条</w:t>
      </w:r>
      <w:r>
        <w:rPr>
          <w:rFonts w:hint="eastAsia" w:ascii="Times New Roman" w:hAnsi="Times New Roman" w:cs="仿宋_GB2312"/>
          <w:sz w:val="32"/>
          <w:szCs w:val="32"/>
        </w:rPr>
        <w:t>　消费者请求经营者对尚有资金余额的预付卡提供激活、换卡等服务的，人民法院应予支持。</w:t>
      </w:r>
    </w:p>
    <w:p w14:paraId="74E7EEFD">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消费者请求经营者对尚有资金余额的记名预付卡提供挂失和补办服务的，人民法院应予支持。</w:t>
      </w:r>
    </w:p>
    <w:p w14:paraId="57ADFC52">
      <w:pPr>
        <w:ind w:firstLine="632" w:firstLineChars="200"/>
        <w:rPr>
          <w:rFonts w:hint="eastAsia" w:ascii="Times New Roman" w:hAnsi="Times New Roman" w:cs="仿宋_GB2312"/>
          <w:sz w:val="32"/>
          <w:szCs w:val="32"/>
        </w:rPr>
      </w:pPr>
      <w:bookmarkStart w:id="27" w:name="第二十五条"/>
      <w:bookmarkEnd w:id="27"/>
      <w:r>
        <w:rPr>
          <w:rFonts w:hint="eastAsia" w:ascii="黑体" w:hAnsi="黑体" w:eastAsia="黑体" w:cs="黑体"/>
          <w:sz w:val="32"/>
          <w:szCs w:val="32"/>
          <w:lang w:val="en-US" w:eastAsia="zh-CN"/>
        </w:rPr>
        <w:t>第二十五条</w:t>
      </w:r>
      <w:r>
        <w:rPr>
          <w:rFonts w:hint="eastAsia" w:ascii="Times New Roman" w:hAnsi="Times New Roman" w:cs="仿宋_GB2312"/>
          <w:sz w:val="32"/>
          <w:szCs w:val="32"/>
        </w:rPr>
        <w:t>　经营者控制合同文本或者记录消费内容、消费次数、消费金额、预付款余额等信息的证据，无正当理由拒不提交，消费者主张该证据的内容不利于经营者的，人民法院可以根据消费者的主张认定争议事实。</w:t>
      </w:r>
    </w:p>
    <w:p w14:paraId="3A23A0EE">
      <w:pPr>
        <w:ind w:firstLine="632" w:firstLineChars="200"/>
        <w:rPr>
          <w:rFonts w:hint="eastAsia" w:ascii="Times New Roman" w:hAnsi="Times New Roman" w:cs="仿宋_GB2312"/>
          <w:sz w:val="32"/>
          <w:szCs w:val="32"/>
        </w:rPr>
      </w:pPr>
      <w:bookmarkStart w:id="28" w:name="第二十六条"/>
      <w:bookmarkEnd w:id="28"/>
      <w:r>
        <w:rPr>
          <w:rFonts w:hint="eastAsia" w:ascii="黑体" w:hAnsi="黑体" w:eastAsia="黑体" w:cs="黑体"/>
          <w:sz w:val="32"/>
          <w:szCs w:val="32"/>
          <w:lang w:val="en-US" w:eastAsia="zh-CN"/>
        </w:rPr>
        <w:t>第二十六条</w:t>
      </w:r>
      <w:r>
        <w:rPr>
          <w:rFonts w:hint="eastAsia" w:ascii="Times New Roman" w:hAnsi="Times New Roman" w:cs="仿宋_GB2312"/>
          <w:sz w:val="32"/>
          <w:szCs w:val="32"/>
        </w:rPr>
        <w:t>　本解释所称预付卡为单用途商业预付卡，包括以磁条卡、芯片卡、纸券等为载体的实体卡和以密码、串码、图形、生物特征信息等为载体的虚拟卡。</w:t>
      </w:r>
    </w:p>
    <w:p w14:paraId="2A9844B6">
      <w:pPr>
        <w:ind w:firstLine="632" w:firstLineChars="200"/>
        <w:rPr>
          <w:rFonts w:hint="eastAsia" w:ascii="Times New Roman" w:hAnsi="Times New Roman" w:cs="仿宋_GB2312"/>
          <w:sz w:val="32"/>
          <w:szCs w:val="32"/>
        </w:rPr>
      </w:pPr>
      <w:r>
        <w:rPr>
          <w:rFonts w:hint="eastAsia" w:ascii="Times New Roman" w:hAnsi="Times New Roman" w:cs="仿宋_GB2312"/>
          <w:sz w:val="32"/>
          <w:szCs w:val="32"/>
        </w:rPr>
        <w:t>因多用途预付卡产生的纠纷不适用本解释。</w:t>
      </w:r>
    </w:p>
    <w:p w14:paraId="320BDFAE">
      <w:pPr>
        <w:ind w:firstLine="632" w:firstLineChars="200"/>
        <w:rPr>
          <w:rFonts w:hint="eastAsia" w:ascii="Times New Roman" w:hAnsi="Times New Roman" w:cs="仿宋_GB2312"/>
          <w:sz w:val="32"/>
          <w:szCs w:val="32"/>
        </w:rPr>
      </w:pPr>
      <w:bookmarkStart w:id="29" w:name="第二十七条"/>
      <w:bookmarkEnd w:id="29"/>
      <w:r>
        <w:rPr>
          <w:rFonts w:hint="eastAsia" w:ascii="黑体" w:hAnsi="黑体" w:eastAsia="黑体" w:cs="黑体"/>
          <w:sz w:val="32"/>
          <w:szCs w:val="32"/>
          <w:lang w:val="en-US" w:eastAsia="zh-CN"/>
        </w:rPr>
        <w:t>第二十七条</w:t>
      </w:r>
      <w:r>
        <w:rPr>
          <w:rFonts w:hint="eastAsia" w:ascii="Times New Roman" w:hAnsi="Times New Roman" w:cs="仿宋_GB2312"/>
          <w:sz w:val="32"/>
          <w:szCs w:val="32"/>
        </w:rPr>
        <w:t>　本解释自2025年5月1日起施行。</w:t>
      </w:r>
    </w:p>
    <w:sectPr>
      <w:footerReference r:id="rId3" w:type="default"/>
      <w:footerReference r:id="rId4" w:type="even"/>
      <w:pgSz w:w="11906" w:h="16838"/>
      <w:pgMar w:top="2098" w:right="1474" w:bottom="1984" w:left="1588" w:header="851" w:footer="1474" w:gutter="0"/>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auto"/>
    <w:pitch w:val="default"/>
    <w:sig w:usb0="E00002FF" w:usb1="400004FF" w:usb2="00000000" w:usb3="00000000" w:csb0="2000019F" w:csb1="00000000"/>
  </w:font>
  <w:font w:name="方正黑体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ˎ̥">
    <w:altName w:val="Arial Unicode MS"/>
    <w:panose1 w:val="00000000000000000000"/>
    <w:charset w:val="00"/>
    <w:family w:val="roman"/>
    <w:pitch w:val="default"/>
    <w:sig w:usb0="00000000" w:usb1="00000000" w:usb2="00000000" w:usb3="00000000" w:csb0="00040001" w:csb1="00000000"/>
  </w:font>
  <w:font w:name="HONOR Sans CN">
    <w:altName w:val="宋体"/>
    <w:panose1 w:val="02000500000000000000"/>
    <w:charset w:val="86"/>
    <w:family w:val="auto"/>
    <w:pitch w:val="default"/>
    <w:sig w:usb0="00000000" w:usb1="00000000" w:usb2="00000016" w:usb3="00000000" w:csb0="00040001" w:csb1="00000000"/>
  </w:font>
  <w:font w:name="CESI小标宋-GB18030">
    <w:altName w:val="宋体"/>
    <w:panose1 w:val="02000500000000000000"/>
    <w:charset w:val="86"/>
    <w:family w:val="auto"/>
    <w:pitch w:val="default"/>
    <w:sig w:usb0="00000000" w:usb1="00000000" w:usb2="00000016" w:usb3="00000000" w:csb0="0004000F" w:csb1="00000000"/>
  </w:font>
  <w:font w:name="方正小标宋简体">
    <w:altName w:val="Arial Unicode MS"/>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8FD9E">
    <w:pPr>
      <w:pStyle w:val="4"/>
      <w:wordWrap w:val="0"/>
      <w:jc w:val="right"/>
      <w:rPr>
        <w:rFonts w:eastAsia="宋体"/>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37B30">
    <w:pPr>
      <w:pStyle w:val="4"/>
      <w:rPr>
        <w:rFonts w:ascii="宋体" w:hAnsi="宋体" w:eastAsia="宋体"/>
        <w:sz w:val="28"/>
        <w:szCs w:val="28"/>
      </w:rPr>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6</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2OWQ1NmU4NmVlMDEyOWJlNDZmYWZmNzYxYTM0MDM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C00483C"/>
    <w:rsid w:val="0D9804AC"/>
    <w:rsid w:val="0DDA791E"/>
    <w:rsid w:val="123353A1"/>
    <w:rsid w:val="130F49E2"/>
    <w:rsid w:val="13936861"/>
    <w:rsid w:val="17977775"/>
    <w:rsid w:val="1A015F59"/>
    <w:rsid w:val="1D927673"/>
    <w:rsid w:val="208F6602"/>
    <w:rsid w:val="21641450"/>
    <w:rsid w:val="2200260F"/>
    <w:rsid w:val="226A2E83"/>
    <w:rsid w:val="24F5659E"/>
    <w:rsid w:val="251610A0"/>
    <w:rsid w:val="26705BD1"/>
    <w:rsid w:val="26736BAE"/>
    <w:rsid w:val="298A635B"/>
    <w:rsid w:val="2C286CBB"/>
    <w:rsid w:val="2D0951A3"/>
    <w:rsid w:val="2EC9480B"/>
    <w:rsid w:val="37702892"/>
    <w:rsid w:val="3C460065"/>
    <w:rsid w:val="3C527DA1"/>
    <w:rsid w:val="3CF47A8D"/>
    <w:rsid w:val="3D5B2BB6"/>
    <w:rsid w:val="3DE63740"/>
    <w:rsid w:val="3E267C4F"/>
    <w:rsid w:val="3FB419F3"/>
    <w:rsid w:val="40400BE3"/>
    <w:rsid w:val="406E4292"/>
    <w:rsid w:val="4150251C"/>
    <w:rsid w:val="442624E3"/>
    <w:rsid w:val="479733DA"/>
    <w:rsid w:val="481351D2"/>
    <w:rsid w:val="4AB1034C"/>
    <w:rsid w:val="4F375C04"/>
    <w:rsid w:val="5248189E"/>
    <w:rsid w:val="53543565"/>
    <w:rsid w:val="558A062C"/>
    <w:rsid w:val="55D20C3F"/>
    <w:rsid w:val="5B8E0527"/>
    <w:rsid w:val="5BE87A71"/>
    <w:rsid w:val="5DA237CF"/>
    <w:rsid w:val="5F066F8F"/>
    <w:rsid w:val="622F12CF"/>
    <w:rsid w:val="66D934E0"/>
    <w:rsid w:val="67D60F04"/>
    <w:rsid w:val="69623539"/>
    <w:rsid w:val="6A2E56A6"/>
    <w:rsid w:val="6A464C09"/>
    <w:rsid w:val="6C552A97"/>
    <w:rsid w:val="6D384E6C"/>
    <w:rsid w:val="7133370F"/>
    <w:rsid w:val="730257DC"/>
    <w:rsid w:val="775E649E"/>
    <w:rsid w:val="7BB07870"/>
    <w:rsid w:val="7E541E2C"/>
    <w:rsid w:val="7F824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unhideWhenUsed/>
    <w:qFormat/>
    <w:uiPriority w:val="9"/>
    <w:pPr>
      <w:keepNext/>
      <w:keepLines/>
      <w:spacing w:before="320" w:after="320" w:line="576" w:lineRule="auto"/>
      <w:jc w:val="center"/>
      <w:outlineLvl w:val="1"/>
    </w:pPr>
    <w:rPr>
      <w:rFonts w:eastAsia="方正黑体_GBK" w:asciiTheme="majorHAnsi" w:hAnsiTheme="majorHAnsi" w:cstheme="majorBidi"/>
      <w:bCs/>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ascii="宋体" w:hAnsi="Courier New" w:cs="Courier New"/>
      <w:szCs w:val="21"/>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unhideWhenUsed/>
    <w:qFormat/>
    <w:uiPriority w:val="99"/>
    <w:rPr>
      <w:color w:val="954F72"/>
      <w:u w:val="single"/>
    </w:rPr>
  </w:style>
  <w:style w:type="character" w:styleId="9">
    <w:name w:val="Hyperlink"/>
    <w:qFormat/>
    <w:uiPriority w:val="99"/>
    <w:rPr>
      <w:rFonts w:hint="default" w:ascii="ˎ̥" w:hAnsi="ˎ̥"/>
      <w:color w:val="0404B3"/>
      <w:sz w:val="18"/>
      <w:szCs w:val="18"/>
      <w:u w:val="none"/>
    </w:rPr>
  </w:style>
  <w:style w:type="character" w:customStyle="1" w:styleId="10">
    <w:name w:val="页脚 Char"/>
    <w:link w:val="4"/>
    <w:qFormat/>
    <w:uiPriority w:val="99"/>
    <w:rPr>
      <w:sz w:val="18"/>
      <w:szCs w:val="18"/>
    </w:rPr>
  </w:style>
  <w:style w:type="character" w:customStyle="1" w:styleId="11">
    <w:name w:val="页眉 Char"/>
    <w:link w:val="5"/>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4505</Words>
  <Characters>4522</Characters>
  <Lines>87</Lines>
  <Paragraphs>24</Paragraphs>
  <TotalTime>103</TotalTime>
  <ScaleCrop>false</ScaleCrop>
  <LinksUpToDate>false</LinksUpToDate>
  <CharactersWithSpaces>4549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2017-11-15T02:33:00Z</dcterms:created>
  <dc:creator>YF-INT6</dc:creator>
  <cp:lastModifiedBy>悠悠</cp:lastModifiedBy>
  <cp:lastPrinted>2024-07-19T01:09:00Z</cp:lastPrinted>
  <dcterms:modified xsi:type="dcterms:W3CDTF">2025-04-15T08:12:05Z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07C8CFC82F61452C9550952C007B54B9_13</vt:lpwstr>
  </property>
  <property fmtid="{D5CDD505-2E9C-101B-9397-08002B2CF9AE}" pid="3" name="KSOProductBuildVer">
    <vt:lpwstr>2052-12.1.0.20784</vt:lpwstr>
  </property>
  <property fmtid="{D5CDD505-2E9C-101B-9397-08002B2CF9AE}" pid="4" name="KSOTemplateDocerSaveRecord">
    <vt:lpwstr>eyJoZGlkIjoiOTc3M2Y5NzIzMDFlZjAyY2Q4Njk5ODkyYjFjNzBiNTQiLCJ1c2VySWQiOiIyMzkwNjQ1MjcifQ==</vt:lpwstr>
  </property>
</Properties>
</file>