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left"/>
        <w:rPr>
          <w:rFonts w:hint="eastAsia" w:ascii="黑体" w:hAnsi="黑体" w:eastAsia="黑体" w:cs="黑体"/>
          <w:kern w:val="0"/>
          <w:lang w:val="en-US" w:eastAsia="zh-CN"/>
        </w:rPr>
      </w:pPr>
      <w:r>
        <w:rPr>
          <w:rFonts w:hint="eastAsia" w:ascii="黑体" w:hAnsi="黑体" w:eastAsia="黑体" w:cs="黑体"/>
          <w:kern w:val="0"/>
        </w:rPr>
        <w:t>附件</w:t>
      </w:r>
      <w:r>
        <w:rPr>
          <w:rFonts w:hint="eastAsia" w:ascii="黑体" w:hAnsi="黑体" w:eastAsia="黑体" w:cs="黑体"/>
          <w:kern w:val="0"/>
          <w:lang w:val="en-US" w:eastAsia="zh-CN"/>
        </w:rPr>
        <w:t>2</w:t>
      </w:r>
    </w:p>
    <w:p>
      <w:pPr>
        <w:spacing w:line="560" w:lineRule="exact"/>
        <w:jc w:val="center"/>
        <w:rPr>
          <w:rFonts w:eastAsia="方正小标宋简体"/>
          <w:kern w:val="0"/>
          <w:sz w:val="40"/>
          <w:szCs w:val="40"/>
        </w:rPr>
      </w:pPr>
    </w:p>
    <w:p>
      <w:pPr>
        <w:spacing w:line="560" w:lineRule="exact"/>
        <w:jc w:val="center"/>
        <w:rPr>
          <w:rFonts w:hint="eastAsia" w:eastAsia="方正小标宋简体"/>
          <w:kern w:val="0"/>
          <w:sz w:val="40"/>
          <w:szCs w:val="40"/>
          <w:lang w:eastAsia="zh-CN"/>
        </w:rPr>
      </w:pPr>
      <w:r>
        <w:rPr>
          <w:rFonts w:hint="eastAsia" w:ascii="仿宋" w:hAnsi="仿宋" w:eastAsia="仿宋" w:cs="仿宋"/>
          <w:kern w:val="0"/>
          <w:sz w:val="40"/>
          <w:szCs w:val="40"/>
          <w:lang w:val="en-US" w:eastAsia="zh-CN"/>
        </w:rPr>
        <w:t>2019</w:t>
      </w:r>
      <w:r>
        <w:rPr>
          <w:rFonts w:hint="eastAsia" w:eastAsia="方正小标宋简体"/>
          <w:kern w:val="0"/>
          <w:sz w:val="40"/>
          <w:szCs w:val="40"/>
          <w:lang w:val="en-US" w:eastAsia="zh-CN"/>
        </w:rPr>
        <w:t>年度</w:t>
      </w:r>
      <w:r>
        <w:rPr>
          <w:rFonts w:eastAsia="方正小标宋简体"/>
          <w:kern w:val="0"/>
          <w:sz w:val="40"/>
          <w:szCs w:val="40"/>
        </w:rPr>
        <w:t>部门整体支出绩效</w:t>
      </w:r>
      <w:r>
        <w:rPr>
          <w:rFonts w:hint="eastAsia" w:eastAsia="方正小标宋简体"/>
          <w:kern w:val="0"/>
          <w:sz w:val="40"/>
          <w:szCs w:val="40"/>
          <w:lang w:eastAsia="zh-CN"/>
        </w:rPr>
        <w:t>自</w:t>
      </w:r>
      <w:r>
        <w:rPr>
          <w:rFonts w:eastAsia="方正小标宋简体"/>
          <w:kern w:val="0"/>
          <w:sz w:val="40"/>
          <w:szCs w:val="40"/>
        </w:rPr>
        <w:t>评表</w:t>
      </w:r>
    </w:p>
    <w:tbl>
      <w:tblPr>
        <w:tblStyle w:val="3"/>
        <w:tblW w:w="9063"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0" w:type="dxa"/>
          <w:bottom w:w="0" w:type="dxa"/>
          <w:right w:w="0" w:type="dxa"/>
        </w:tblCellMar>
      </w:tblPr>
      <w:tblGrid>
        <w:gridCol w:w="503"/>
        <w:gridCol w:w="503"/>
        <w:gridCol w:w="91"/>
        <w:gridCol w:w="293"/>
        <w:gridCol w:w="622"/>
        <w:gridCol w:w="156"/>
        <w:gridCol w:w="627"/>
        <w:gridCol w:w="517"/>
        <w:gridCol w:w="537"/>
        <w:gridCol w:w="1231"/>
        <w:gridCol w:w="569"/>
        <w:gridCol w:w="146"/>
        <w:gridCol w:w="363"/>
        <w:gridCol w:w="1593"/>
        <w:gridCol w:w="717"/>
        <w:gridCol w:w="595"/>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539" w:hRule="atLeast"/>
          <w:jc w:val="center"/>
        </w:trPr>
        <w:tc>
          <w:tcPr>
            <w:tcW w:w="1390" w:type="dxa"/>
            <w:gridSpan w:val="4"/>
            <w:tcBorders>
              <w:tl2br w:val="nil"/>
              <w:tr2bl w:val="nil"/>
            </w:tcBorders>
            <w:tcMar>
              <w:top w:w="15" w:type="dxa"/>
              <w:left w:w="15" w:type="dxa"/>
              <w:bottom w:w="0" w:type="dxa"/>
              <w:right w:w="15" w:type="dxa"/>
            </w:tcMar>
            <w:vAlign w:val="center"/>
          </w:tcPr>
          <w:p>
            <w:pPr>
              <w:spacing w:line="250" w:lineRule="exact"/>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部门名称</w:t>
            </w:r>
          </w:p>
        </w:tc>
        <w:tc>
          <w:tcPr>
            <w:tcW w:w="4259" w:type="dxa"/>
            <w:gridSpan w:val="7"/>
            <w:tcBorders>
              <w:tl2br w:val="nil"/>
              <w:tr2bl w:val="nil"/>
            </w:tcBorders>
            <w:tcMar>
              <w:top w:w="15" w:type="dxa"/>
              <w:left w:w="15" w:type="dxa"/>
              <w:bottom w:w="0" w:type="dxa"/>
              <w:right w:w="15" w:type="dxa"/>
            </w:tcMar>
            <w:vAlign w:val="center"/>
          </w:tcPr>
          <w:p>
            <w:pPr>
              <w:spacing w:line="250" w:lineRule="exact"/>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lang w:eastAsia="zh-CN"/>
              </w:rPr>
              <w:t>长沙市自然资源和规划局望城分局</w:t>
            </w:r>
            <w:r>
              <w:rPr>
                <w:rFonts w:hint="eastAsia" w:asciiTheme="minorEastAsia" w:hAnsiTheme="minorEastAsia" w:eastAsiaTheme="minorEastAsia" w:cstheme="minorEastAsia"/>
                <w:color w:val="000000"/>
                <w:sz w:val="21"/>
                <w:szCs w:val="21"/>
              </w:rPr>
              <w:t>　</w:t>
            </w:r>
          </w:p>
        </w:tc>
        <w:tc>
          <w:tcPr>
            <w:tcW w:w="2102" w:type="dxa"/>
            <w:gridSpan w:val="3"/>
            <w:tcBorders>
              <w:tl2br w:val="nil"/>
              <w:tr2bl w:val="nil"/>
            </w:tcBorders>
            <w:tcMar>
              <w:top w:w="15" w:type="dxa"/>
              <w:left w:w="15" w:type="dxa"/>
              <w:bottom w:w="0" w:type="dxa"/>
              <w:right w:w="15" w:type="dxa"/>
            </w:tcMar>
            <w:vAlign w:val="center"/>
          </w:tcPr>
          <w:p>
            <w:pPr>
              <w:spacing w:line="250" w:lineRule="exact"/>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下属单位个数</w:t>
            </w:r>
          </w:p>
        </w:tc>
        <w:tc>
          <w:tcPr>
            <w:tcW w:w="1312" w:type="dxa"/>
            <w:gridSpan w:val="2"/>
            <w:tcBorders>
              <w:tl2br w:val="nil"/>
              <w:tr2bl w:val="nil"/>
            </w:tcBorders>
            <w:tcMar>
              <w:top w:w="15" w:type="dxa"/>
              <w:left w:w="15" w:type="dxa"/>
              <w:bottom w:w="0" w:type="dxa"/>
              <w:right w:w="15" w:type="dxa"/>
            </w:tcMar>
            <w:vAlign w:val="center"/>
          </w:tcPr>
          <w:p>
            <w:pPr>
              <w:spacing w:line="250" w:lineRule="exact"/>
              <w:jc w:val="center"/>
              <w:rPr>
                <w:rFonts w:hint="default"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lang w:val="en-US" w:eastAsia="zh-CN"/>
              </w:rPr>
              <w:t>27</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539" w:hRule="atLeast"/>
          <w:jc w:val="center"/>
        </w:trPr>
        <w:tc>
          <w:tcPr>
            <w:tcW w:w="1390" w:type="dxa"/>
            <w:gridSpan w:val="4"/>
            <w:vMerge w:val="restart"/>
            <w:tcBorders>
              <w:tl2br w:val="nil"/>
              <w:tr2bl w:val="nil"/>
            </w:tcBorders>
            <w:tcMar>
              <w:top w:w="15" w:type="dxa"/>
              <w:left w:w="15" w:type="dxa"/>
              <w:bottom w:w="0" w:type="dxa"/>
              <w:right w:w="15" w:type="dxa"/>
            </w:tcMar>
            <w:vAlign w:val="center"/>
          </w:tcPr>
          <w:p>
            <w:pPr>
              <w:spacing w:line="250" w:lineRule="exact"/>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整体支出规模</w:t>
            </w:r>
          </w:p>
        </w:tc>
        <w:tc>
          <w:tcPr>
            <w:tcW w:w="2459" w:type="dxa"/>
            <w:gridSpan w:val="5"/>
            <w:tcBorders>
              <w:tl2br w:val="nil"/>
              <w:tr2bl w:val="nil"/>
            </w:tcBorders>
            <w:tcMar>
              <w:top w:w="15" w:type="dxa"/>
              <w:left w:w="15" w:type="dxa"/>
              <w:bottom w:w="0" w:type="dxa"/>
              <w:right w:w="15" w:type="dxa"/>
            </w:tcMar>
            <w:vAlign w:val="center"/>
          </w:tcPr>
          <w:p>
            <w:pPr>
              <w:spacing w:line="250" w:lineRule="exact"/>
              <w:jc w:val="center"/>
              <w:rPr>
                <w:rFonts w:hint="eastAsia"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rPr>
              <w:t>　</w:t>
            </w:r>
            <w:r>
              <w:rPr>
                <w:rFonts w:hint="eastAsia" w:asciiTheme="minorEastAsia" w:hAnsiTheme="minorEastAsia" w:eastAsiaTheme="minorEastAsia" w:cstheme="minorEastAsia"/>
                <w:color w:val="000000"/>
                <w:sz w:val="21"/>
                <w:szCs w:val="21"/>
                <w:lang w:eastAsia="zh-CN"/>
              </w:rPr>
              <w:t>项</w:t>
            </w:r>
            <w:r>
              <w:rPr>
                <w:rFonts w:hint="eastAsia" w:asciiTheme="minorEastAsia" w:hAnsiTheme="minorEastAsia" w:eastAsiaTheme="minorEastAsia" w:cstheme="minorEastAsia"/>
                <w:color w:val="000000"/>
                <w:sz w:val="21"/>
                <w:szCs w:val="21"/>
                <w:lang w:val="en-US" w:eastAsia="zh-CN"/>
              </w:rPr>
              <w:t xml:space="preserve">   </w:t>
            </w:r>
            <w:r>
              <w:rPr>
                <w:rFonts w:hint="eastAsia" w:asciiTheme="minorEastAsia" w:hAnsiTheme="minorEastAsia" w:eastAsiaTheme="minorEastAsia" w:cstheme="minorEastAsia"/>
                <w:color w:val="000000"/>
                <w:sz w:val="21"/>
                <w:szCs w:val="21"/>
                <w:lang w:eastAsia="zh-CN"/>
              </w:rPr>
              <w:t>目</w:t>
            </w:r>
          </w:p>
        </w:tc>
        <w:tc>
          <w:tcPr>
            <w:tcW w:w="2309" w:type="dxa"/>
            <w:gridSpan w:val="4"/>
            <w:tcBorders>
              <w:tl2br w:val="nil"/>
              <w:tr2bl w:val="nil"/>
            </w:tcBorders>
            <w:tcMar>
              <w:top w:w="15" w:type="dxa"/>
              <w:left w:w="15" w:type="dxa"/>
              <w:bottom w:w="0" w:type="dxa"/>
              <w:right w:w="15" w:type="dxa"/>
            </w:tcMar>
            <w:vAlign w:val="center"/>
          </w:tcPr>
          <w:p>
            <w:pPr>
              <w:spacing w:line="250" w:lineRule="exact"/>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全年预算数</w:t>
            </w:r>
          </w:p>
        </w:tc>
        <w:tc>
          <w:tcPr>
            <w:tcW w:w="2310" w:type="dxa"/>
            <w:gridSpan w:val="2"/>
            <w:tcBorders>
              <w:tl2br w:val="nil"/>
              <w:tr2bl w:val="nil"/>
            </w:tcBorders>
            <w:tcMar>
              <w:top w:w="15" w:type="dxa"/>
              <w:left w:w="15" w:type="dxa"/>
              <w:bottom w:w="0" w:type="dxa"/>
              <w:right w:w="15" w:type="dxa"/>
            </w:tcMar>
            <w:vAlign w:val="center"/>
          </w:tcPr>
          <w:p>
            <w:pPr>
              <w:spacing w:line="250" w:lineRule="exact"/>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全年执行数</w:t>
            </w:r>
          </w:p>
        </w:tc>
        <w:tc>
          <w:tcPr>
            <w:tcW w:w="595" w:type="dxa"/>
            <w:tcBorders>
              <w:tl2br w:val="nil"/>
              <w:tr2bl w:val="nil"/>
            </w:tcBorders>
            <w:tcMar>
              <w:top w:w="15" w:type="dxa"/>
              <w:left w:w="15" w:type="dxa"/>
              <w:bottom w:w="0" w:type="dxa"/>
              <w:right w:w="15" w:type="dxa"/>
            </w:tcMar>
            <w:vAlign w:val="center"/>
          </w:tcPr>
          <w:p>
            <w:pPr>
              <w:spacing w:line="250" w:lineRule="exact"/>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执行率</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539" w:hRule="atLeast"/>
          <w:jc w:val="center"/>
        </w:trPr>
        <w:tc>
          <w:tcPr>
            <w:tcW w:w="1390" w:type="dxa"/>
            <w:gridSpan w:val="4"/>
            <w:vMerge w:val="continue"/>
            <w:tcBorders>
              <w:tl2br w:val="nil"/>
              <w:tr2bl w:val="nil"/>
            </w:tcBorders>
            <w:vAlign w:val="center"/>
          </w:tcPr>
          <w:p>
            <w:pPr>
              <w:spacing w:line="250" w:lineRule="exact"/>
              <w:rPr>
                <w:rFonts w:hint="eastAsia" w:asciiTheme="minorEastAsia" w:hAnsiTheme="minorEastAsia" w:eastAsiaTheme="minorEastAsia" w:cstheme="minorEastAsia"/>
                <w:color w:val="000000"/>
                <w:sz w:val="21"/>
                <w:szCs w:val="21"/>
              </w:rPr>
            </w:pPr>
          </w:p>
        </w:tc>
        <w:tc>
          <w:tcPr>
            <w:tcW w:w="778" w:type="dxa"/>
            <w:gridSpan w:val="2"/>
            <w:vMerge w:val="restart"/>
            <w:tcBorders>
              <w:tl2br w:val="nil"/>
              <w:tr2bl w:val="nil"/>
            </w:tcBorders>
            <w:tcMar>
              <w:top w:w="15" w:type="dxa"/>
              <w:left w:w="15" w:type="dxa"/>
              <w:bottom w:w="0" w:type="dxa"/>
              <w:right w:w="15" w:type="dxa"/>
            </w:tcMar>
            <w:vAlign w:val="center"/>
          </w:tcPr>
          <w:p>
            <w:pPr>
              <w:spacing w:line="250" w:lineRule="exact"/>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资</w:t>
            </w:r>
          </w:p>
          <w:p>
            <w:pPr>
              <w:spacing w:line="250" w:lineRule="exact"/>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金</w:t>
            </w:r>
          </w:p>
          <w:p>
            <w:pPr>
              <w:spacing w:line="250" w:lineRule="exact"/>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来</w:t>
            </w:r>
          </w:p>
          <w:p>
            <w:pPr>
              <w:spacing w:line="250" w:lineRule="exact"/>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源</w:t>
            </w:r>
          </w:p>
          <w:p>
            <w:pPr>
              <w:spacing w:line="250" w:lineRule="exact"/>
              <w:jc w:val="center"/>
              <w:rPr>
                <w:rFonts w:hint="eastAsia" w:asciiTheme="minorEastAsia" w:hAnsiTheme="minorEastAsia" w:eastAsiaTheme="minorEastAsia" w:cstheme="minorEastAsia"/>
                <w:color w:val="000000"/>
                <w:sz w:val="21"/>
                <w:szCs w:val="21"/>
              </w:rPr>
            </w:pPr>
          </w:p>
        </w:tc>
        <w:tc>
          <w:tcPr>
            <w:tcW w:w="1681" w:type="dxa"/>
            <w:gridSpan w:val="3"/>
            <w:tcBorders>
              <w:tl2br w:val="nil"/>
              <w:tr2bl w:val="nil"/>
            </w:tcBorders>
            <w:tcMar>
              <w:top w:w="15" w:type="dxa"/>
              <w:left w:w="15" w:type="dxa"/>
              <w:bottom w:w="0" w:type="dxa"/>
              <w:right w:w="15" w:type="dxa"/>
            </w:tcMar>
            <w:vAlign w:val="center"/>
          </w:tcPr>
          <w:p>
            <w:pPr>
              <w:spacing w:line="250" w:lineRule="exact"/>
              <w:jc w:val="center"/>
              <w:rPr>
                <w:rFonts w:hint="eastAsia" w:asciiTheme="minorEastAsia" w:hAnsiTheme="minorEastAsia" w:eastAsiaTheme="minorEastAsia" w:cstheme="minorEastAsia"/>
                <w:color w:val="000000"/>
                <w:sz w:val="21"/>
                <w:szCs w:val="21"/>
                <w:lang w:eastAsia="zh-CN"/>
              </w:rPr>
            </w:pPr>
            <w:r>
              <w:rPr>
                <w:rFonts w:hint="eastAsia" w:asciiTheme="minorEastAsia" w:hAnsiTheme="minorEastAsia" w:eastAsiaTheme="minorEastAsia" w:cstheme="minorEastAsia"/>
                <w:color w:val="000000"/>
                <w:sz w:val="21"/>
                <w:szCs w:val="21"/>
                <w:lang w:eastAsia="zh-CN"/>
              </w:rPr>
              <w:t>合计</w:t>
            </w:r>
          </w:p>
        </w:tc>
        <w:tc>
          <w:tcPr>
            <w:tcW w:w="2309" w:type="dxa"/>
            <w:gridSpan w:val="4"/>
            <w:tcBorders>
              <w:tl2br w:val="nil"/>
              <w:tr2bl w:val="nil"/>
            </w:tcBorders>
            <w:tcMar>
              <w:top w:w="15" w:type="dxa"/>
              <w:left w:w="15" w:type="dxa"/>
              <w:bottom w:w="0" w:type="dxa"/>
              <w:right w:w="15" w:type="dxa"/>
            </w:tcMar>
            <w:vAlign w:val="center"/>
          </w:tcPr>
          <w:p>
            <w:pPr>
              <w:spacing w:line="250" w:lineRule="exact"/>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lang w:val="en-US" w:eastAsia="zh-CN"/>
              </w:rPr>
              <w:t>143343712</w:t>
            </w:r>
            <w:r>
              <w:rPr>
                <w:rFonts w:hint="eastAsia" w:asciiTheme="minorEastAsia" w:hAnsiTheme="minorEastAsia" w:eastAsiaTheme="minorEastAsia" w:cstheme="minorEastAsia"/>
                <w:color w:val="000000"/>
                <w:sz w:val="21"/>
                <w:szCs w:val="21"/>
              </w:rPr>
              <w:t>　</w:t>
            </w:r>
          </w:p>
        </w:tc>
        <w:tc>
          <w:tcPr>
            <w:tcW w:w="2310" w:type="dxa"/>
            <w:gridSpan w:val="2"/>
            <w:tcBorders>
              <w:tl2br w:val="nil"/>
              <w:tr2bl w:val="nil"/>
            </w:tcBorders>
            <w:tcMar>
              <w:top w:w="15" w:type="dxa"/>
              <w:left w:w="15" w:type="dxa"/>
              <w:bottom w:w="0" w:type="dxa"/>
              <w:right w:w="15" w:type="dxa"/>
            </w:tcMar>
            <w:vAlign w:val="center"/>
          </w:tcPr>
          <w:p>
            <w:pPr>
              <w:spacing w:line="250" w:lineRule="exact"/>
              <w:jc w:val="center"/>
              <w:rPr>
                <w:rFonts w:hint="eastAsia"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lang w:val="en-US" w:eastAsia="zh-CN"/>
              </w:rPr>
              <w:t>2499171265.36</w:t>
            </w:r>
          </w:p>
        </w:tc>
        <w:tc>
          <w:tcPr>
            <w:tcW w:w="595" w:type="dxa"/>
            <w:tcBorders>
              <w:tl2br w:val="nil"/>
              <w:tr2bl w:val="nil"/>
            </w:tcBorders>
            <w:tcMar>
              <w:top w:w="15" w:type="dxa"/>
              <w:left w:w="15" w:type="dxa"/>
              <w:bottom w:w="0" w:type="dxa"/>
              <w:right w:w="15" w:type="dxa"/>
            </w:tcMar>
            <w:vAlign w:val="center"/>
          </w:tcPr>
          <w:p>
            <w:pPr>
              <w:spacing w:line="250" w:lineRule="exact"/>
              <w:rPr>
                <w:rFonts w:hint="default"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rPr>
              <w:t>　</w:t>
            </w:r>
            <w:r>
              <w:rPr>
                <w:rFonts w:hint="eastAsia" w:asciiTheme="minorEastAsia" w:hAnsiTheme="minorEastAsia" w:eastAsiaTheme="minorEastAsia" w:cstheme="minorEastAsia"/>
                <w:color w:val="000000"/>
                <w:sz w:val="21"/>
                <w:szCs w:val="21"/>
                <w:lang w:val="en-US" w:eastAsia="zh-CN"/>
              </w:rPr>
              <w:t>1743%</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539" w:hRule="atLeast"/>
          <w:jc w:val="center"/>
        </w:trPr>
        <w:tc>
          <w:tcPr>
            <w:tcW w:w="1390" w:type="dxa"/>
            <w:gridSpan w:val="4"/>
            <w:vMerge w:val="continue"/>
            <w:tcBorders>
              <w:tl2br w:val="nil"/>
              <w:tr2bl w:val="nil"/>
            </w:tcBorders>
            <w:vAlign w:val="center"/>
          </w:tcPr>
          <w:p>
            <w:pPr>
              <w:spacing w:line="250" w:lineRule="exact"/>
              <w:rPr>
                <w:rFonts w:hint="eastAsia" w:asciiTheme="minorEastAsia" w:hAnsiTheme="minorEastAsia" w:eastAsiaTheme="minorEastAsia" w:cstheme="minorEastAsia"/>
                <w:color w:val="000000"/>
                <w:sz w:val="21"/>
                <w:szCs w:val="21"/>
              </w:rPr>
            </w:pPr>
          </w:p>
        </w:tc>
        <w:tc>
          <w:tcPr>
            <w:tcW w:w="778" w:type="dxa"/>
            <w:gridSpan w:val="2"/>
            <w:vMerge w:val="continue"/>
            <w:tcBorders>
              <w:tl2br w:val="nil"/>
              <w:tr2bl w:val="nil"/>
            </w:tcBorders>
            <w:tcMar>
              <w:top w:w="15" w:type="dxa"/>
              <w:left w:w="15" w:type="dxa"/>
              <w:bottom w:w="0" w:type="dxa"/>
              <w:right w:w="15" w:type="dxa"/>
            </w:tcMar>
            <w:vAlign w:val="center"/>
          </w:tcPr>
          <w:p>
            <w:pPr>
              <w:spacing w:line="250" w:lineRule="exact"/>
              <w:jc w:val="center"/>
              <w:rPr>
                <w:rFonts w:hint="eastAsia" w:asciiTheme="minorEastAsia" w:hAnsiTheme="minorEastAsia" w:eastAsiaTheme="minorEastAsia" w:cstheme="minorEastAsia"/>
                <w:color w:val="000000"/>
                <w:sz w:val="21"/>
                <w:szCs w:val="21"/>
              </w:rPr>
            </w:pPr>
          </w:p>
        </w:tc>
        <w:tc>
          <w:tcPr>
            <w:tcW w:w="1681" w:type="dxa"/>
            <w:gridSpan w:val="3"/>
            <w:tcBorders>
              <w:tl2br w:val="nil"/>
              <w:tr2bl w:val="nil"/>
            </w:tcBorders>
            <w:tcMar>
              <w:top w:w="15" w:type="dxa"/>
              <w:left w:w="15" w:type="dxa"/>
              <w:bottom w:w="0" w:type="dxa"/>
              <w:right w:w="15" w:type="dxa"/>
            </w:tcMar>
            <w:vAlign w:val="center"/>
          </w:tcPr>
          <w:p>
            <w:pPr>
              <w:spacing w:line="250" w:lineRule="exact"/>
              <w:jc w:val="center"/>
              <w:rPr>
                <w:rFonts w:hint="eastAsia" w:asciiTheme="minorEastAsia" w:hAnsiTheme="minorEastAsia" w:eastAsiaTheme="minorEastAsia" w:cstheme="minorEastAsia"/>
                <w:color w:val="000000"/>
                <w:sz w:val="21"/>
                <w:szCs w:val="21"/>
                <w:lang w:eastAsia="zh-CN"/>
              </w:rPr>
            </w:pPr>
            <w:r>
              <w:rPr>
                <w:rFonts w:hint="eastAsia" w:asciiTheme="minorEastAsia" w:hAnsiTheme="minorEastAsia" w:eastAsiaTheme="minorEastAsia" w:cstheme="minorEastAsia"/>
                <w:color w:val="000000"/>
                <w:sz w:val="21"/>
                <w:szCs w:val="21"/>
              </w:rPr>
              <w:t>（1）财政拨</w:t>
            </w:r>
            <w:r>
              <w:rPr>
                <w:rFonts w:hint="eastAsia" w:asciiTheme="minorEastAsia" w:hAnsiTheme="minorEastAsia" w:eastAsiaTheme="minorEastAsia" w:cstheme="minorEastAsia"/>
                <w:color w:val="000000"/>
                <w:sz w:val="21"/>
                <w:szCs w:val="21"/>
                <w:lang w:eastAsia="zh-CN"/>
              </w:rPr>
              <w:t>款</w:t>
            </w:r>
          </w:p>
        </w:tc>
        <w:tc>
          <w:tcPr>
            <w:tcW w:w="2309" w:type="dxa"/>
            <w:gridSpan w:val="4"/>
            <w:tcBorders>
              <w:tl2br w:val="nil"/>
              <w:tr2bl w:val="nil"/>
            </w:tcBorders>
            <w:tcMar>
              <w:top w:w="15" w:type="dxa"/>
              <w:left w:w="15" w:type="dxa"/>
              <w:bottom w:w="0" w:type="dxa"/>
              <w:right w:w="15" w:type="dxa"/>
            </w:tcMar>
            <w:vAlign w:val="center"/>
          </w:tcPr>
          <w:p>
            <w:pPr>
              <w:spacing w:line="250" w:lineRule="exact"/>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lang w:val="en-US" w:eastAsia="zh-CN"/>
              </w:rPr>
              <w:t>143343712</w:t>
            </w:r>
            <w:r>
              <w:rPr>
                <w:rFonts w:hint="eastAsia" w:asciiTheme="minorEastAsia" w:hAnsiTheme="minorEastAsia" w:eastAsiaTheme="minorEastAsia" w:cstheme="minorEastAsia"/>
                <w:color w:val="000000"/>
                <w:sz w:val="21"/>
                <w:szCs w:val="21"/>
              </w:rPr>
              <w:t>　　</w:t>
            </w:r>
          </w:p>
        </w:tc>
        <w:tc>
          <w:tcPr>
            <w:tcW w:w="2310" w:type="dxa"/>
            <w:gridSpan w:val="2"/>
            <w:tcBorders>
              <w:tl2br w:val="nil"/>
              <w:tr2bl w:val="nil"/>
            </w:tcBorders>
            <w:tcMar>
              <w:top w:w="15" w:type="dxa"/>
              <w:left w:w="15" w:type="dxa"/>
              <w:bottom w:w="0" w:type="dxa"/>
              <w:right w:w="15" w:type="dxa"/>
            </w:tcMar>
            <w:vAlign w:val="center"/>
          </w:tcPr>
          <w:p>
            <w:pPr>
              <w:spacing w:line="250" w:lineRule="exact"/>
              <w:jc w:val="center"/>
              <w:rPr>
                <w:rFonts w:hint="eastAsia"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lang w:val="en-US" w:eastAsia="zh-CN"/>
              </w:rPr>
              <w:t>2499171265.36</w:t>
            </w:r>
          </w:p>
        </w:tc>
        <w:tc>
          <w:tcPr>
            <w:tcW w:w="595" w:type="dxa"/>
            <w:tcBorders>
              <w:tl2br w:val="nil"/>
              <w:tr2bl w:val="nil"/>
            </w:tcBorders>
            <w:tcMar>
              <w:top w:w="15" w:type="dxa"/>
              <w:left w:w="15" w:type="dxa"/>
              <w:bottom w:w="0" w:type="dxa"/>
              <w:right w:w="15" w:type="dxa"/>
            </w:tcMar>
            <w:vAlign w:val="center"/>
          </w:tcPr>
          <w:p>
            <w:pPr>
              <w:spacing w:line="250" w:lineRule="exact"/>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lang w:val="en-US" w:eastAsia="zh-CN"/>
              </w:rPr>
              <w:t>1743%</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539" w:hRule="atLeast"/>
          <w:jc w:val="center"/>
        </w:trPr>
        <w:tc>
          <w:tcPr>
            <w:tcW w:w="1390" w:type="dxa"/>
            <w:gridSpan w:val="4"/>
            <w:vMerge w:val="continue"/>
            <w:tcBorders>
              <w:tl2br w:val="nil"/>
              <w:tr2bl w:val="nil"/>
            </w:tcBorders>
            <w:vAlign w:val="center"/>
          </w:tcPr>
          <w:p>
            <w:pPr>
              <w:spacing w:line="250" w:lineRule="exact"/>
              <w:rPr>
                <w:rFonts w:hint="eastAsia" w:asciiTheme="minorEastAsia" w:hAnsiTheme="minorEastAsia" w:eastAsiaTheme="minorEastAsia" w:cstheme="minorEastAsia"/>
                <w:color w:val="000000"/>
                <w:sz w:val="21"/>
                <w:szCs w:val="21"/>
              </w:rPr>
            </w:pPr>
          </w:p>
        </w:tc>
        <w:tc>
          <w:tcPr>
            <w:tcW w:w="778" w:type="dxa"/>
            <w:gridSpan w:val="2"/>
            <w:vMerge w:val="continue"/>
            <w:tcBorders>
              <w:tl2br w:val="nil"/>
              <w:tr2bl w:val="nil"/>
            </w:tcBorders>
            <w:tcMar>
              <w:top w:w="15" w:type="dxa"/>
              <w:left w:w="15" w:type="dxa"/>
              <w:bottom w:w="0" w:type="dxa"/>
              <w:right w:w="15" w:type="dxa"/>
            </w:tcMar>
            <w:vAlign w:val="center"/>
          </w:tcPr>
          <w:p>
            <w:pPr>
              <w:spacing w:line="250" w:lineRule="exact"/>
              <w:jc w:val="center"/>
              <w:rPr>
                <w:rFonts w:hint="eastAsia" w:asciiTheme="minorEastAsia" w:hAnsiTheme="minorEastAsia" w:eastAsiaTheme="minorEastAsia" w:cstheme="minorEastAsia"/>
                <w:color w:val="000000"/>
                <w:sz w:val="21"/>
                <w:szCs w:val="21"/>
              </w:rPr>
            </w:pPr>
          </w:p>
        </w:tc>
        <w:tc>
          <w:tcPr>
            <w:tcW w:w="1681" w:type="dxa"/>
            <w:gridSpan w:val="3"/>
            <w:tcBorders>
              <w:tl2br w:val="nil"/>
              <w:tr2bl w:val="nil"/>
            </w:tcBorders>
            <w:tcMar>
              <w:top w:w="15" w:type="dxa"/>
              <w:left w:w="15" w:type="dxa"/>
              <w:bottom w:w="0" w:type="dxa"/>
              <w:right w:w="15" w:type="dxa"/>
            </w:tcMar>
            <w:vAlign w:val="center"/>
          </w:tcPr>
          <w:p>
            <w:pPr>
              <w:spacing w:line="250" w:lineRule="exact"/>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（2）其他资金</w:t>
            </w:r>
          </w:p>
        </w:tc>
        <w:tc>
          <w:tcPr>
            <w:tcW w:w="2309" w:type="dxa"/>
            <w:gridSpan w:val="4"/>
            <w:tcBorders>
              <w:tl2br w:val="nil"/>
              <w:tr2bl w:val="nil"/>
            </w:tcBorders>
            <w:tcMar>
              <w:top w:w="15" w:type="dxa"/>
              <w:left w:w="15" w:type="dxa"/>
              <w:bottom w:w="0" w:type="dxa"/>
              <w:right w:w="15" w:type="dxa"/>
            </w:tcMar>
            <w:vAlign w:val="center"/>
          </w:tcPr>
          <w:p>
            <w:pPr>
              <w:spacing w:line="250" w:lineRule="exact"/>
              <w:jc w:val="center"/>
              <w:rPr>
                <w:rFonts w:hint="eastAsia" w:asciiTheme="minorEastAsia" w:hAnsiTheme="minorEastAsia" w:eastAsiaTheme="minorEastAsia" w:cstheme="minorEastAsia"/>
                <w:color w:val="000000"/>
                <w:sz w:val="21"/>
                <w:szCs w:val="21"/>
              </w:rPr>
            </w:pPr>
          </w:p>
        </w:tc>
        <w:tc>
          <w:tcPr>
            <w:tcW w:w="2310" w:type="dxa"/>
            <w:gridSpan w:val="2"/>
            <w:tcBorders>
              <w:tl2br w:val="nil"/>
              <w:tr2bl w:val="nil"/>
            </w:tcBorders>
            <w:tcMar>
              <w:top w:w="15" w:type="dxa"/>
              <w:left w:w="15" w:type="dxa"/>
              <w:bottom w:w="0" w:type="dxa"/>
              <w:right w:w="15" w:type="dxa"/>
            </w:tcMar>
            <w:vAlign w:val="center"/>
          </w:tcPr>
          <w:p>
            <w:pPr>
              <w:spacing w:line="250" w:lineRule="exact"/>
              <w:jc w:val="center"/>
              <w:rPr>
                <w:rFonts w:hint="eastAsia" w:asciiTheme="minorEastAsia" w:hAnsiTheme="minorEastAsia" w:eastAsiaTheme="minorEastAsia" w:cstheme="minorEastAsia"/>
                <w:color w:val="000000"/>
                <w:sz w:val="21"/>
                <w:szCs w:val="21"/>
              </w:rPr>
            </w:pPr>
          </w:p>
        </w:tc>
        <w:tc>
          <w:tcPr>
            <w:tcW w:w="595" w:type="dxa"/>
            <w:tcBorders>
              <w:tl2br w:val="nil"/>
              <w:tr2bl w:val="nil"/>
            </w:tcBorders>
            <w:tcMar>
              <w:top w:w="15" w:type="dxa"/>
              <w:left w:w="15" w:type="dxa"/>
              <w:bottom w:w="0" w:type="dxa"/>
              <w:right w:w="15" w:type="dxa"/>
            </w:tcMar>
            <w:vAlign w:val="center"/>
          </w:tcPr>
          <w:p>
            <w:pPr>
              <w:spacing w:line="250" w:lineRule="exact"/>
              <w:rPr>
                <w:rFonts w:hint="eastAsia" w:asciiTheme="minorEastAsia" w:hAnsiTheme="minorEastAsia" w:eastAsiaTheme="minorEastAsia" w:cstheme="minorEastAsia"/>
                <w:color w:val="000000"/>
                <w:sz w:val="21"/>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539" w:hRule="atLeast"/>
          <w:jc w:val="center"/>
        </w:trPr>
        <w:tc>
          <w:tcPr>
            <w:tcW w:w="1390" w:type="dxa"/>
            <w:gridSpan w:val="4"/>
            <w:vMerge w:val="continue"/>
            <w:tcBorders>
              <w:tl2br w:val="nil"/>
              <w:tr2bl w:val="nil"/>
            </w:tcBorders>
            <w:vAlign w:val="center"/>
          </w:tcPr>
          <w:p>
            <w:pPr>
              <w:spacing w:line="250" w:lineRule="exact"/>
              <w:rPr>
                <w:rFonts w:hint="eastAsia" w:asciiTheme="minorEastAsia" w:hAnsiTheme="minorEastAsia" w:eastAsiaTheme="minorEastAsia" w:cstheme="minorEastAsia"/>
                <w:color w:val="000000"/>
                <w:sz w:val="21"/>
                <w:szCs w:val="21"/>
              </w:rPr>
            </w:pPr>
          </w:p>
        </w:tc>
        <w:tc>
          <w:tcPr>
            <w:tcW w:w="778" w:type="dxa"/>
            <w:gridSpan w:val="2"/>
            <w:vMerge w:val="restart"/>
            <w:tcBorders>
              <w:tl2br w:val="nil"/>
              <w:tr2bl w:val="nil"/>
            </w:tcBorders>
            <w:tcMar>
              <w:top w:w="15" w:type="dxa"/>
              <w:left w:w="15" w:type="dxa"/>
              <w:bottom w:w="0" w:type="dxa"/>
              <w:right w:w="15" w:type="dxa"/>
            </w:tcMar>
            <w:vAlign w:val="center"/>
          </w:tcPr>
          <w:p>
            <w:pPr>
              <w:spacing w:line="250" w:lineRule="exact"/>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资</w:t>
            </w:r>
          </w:p>
          <w:p>
            <w:pPr>
              <w:spacing w:line="250" w:lineRule="exact"/>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金</w:t>
            </w:r>
          </w:p>
          <w:p>
            <w:pPr>
              <w:spacing w:line="250" w:lineRule="exact"/>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结</w:t>
            </w:r>
          </w:p>
          <w:p>
            <w:pPr>
              <w:spacing w:line="250" w:lineRule="exact"/>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构</w:t>
            </w:r>
          </w:p>
          <w:p>
            <w:pPr>
              <w:spacing w:line="250" w:lineRule="exact"/>
              <w:jc w:val="center"/>
              <w:rPr>
                <w:rFonts w:hint="eastAsia" w:asciiTheme="minorEastAsia" w:hAnsiTheme="minorEastAsia" w:eastAsiaTheme="minorEastAsia" w:cstheme="minorEastAsia"/>
                <w:color w:val="000000"/>
                <w:sz w:val="21"/>
                <w:szCs w:val="21"/>
              </w:rPr>
            </w:pPr>
          </w:p>
        </w:tc>
        <w:tc>
          <w:tcPr>
            <w:tcW w:w="1681" w:type="dxa"/>
            <w:gridSpan w:val="3"/>
            <w:tcBorders>
              <w:tl2br w:val="nil"/>
              <w:tr2bl w:val="nil"/>
            </w:tcBorders>
            <w:tcMar>
              <w:top w:w="15" w:type="dxa"/>
              <w:left w:w="15" w:type="dxa"/>
              <w:bottom w:w="0" w:type="dxa"/>
              <w:right w:w="15" w:type="dxa"/>
            </w:tcMar>
            <w:vAlign w:val="center"/>
          </w:tcPr>
          <w:p>
            <w:pPr>
              <w:spacing w:line="250" w:lineRule="exact"/>
              <w:jc w:val="center"/>
              <w:rPr>
                <w:rFonts w:hint="eastAsia" w:asciiTheme="minorEastAsia" w:hAnsiTheme="minorEastAsia" w:eastAsiaTheme="minorEastAsia" w:cstheme="minorEastAsia"/>
                <w:color w:val="000000"/>
                <w:sz w:val="21"/>
                <w:szCs w:val="21"/>
                <w:lang w:eastAsia="zh-CN"/>
              </w:rPr>
            </w:pPr>
            <w:r>
              <w:rPr>
                <w:rFonts w:hint="eastAsia" w:asciiTheme="minorEastAsia" w:hAnsiTheme="minorEastAsia" w:eastAsiaTheme="minorEastAsia" w:cstheme="minorEastAsia"/>
                <w:color w:val="000000"/>
                <w:sz w:val="21"/>
                <w:szCs w:val="21"/>
                <w:lang w:eastAsia="zh-CN"/>
              </w:rPr>
              <w:t>合计</w:t>
            </w:r>
          </w:p>
        </w:tc>
        <w:tc>
          <w:tcPr>
            <w:tcW w:w="2309" w:type="dxa"/>
            <w:gridSpan w:val="4"/>
            <w:tcBorders>
              <w:tl2br w:val="nil"/>
              <w:tr2bl w:val="nil"/>
            </w:tcBorders>
            <w:tcMar>
              <w:top w:w="15" w:type="dxa"/>
              <w:left w:w="15" w:type="dxa"/>
              <w:bottom w:w="0" w:type="dxa"/>
              <w:right w:w="15" w:type="dxa"/>
            </w:tcMar>
            <w:vAlign w:val="center"/>
          </w:tcPr>
          <w:p>
            <w:pPr>
              <w:spacing w:line="250" w:lineRule="exact"/>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lang w:val="en-US" w:eastAsia="zh-CN"/>
              </w:rPr>
              <w:t>143343712</w:t>
            </w:r>
            <w:r>
              <w:rPr>
                <w:rFonts w:hint="eastAsia" w:asciiTheme="minorEastAsia" w:hAnsiTheme="minorEastAsia" w:eastAsiaTheme="minorEastAsia" w:cstheme="minorEastAsia"/>
                <w:color w:val="000000"/>
                <w:sz w:val="21"/>
                <w:szCs w:val="21"/>
              </w:rPr>
              <w:t>　　　</w:t>
            </w:r>
          </w:p>
        </w:tc>
        <w:tc>
          <w:tcPr>
            <w:tcW w:w="2310" w:type="dxa"/>
            <w:gridSpan w:val="2"/>
            <w:tcBorders>
              <w:tl2br w:val="nil"/>
              <w:tr2bl w:val="nil"/>
            </w:tcBorders>
            <w:tcMar>
              <w:top w:w="15" w:type="dxa"/>
              <w:left w:w="15" w:type="dxa"/>
              <w:bottom w:w="0" w:type="dxa"/>
              <w:right w:w="15" w:type="dxa"/>
            </w:tcMar>
            <w:vAlign w:val="center"/>
          </w:tcPr>
          <w:p>
            <w:pPr>
              <w:spacing w:line="250" w:lineRule="exact"/>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lang w:val="en-US" w:eastAsia="zh-CN"/>
              </w:rPr>
              <w:t>2499171265.36</w:t>
            </w:r>
            <w:r>
              <w:rPr>
                <w:rFonts w:hint="eastAsia" w:asciiTheme="minorEastAsia" w:hAnsiTheme="minorEastAsia" w:eastAsiaTheme="minorEastAsia" w:cstheme="minorEastAsia"/>
                <w:color w:val="000000"/>
                <w:sz w:val="21"/>
                <w:szCs w:val="21"/>
              </w:rPr>
              <w:t>　</w:t>
            </w:r>
          </w:p>
        </w:tc>
        <w:tc>
          <w:tcPr>
            <w:tcW w:w="595" w:type="dxa"/>
            <w:tcBorders>
              <w:tl2br w:val="nil"/>
              <w:tr2bl w:val="nil"/>
            </w:tcBorders>
            <w:tcMar>
              <w:top w:w="15" w:type="dxa"/>
              <w:left w:w="15" w:type="dxa"/>
              <w:bottom w:w="0" w:type="dxa"/>
              <w:right w:w="15" w:type="dxa"/>
            </w:tcMar>
            <w:vAlign w:val="center"/>
          </w:tcPr>
          <w:p>
            <w:pPr>
              <w:spacing w:line="250" w:lineRule="exact"/>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　</w:t>
            </w:r>
            <w:r>
              <w:rPr>
                <w:rFonts w:hint="eastAsia" w:asciiTheme="minorEastAsia" w:hAnsiTheme="minorEastAsia" w:eastAsiaTheme="minorEastAsia" w:cstheme="minorEastAsia"/>
                <w:color w:val="000000"/>
                <w:sz w:val="21"/>
                <w:szCs w:val="21"/>
                <w:lang w:val="en-US" w:eastAsia="zh-CN"/>
              </w:rPr>
              <w:t>1743%</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539" w:hRule="atLeast"/>
          <w:jc w:val="center"/>
        </w:trPr>
        <w:tc>
          <w:tcPr>
            <w:tcW w:w="1390" w:type="dxa"/>
            <w:gridSpan w:val="4"/>
            <w:vMerge w:val="continue"/>
            <w:tcBorders>
              <w:tl2br w:val="nil"/>
              <w:tr2bl w:val="nil"/>
            </w:tcBorders>
            <w:vAlign w:val="center"/>
          </w:tcPr>
          <w:p>
            <w:pPr>
              <w:spacing w:line="250" w:lineRule="exact"/>
              <w:rPr>
                <w:rFonts w:hint="eastAsia" w:asciiTheme="minorEastAsia" w:hAnsiTheme="minorEastAsia" w:eastAsiaTheme="minorEastAsia" w:cstheme="minorEastAsia"/>
                <w:color w:val="000000"/>
                <w:sz w:val="21"/>
                <w:szCs w:val="21"/>
              </w:rPr>
            </w:pPr>
          </w:p>
        </w:tc>
        <w:tc>
          <w:tcPr>
            <w:tcW w:w="778" w:type="dxa"/>
            <w:gridSpan w:val="2"/>
            <w:vMerge w:val="continue"/>
            <w:tcBorders>
              <w:tl2br w:val="nil"/>
              <w:tr2bl w:val="nil"/>
            </w:tcBorders>
            <w:tcMar>
              <w:top w:w="15" w:type="dxa"/>
              <w:left w:w="15" w:type="dxa"/>
              <w:bottom w:w="0" w:type="dxa"/>
              <w:right w:w="15" w:type="dxa"/>
            </w:tcMar>
            <w:vAlign w:val="center"/>
          </w:tcPr>
          <w:p>
            <w:pPr>
              <w:spacing w:line="250" w:lineRule="exact"/>
              <w:jc w:val="right"/>
              <w:rPr>
                <w:rFonts w:hint="eastAsia" w:asciiTheme="minorEastAsia" w:hAnsiTheme="minorEastAsia" w:eastAsiaTheme="minorEastAsia" w:cstheme="minorEastAsia"/>
                <w:color w:val="000000"/>
                <w:sz w:val="21"/>
                <w:szCs w:val="21"/>
              </w:rPr>
            </w:pPr>
          </w:p>
        </w:tc>
        <w:tc>
          <w:tcPr>
            <w:tcW w:w="1681" w:type="dxa"/>
            <w:gridSpan w:val="3"/>
            <w:tcBorders>
              <w:tl2br w:val="nil"/>
              <w:tr2bl w:val="nil"/>
            </w:tcBorders>
            <w:tcMar>
              <w:top w:w="15" w:type="dxa"/>
              <w:left w:w="15" w:type="dxa"/>
              <w:bottom w:w="0" w:type="dxa"/>
              <w:right w:w="15" w:type="dxa"/>
            </w:tcMar>
            <w:vAlign w:val="center"/>
          </w:tcPr>
          <w:p>
            <w:pPr>
              <w:spacing w:line="250" w:lineRule="exact"/>
              <w:jc w:val="center"/>
              <w:rPr>
                <w:rFonts w:hint="eastAsia" w:asciiTheme="minorEastAsia" w:hAnsiTheme="minorEastAsia" w:eastAsiaTheme="minorEastAsia" w:cstheme="minorEastAsia"/>
                <w:color w:val="000000"/>
                <w:sz w:val="21"/>
                <w:szCs w:val="21"/>
                <w:lang w:eastAsia="zh-CN"/>
              </w:rPr>
            </w:pPr>
            <w:r>
              <w:rPr>
                <w:rFonts w:hint="eastAsia" w:asciiTheme="minorEastAsia" w:hAnsiTheme="minorEastAsia" w:eastAsiaTheme="minorEastAsia" w:cstheme="minorEastAsia"/>
                <w:color w:val="000000"/>
                <w:sz w:val="21"/>
                <w:szCs w:val="21"/>
              </w:rPr>
              <w:t>（1）基本支</w:t>
            </w:r>
            <w:r>
              <w:rPr>
                <w:rFonts w:hint="eastAsia" w:asciiTheme="minorEastAsia" w:hAnsiTheme="minorEastAsia" w:eastAsiaTheme="minorEastAsia" w:cstheme="minorEastAsia"/>
                <w:color w:val="000000"/>
                <w:sz w:val="21"/>
                <w:szCs w:val="21"/>
                <w:lang w:eastAsia="zh-CN"/>
              </w:rPr>
              <w:t>出</w:t>
            </w:r>
          </w:p>
        </w:tc>
        <w:tc>
          <w:tcPr>
            <w:tcW w:w="2309" w:type="dxa"/>
            <w:gridSpan w:val="4"/>
            <w:tcBorders>
              <w:tl2br w:val="nil"/>
              <w:tr2bl w:val="nil"/>
            </w:tcBorders>
            <w:tcMar>
              <w:top w:w="15" w:type="dxa"/>
              <w:left w:w="15" w:type="dxa"/>
              <w:bottom w:w="0" w:type="dxa"/>
              <w:right w:w="15" w:type="dxa"/>
            </w:tcMar>
            <w:vAlign w:val="center"/>
          </w:tcPr>
          <w:p>
            <w:pPr>
              <w:spacing w:line="250" w:lineRule="exact"/>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lang w:val="en-US" w:eastAsia="zh-CN"/>
              </w:rPr>
              <w:t>55107712</w:t>
            </w:r>
            <w:r>
              <w:rPr>
                <w:rFonts w:hint="eastAsia" w:asciiTheme="minorEastAsia" w:hAnsiTheme="minorEastAsia" w:eastAsiaTheme="minorEastAsia" w:cstheme="minorEastAsia"/>
                <w:color w:val="000000"/>
                <w:sz w:val="21"/>
                <w:szCs w:val="21"/>
              </w:rPr>
              <w:t>　</w:t>
            </w:r>
          </w:p>
        </w:tc>
        <w:tc>
          <w:tcPr>
            <w:tcW w:w="2310" w:type="dxa"/>
            <w:gridSpan w:val="2"/>
            <w:tcBorders>
              <w:tl2br w:val="nil"/>
              <w:tr2bl w:val="nil"/>
            </w:tcBorders>
            <w:tcMar>
              <w:top w:w="15" w:type="dxa"/>
              <w:left w:w="15" w:type="dxa"/>
              <w:bottom w:w="0"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22"/>
                <w:szCs w:val="22"/>
                <w:u w:val="none"/>
                <w:lang w:val="en-US" w:eastAsia="zh-CN" w:bidi="ar-SA"/>
              </w:rPr>
            </w:pPr>
            <w:r>
              <w:rPr>
                <w:rFonts w:hint="eastAsia" w:ascii="宋体" w:hAnsi="宋体" w:eastAsia="宋体" w:cs="宋体"/>
                <w:i w:val="0"/>
                <w:color w:val="000000"/>
                <w:kern w:val="0"/>
                <w:sz w:val="22"/>
                <w:szCs w:val="22"/>
                <w:u w:val="none"/>
                <w:lang w:val="en-US" w:eastAsia="zh-CN" w:bidi="ar"/>
              </w:rPr>
              <w:t>55585571.34</w:t>
            </w:r>
          </w:p>
        </w:tc>
        <w:tc>
          <w:tcPr>
            <w:tcW w:w="595" w:type="dxa"/>
            <w:tcBorders>
              <w:tl2br w:val="nil"/>
              <w:tr2bl w:val="nil"/>
            </w:tcBorders>
            <w:tcMar>
              <w:top w:w="15" w:type="dxa"/>
              <w:left w:w="15" w:type="dxa"/>
              <w:bottom w:w="0" w:type="dxa"/>
              <w:right w:w="15" w:type="dxa"/>
            </w:tcMar>
            <w:vAlign w:val="center"/>
          </w:tcPr>
          <w:p>
            <w:pPr>
              <w:spacing w:line="250" w:lineRule="exact"/>
              <w:rPr>
                <w:rFonts w:hint="default"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rPr>
              <w:t>　</w:t>
            </w:r>
            <w:r>
              <w:rPr>
                <w:rFonts w:hint="eastAsia" w:asciiTheme="minorEastAsia" w:hAnsiTheme="minorEastAsia" w:eastAsiaTheme="minorEastAsia" w:cstheme="minorEastAsia"/>
                <w:color w:val="000000"/>
                <w:sz w:val="21"/>
                <w:szCs w:val="21"/>
                <w:lang w:val="en-US" w:eastAsia="zh-CN"/>
              </w:rPr>
              <w:t>100.9%</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539" w:hRule="atLeast"/>
          <w:jc w:val="center"/>
        </w:trPr>
        <w:tc>
          <w:tcPr>
            <w:tcW w:w="1390" w:type="dxa"/>
            <w:gridSpan w:val="4"/>
            <w:vMerge w:val="continue"/>
            <w:tcBorders>
              <w:tl2br w:val="nil"/>
              <w:tr2bl w:val="nil"/>
            </w:tcBorders>
            <w:vAlign w:val="center"/>
          </w:tcPr>
          <w:p>
            <w:pPr>
              <w:spacing w:line="250" w:lineRule="exact"/>
              <w:rPr>
                <w:rFonts w:hint="eastAsia" w:asciiTheme="minorEastAsia" w:hAnsiTheme="minorEastAsia" w:eastAsiaTheme="minorEastAsia" w:cstheme="minorEastAsia"/>
                <w:color w:val="000000"/>
                <w:sz w:val="21"/>
                <w:szCs w:val="21"/>
              </w:rPr>
            </w:pPr>
          </w:p>
        </w:tc>
        <w:tc>
          <w:tcPr>
            <w:tcW w:w="778" w:type="dxa"/>
            <w:gridSpan w:val="2"/>
            <w:vMerge w:val="continue"/>
            <w:tcBorders>
              <w:tl2br w:val="nil"/>
              <w:tr2bl w:val="nil"/>
            </w:tcBorders>
            <w:tcMar>
              <w:top w:w="15" w:type="dxa"/>
              <w:left w:w="15" w:type="dxa"/>
              <w:bottom w:w="0" w:type="dxa"/>
              <w:right w:w="15" w:type="dxa"/>
            </w:tcMar>
            <w:vAlign w:val="center"/>
          </w:tcPr>
          <w:p>
            <w:pPr>
              <w:spacing w:line="250" w:lineRule="exact"/>
              <w:jc w:val="right"/>
              <w:rPr>
                <w:rFonts w:hint="eastAsia" w:asciiTheme="minorEastAsia" w:hAnsiTheme="minorEastAsia" w:eastAsiaTheme="minorEastAsia" w:cstheme="minorEastAsia"/>
                <w:color w:val="000000"/>
                <w:sz w:val="21"/>
                <w:szCs w:val="21"/>
              </w:rPr>
            </w:pPr>
          </w:p>
        </w:tc>
        <w:tc>
          <w:tcPr>
            <w:tcW w:w="1681" w:type="dxa"/>
            <w:gridSpan w:val="3"/>
            <w:tcBorders>
              <w:tl2br w:val="nil"/>
              <w:tr2bl w:val="nil"/>
            </w:tcBorders>
            <w:tcMar>
              <w:top w:w="15" w:type="dxa"/>
              <w:left w:w="15" w:type="dxa"/>
              <w:bottom w:w="0" w:type="dxa"/>
              <w:right w:w="15" w:type="dxa"/>
            </w:tcMar>
            <w:vAlign w:val="center"/>
          </w:tcPr>
          <w:p>
            <w:pPr>
              <w:tabs>
                <w:tab w:val="left" w:pos="567"/>
              </w:tabs>
              <w:spacing w:line="250" w:lineRule="exact"/>
              <w:jc w:val="center"/>
              <w:rPr>
                <w:rFonts w:hint="eastAsia" w:asciiTheme="minorEastAsia" w:hAnsiTheme="minorEastAsia" w:eastAsiaTheme="minorEastAsia" w:cstheme="minorEastAsia"/>
                <w:color w:val="000000"/>
                <w:sz w:val="21"/>
                <w:szCs w:val="21"/>
                <w:lang w:eastAsia="zh-CN"/>
              </w:rPr>
            </w:pPr>
            <w:r>
              <w:rPr>
                <w:rFonts w:hint="eastAsia" w:asciiTheme="minorEastAsia" w:hAnsiTheme="minorEastAsia" w:eastAsiaTheme="minorEastAsia" w:cstheme="minorEastAsia"/>
                <w:color w:val="000000"/>
                <w:sz w:val="21"/>
                <w:szCs w:val="21"/>
              </w:rPr>
              <w:t>（2）项目支</w:t>
            </w:r>
            <w:r>
              <w:rPr>
                <w:rFonts w:hint="eastAsia" w:asciiTheme="minorEastAsia" w:hAnsiTheme="minorEastAsia" w:eastAsiaTheme="minorEastAsia" w:cstheme="minorEastAsia"/>
                <w:color w:val="000000"/>
                <w:sz w:val="21"/>
                <w:szCs w:val="21"/>
                <w:lang w:eastAsia="zh-CN"/>
              </w:rPr>
              <w:t>出</w:t>
            </w:r>
          </w:p>
        </w:tc>
        <w:tc>
          <w:tcPr>
            <w:tcW w:w="2309" w:type="dxa"/>
            <w:gridSpan w:val="4"/>
            <w:tcBorders>
              <w:tl2br w:val="nil"/>
              <w:tr2bl w:val="nil"/>
            </w:tcBorders>
            <w:tcMar>
              <w:top w:w="15" w:type="dxa"/>
              <w:left w:w="15" w:type="dxa"/>
              <w:bottom w:w="0" w:type="dxa"/>
              <w:right w:w="15" w:type="dxa"/>
            </w:tcMar>
            <w:vAlign w:val="center"/>
          </w:tcPr>
          <w:p>
            <w:pPr>
              <w:spacing w:line="250" w:lineRule="exact"/>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lang w:val="en-US" w:eastAsia="zh-CN"/>
              </w:rPr>
              <w:t>88236000</w:t>
            </w:r>
          </w:p>
        </w:tc>
        <w:tc>
          <w:tcPr>
            <w:tcW w:w="2310" w:type="dxa"/>
            <w:gridSpan w:val="2"/>
            <w:tcBorders>
              <w:tl2br w:val="nil"/>
              <w:tr2bl w:val="nil"/>
            </w:tcBorders>
            <w:tcMar>
              <w:top w:w="15" w:type="dxa"/>
              <w:left w:w="15" w:type="dxa"/>
              <w:bottom w:w="0"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22"/>
                <w:szCs w:val="22"/>
                <w:u w:val="none"/>
                <w:lang w:val="en-US" w:eastAsia="zh-CN" w:bidi="ar-SA"/>
              </w:rPr>
            </w:pPr>
            <w:r>
              <w:rPr>
                <w:rFonts w:hint="eastAsia" w:ascii="宋体" w:hAnsi="宋体" w:eastAsia="宋体" w:cs="宋体"/>
                <w:i w:val="0"/>
                <w:color w:val="000000"/>
                <w:kern w:val="0"/>
                <w:sz w:val="22"/>
                <w:szCs w:val="22"/>
                <w:u w:val="none"/>
                <w:lang w:val="en-US" w:eastAsia="zh-CN" w:bidi="ar"/>
              </w:rPr>
              <w:t>2443585694.02</w:t>
            </w:r>
          </w:p>
        </w:tc>
        <w:tc>
          <w:tcPr>
            <w:tcW w:w="595" w:type="dxa"/>
            <w:tcBorders>
              <w:tl2br w:val="nil"/>
              <w:tr2bl w:val="nil"/>
            </w:tcBorders>
            <w:tcMar>
              <w:top w:w="15" w:type="dxa"/>
              <w:left w:w="15" w:type="dxa"/>
              <w:bottom w:w="0" w:type="dxa"/>
              <w:right w:w="15" w:type="dxa"/>
            </w:tcMar>
            <w:vAlign w:val="center"/>
          </w:tcPr>
          <w:p>
            <w:pPr>
              <w:spacing w:line="250" w:lineRule="exact"/>
              <w:rPr>
                <w:rFonts w:hint="default"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rPr>
              <w:t>　</w:t>
            </w:r>
            <w:r>
              <w:rPr>
                <w:rFonts w:hint="eastAsia" w:asciiTheme="minorEastAsia" w:hAnsiTheme="minorEastAsia" w:eastAsiaTheme="minorEastAsia" w:cstheme="minorEastAsia"/>
                <w:color w:val="000000"/>
                <w:sz w:val="21"/>
                <w:szCs w:val="21"/>
                <w:lang w:val="en-US" w:eastAsia="zh-CN"/>
              </w:rPr>
              <w:t>2769%</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628" w:hRule="atLeast"/>
          <w:jc w:val="center"/>
        </w:trPr>
        <w:tc>
          <w:tcPr>
            <w:tcW w:w="1097" w:type="dxa"/>
            <w:gridSpan w:val="3"/>
            <w:vMerge w:val="restart"/>
            <w:tcBorders>
              <w:tl2br w:val="nil"/>
              <w:tr2bl w:val="nil"/>
            </w:tcBorders>
            <w:tcMar>
              <w:top w:w="15" w:type="dxa"/>
              <w:left w:w="15" w:type="dxa"/>
              <w:bottom w:w="0" w:type="dxa"/>
              <w:right w:w="15" w:type="dxa"/>
            </w:tcMar>
            <w:vAlign w:val="center"/>
          </w:tcPr>
          <w:p>
            <w:pPr>
              <w:spacing w:line="250" w:lineRule="exact"/>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年度总</w:t>
            </w:r>
          </w:p>
          <w:p>
            <w:pPr>
              <w:spacing w:line="250" w:lineRule="exact"/>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体目标</w:t>
            </w:r>
          </w:p>
        </w:tc>
        <w:tc>
          <w:tcPr>
            <w:tcW w:w="3983" w:type="dxa"/>
            <w:gridSpan w:val="7"/>
            <w:tcBorders>
              <w:tl2br w:val="nil"/>
              <w:tr2bl w:val="nil"/>
            </w:tcBorders>
            <w:tcMar>
              <w:top w:w="15" w:type="dxa"/>
              <w:left w:w="15" w:type="dxa"/>
              <w:bottom w:w="0" w:type="dxa"/>
              <w:right w:w="15" w:type="dxa"/>
            </w:tcMar>
            <w:vAlign w:val="center"/>
          </w:tcPr>
          <w:p>
            <w:pPr>
              <w:spacing w:line="250" w:lineRule="exact"/>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年初设定目标</w:t>
            </w:r>
          </w:p>
        </w:tc>
        <w:tc>
          <w:tcPr>
            <w:tcW w:w="3983" w:type="dxa"/>
            <w:gridSpan w:val="6"/>
            <w:tcBorders>
              <w:tl2br w:val="nil"/>
              <w:tr2bl w:val="nil"/>
            </w:tcBorders>
            <w:tcMar>
              <w:top w:w="15" w:type="dxa"/>
              <w:left w:w="15" w:type="dxa"/>
              <w:bottom w:w="0" w:type="dxa"/>
              <w:right w:w="15" w:type="dxa"/>
            </w:tcMar>
            <w:vAlign w:val="center"/>
          </w:tcPr>
          <w:p>
            <w:pPr>
              <w:spacing w:line="250" w:lineRule="exact"/>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全年完成情况</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1350" w:hRule="atLeast"/>
          <w:jc w:val="center"/>
        </w:trPr>
        <w:tc>
          <w:tcPr>
            <w:tcW w:w="1097" w:type="dxa"/>
            <w:gridSpan w:val="3"/>
            <w:vMerge w:val="continue"/>
            <w:tcBorders>
              <w:tl2br w:val="nil"/>
              <w:tr2bl w:val="nil"/>
            </w:tcBorders>
            <w:vAlign w:val="center"/>
          </w:tcPr>
          <w:p>
            <w:pPr>
              <w:spacing w:line="250" w:lineRule="exact"/>
              <w:rPr>
                <w:rFonts w:hint="eastAsia" w:asciiTheme="minorEastAsia" w:hAnsiTheme="minorEastAsia" w:eastAsiaTheme="minorEastAsia" w:cstheme="minorEastAsia"/>
                <w:color w:val="000000"/>
                <w:sz w:val="18"/>
                <w:szCs w:val="18"/>
              </w:rPr>
            </w:pPr>
          </w:p>
        </w:tc>
        <w:tc>
          <w:tcPr>
            <w:tcW w:w="3983" w:type="dxa"/>
            <w:gridSpan w:val="7"/>
            <w:tcBorders>
              <w:tl2br w:val="nil"/>
              <w:tr2bl w:val="nil"/>
            </w:tcBorders>
            <w:tcMar>
              <w:top w:w="15" w:type="dxa"/>
              <w:left w:w="15" w:type="dxa"/>
              <w:bottom w:w="0" w:type="dxa"/>
              <w:right w:w="15" w:type="dxa"/>
            </w:tcMar>
            <w:vAlign w:val="center"/>
          </w:tcPr>
          <w:p>
            <w:pPr>
              <w:spacing w:line="250" w:lineRule="exact"/>
              <w:jc w:val="left"/>
              <w:rPr>
                <w:rFonts w:hint="eastAsia"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sz w:val="18"/>
                <w:szCs w:val="18"/>
              </w:rPr>
              <w:t>全面贯彻落实“切实保护资源，依法保障资源，服务经济发展”的总体工作目标，认真贯彻落实节约优先战略和最严格的土地管理制度，不断健全和完善用地管理各项制度，坚持当前与长远相结合，国土资源保障能力不断提高，国土资源保护取得长足发展，为促进区域经济社会</w:t>
            </w:r>
            <w:bookmarkStart w:id="0" w:name="_GoBack"/>
            <w:bookmarkEnd w:id="0"/>
            <w:r>
              <w:rPr>
                <w:rFonts w:hint="eastAsia" w:asciiTheme="minorEastAsia" w:hAnsiTheme="minorEastAsia" w:eastAsiaTheme="minorEastAsia" w:cstheme="minorEastAsia"/>
                <w:color w:val="000000"/>
                <w:sz w:val="18"/>
                <w:szCs w:val="18"/>
              </w:rPr>
              <w:t>发展，建设资源节约型、环境友好型社会作出了积极贡献。　</w:t>
            </w:r>
          </w:p>
        </w:tc>
        <w:tc>
          <w:tcPr>
            <w:tcW w:w="3983" w:type="dxa"/>
            <w:gridSpan w:val="6"/>
            <w:tcBorders>
              <w:tl2br w:val="nil"/>
              <w:tr2bl w:val="nil"/>
            </w:tcBorders>
            <w:tcMar>
              <w:top w:w="15" w:type="dxa"/>
              <w:left w:w="15" w:type="dxa"/>
              <w:bottom w:w="0" w:type="dxa"/>
              <w:right w:w="15" w:type="dxa"/>
            </w:tcMar>
            <w:vAlign w:val="center"/>
          </w:tcPr>
          <w:p>
            <w:pPr>
              <w:spacing w:line="250" w:lineRule="exact"/>
              <w:jc w:val="left"/>
              <w:rPr>
                <w:rFonts w:hint="eastAsia"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sz w:val="18"/>
                <w:szCs w:val="18"/>
              </w:rPr>
              <w:t>全面贯彻落实“切实保护资源，依法保障资源，服务经济发展”的总体工作目标，认真贯彻落实节约优先战略和最严格的土地管理制度，不断健全和完善用地管理各项制度，坚持当前与长远相结合，国土资源保障能力不断提高，国土资源保护取得长足发展，为促进区域经济社会发展发展，建设资源节约型、环境友好型社会作出了积极贡献。　</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451" w:hRule="atLeast"/>
          <w:jc w:val="center"/>
        </w:trPr>
        <w:tc>
          <w:tcPr>
            <w:tcW w:w="9063" w:type="dxa"/>
            <w:gridSpan w:val="16"/>
            <w:tcBorders>
              <w:tl2br w:val="nil"/>
              <w:tr2bl w:val="nil"/>
            </w:tcBorders>
            <w:vAlign w:val="center"/>
          </w:tcPr>
          <w:p>
            <w:pPr>
              <w:spacing w:line="250" w:lineRule="exact"/>
              <w:jc w:val="center"/>
              <w:rPr>
                <w:rFonts w:hint="eastAsia"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sz w:val="18"/>
                <w:szCs w:val="18"/>
              </w:rPr>
              <w:t>分解目标自评</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blHeader/>
          <w:jc w:val="center"/>
        </w:trPr>
        <w:tc>
          <w:tcPr>
            <w:tcW w:w="503"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left"/>
              <w:textAlignment w:val="auto"/>
              <w:outlineLvl w:val="9"/>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一级指标</w:t>
            </w:r>
          </w:p>
        </w:tc>
        <w:tc>
          <w:tcPr>
            <w:tcW w:w="503"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分值</w:t>
            </w:r>
          </w:p>
        </w:tc>
        <w:tc>
          <w:tcPr>
            <w:tcW w:w="384" w:type="dxa"/>
            <w:gridSpan w:val="2"/>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二级</w:t>
            </w: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指标</w:t>
            </w:r>
          </w:p>
        </w:tc>
        <w:tc>
          <w:tcPr>
            <w:tcW w:w="62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分值</w:t>
            </w:r>
          </w:p>
        </w:tc>
        <w:tc>
          <w:tcPr>
            <w:tcW w:w="783" w:type="dxa"/>
            <w:gridSpan w:val="2"/>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三级</w:t>
            </w: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指标</w:t>
            </w:r>
          </w:p>
        </w:tc>
        <w:tc>
          <w:tcPr>
            <w:tcW w:w="517"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分值</w:t>
            </w:r>
          </w:p>
        </w:tc>
        <w:tc>
          <w:tcPr>
            <w:tcW w:w="2483" w:type="dxa"/>
            <w:gridSpan w:val="4"/>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评价标准</w:t>
            </w:r>
          </w:p>
        </w:tc>
        <w:tc>
          <w:tcPr>
            <w:tcW w:w="2673" w:type="dxa"/>
            <w:gridSpan w:val="3"/>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指标说明</w:t>
            </w:r>
          </w:p>
        </w:tc>
        <w:tc>
          <w:tcPr>
            <w:tcW w:w="595"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得分</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1680" w:hRule="atLeast"/>
          <w:jc w:val="center"/>
        </w:trPr>
        <w:tc>
          <w:tcPr>
            <w:tcW w:w="503" w:type="dxa"/>
            <w:vMerge w:val="restart"/>
            <w:tcBorders>
              <w:tl2br w:val="nil"/>
              <w:tr2bl w:val="nil"/>
            </w:tcBorders>
            <w:vAlign w:val="center"/>
          </w:tcPr>
          <w:p>
            <w:pPr>
              <w:spacing w:line="24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投入</w:t>
            </w:r>
          </w:p>
        </w:tc>
        <w:tc>
          <w:tcPr>
            <w:tcW w:w="503" w:type="dxa"/>
            <w:vMerge w:val="restart"/>
            <w:tcBorders>
              <w:tl2br w:val="nil"/>
              <w:tr2bl w:val="nil"/>
            </w:tcBorders>
            <w:vAlign w:val="center"/>
          </w:tcPr>
          <w:p>
            <w:pPr>
              <w:spacing w:line="24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10</w:t>
            </w:r>
          </w:p>
        </w:tc>
        <w:tc>
          <w:tcPr>
            <w:tcW w:w="384" w:type="dxa"/>
            <w:gridSpan w:val="2"/>
            <w:vMerge w:val="restart"/>
            <w:tcBorders>
              <w:tl2br w:val="nil"/>
              <w:tr2bl w:val="nil"/>
            </w:tcBorders>
            <w:vAlign w:val="center"/>
          </w:tcPr>
          <w:p>
            <w:pPr>
              <w:spacing w:line="24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预算配置</w:t>
            </w:r>
          </w:p>
        </w:tc>
        <w:tc>
          <w:tcPr>
            <w:tcW w:w="622" w:type="dxa"/>
            <w:vMerge w:val="restart"/>
            <w:tcBorders>
              <w:tl2br w:val="nil"/>
              <w:tr2bl w:val="nil"/>
            </w:tcBorders>
            <w:vAlign w:val="center"/>
          </w:tcPr>
          <w:p>
            <w:pPr>
              <w:spacing w:line="24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10</w:t>
            </w:r>
          </w:p>
        </w:tc>
        <w:tc>
          <w:tcPr>
            <w:tcW w:w="783" w:type="dxa"/>
            <w:gridSpan w:val="2"/>
            <w:tcBorders>
              <w:tl2br w:val="nil"/>
              <w:tr2bl w:val="nil"/>
            </w:tcBorders>
            <w:vAlign w:val="center"/>
          </w:tcPr>
          <w:p>
            <w:pPr>
              <w:spacing w:line="24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在职人员控制率</w:t>
            </w:r>
          </w:p>
        </w:tc>
        <w:tc>
          <w:tcPr>
            <w:tcW w:w="517" w:type="dxa"/>
            <w:tcBorders>
              <w:tl2br w:val="nil"/>
              <w:tr2bl w:val="nil"/>
            </w:tcBorders>
            <w:vAlign w:val="center"/>
          </w:tcPr>
          <w:p>
            <w:pPr>
              <w:spacing w:line="24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5</w:t>
            </w:r>
          </w:p>
        </w:tc>
        <w:tc>
          <w:tcPr>
            <w:tcW w:w="2483" w:type="dxa"/>
            <w:gridSpan w:val="4"/>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以100%为标准。在职人员控制率≦100%，计5分；每超过一个百分点扣0.5分，扣完为止。</w:t>
            </w:r>
          </w:p>
        </w:tc>
        <w:tc>
          <w:tcPr>
            <w:tcW w:w="2673" w:type="dxa"/>
            <w:gridSpan w:val="3"/>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lang w:eastAsia="zh-CN"/>
              </w:rPr>
            </w:pPr>
            <w:r>
              <w:rPr>
                <w:rFonts w:hint="eastAsia" w:asciiTheme="minorEastAsia" w:hAnsiTheme="minorEastAsia" w:eastAsiaTheme="minorEastAsia" w:cstheme="minorEastAsia"/>
                <w:kern w:val="0"/>
                <w:sz w:val="18"/>
                <w:szCs w:val="18"/>
              </w:rPr>
              <w:t>在职人员控制率=（在职人员数/编制数）×100%，在职人员数：部门（单位）实际在职人数，以财政厅确定的部门决算编制口径为准。</w:t>
            </w:r>
          </w:p>
          <w:p>
            <w:pPr>
              <w:spacing w:line="240" w:lineRule="exact"/>
              <w:jc w:val="left"/>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编制数：机构编制部门核定批复的部门（单位）的人员编制数。</w:t>
            </w:r>
          </w:p>
        </w:tc>
        <w:tc>
          <w:tcPr>
            <w:tcW w:w="595" w:type="dxa"/>
            <w:tcBorders>
              <w:tl2br w:val="nil"/>
              <w:tr2bl w:val="nil"/>
            </w:tcBorders>
            <w:vAlign w:val="center"/>
          </w:tcPr>
          <w:p>
            <w:pPr>
              <w:spacing w:line="240" w:lineRule="exact"/>
              <w:jc w:val="left"/>
              <w:rPr>
                <w:rFonts w:hint="eastAsia" w:asciiTheme="minorEastAsia" w:hAnsiTheme="minorEastAsia" w:eastAsiaTheme="minorEastAsia" w:cstheme="minorEastAsia"/>
                <w:color w:val="000000"/>
                <w:kern w:val="0"/>
                <w:sz w:val="18"/>
                <w:szCs w:val="18"/>
                <w:lang w:val="en-US" w:eastAsia="zh-CN"/>
              </w:rPr>
            </w:pPr>
            <w:r>
              <w:rPr>
                <w:rFonts w:hint="eastAsia" w:asciiTheme="minorEastAsia" w:hAnsiTheme="minorEastAsia" w:eastAsiaTheme="minorEastAsia" w:cstheme="minorEastAsia"/>
                <w:color w:val="000000"/>
                <w:kern w:val="0"/>
                <w:sz w:val="18"/>
                <w:szCs w:val="18"/>
                <w:lang w:val="en-US" w:eastAsia="zh-CN"/>
              </w:rPr>
              <w:t>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1849" w:hRule="atLeast"/>
          <w:jc w:val="center"/>
        </w:trPr>
        <w:tc>
          <w:tcPr>
            <w:tcW w:w="503" w:type="dxa"/>
            <w:vMerge w:val="continue"/>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p>
        </w:tc>
        <w:tc>
          <w:tcPr>
            <w:tcW w:w="503" w:type="dxa"/>
            <w:vMerge w:val="continue"/>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p>
        </w:tc>
        <w:tc>
          <w:tcPr>
            <w:tcW w:w="384" w:type="dxa"/>
            <w:gridSpan w:val="2"/>
            <w:vMerge w:val="continue"/>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p>
        </w:tc>
        <w:tc>
          <w:tcPr>
            <w:tcW w:w="622" w:type="dxa"/>
            <w:vMerge w:val="continue"/>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p>
        </w:tc>
        <w:tc>
          <w:tcPr>
            <w:tcW w:w="783" w:type="dxa"/>
            <w:gridSpan w:val="2"/>
            <w:tcBorders>
              <w:tl2br w:val="nil"/>
              <w:tr2bl w:val="nil"/>
            </w:tcBorders>
            <w:vAlign w:val="center"/>
          </w:tcPr>
          <w:p>
            <w:pPr>
              <w:spacing w:line="24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“三公经费”变动率</w:t>
            </w:r>
          </w:p>
        </w:tc>
        <w:tc>
          <w:tcPr>
            <w:tcW w:w="517" w:type="dxa"/>
            <w:tcBorders>
              <w:tl2br w:val="nil"/>
              <w:tr2bl w:val="nil"/>
            </w:tcBorders>
            <w:vAlign w:val="center"/>
          </w:tcPr>
          <w:p>
            <w:pPr>
              <w:spacing w:line="24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5</w:t>
            </w:r>
          </w:p>
        </w:tc>
        <w:tc>
          <w:tcPr>
            <w:tcW w:w="2483" w:type="dxa"/>
            <w:gridSpan w:val="4"/>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“三公经费”变动率≦0,计5分；“三公经费”＞0，每超过一个百分点扣0.8分，扣完为止。</w:t>
            </w:r>
          </w:p>
        </w:tc>
        <w:tc>
          <w:tcPr>
            <w:tcW w:w="2673" w:type="dxa"/>
            <w:gridSpan w:val="3"/>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“三公经费”变动率=[（本年度“三公经费”预算数-上年度“三公经费”预算数）/上年度“三公经费”预算数]×100%</w:t>
            </w:r>
          </w:p>
        </w:tc>
        <w:tc>
          <w:tcPr>
            <w:tcW w:w="595" w:type="dxa"/>
            <w:tcBorders>
              <w:tl2br w:val="nil"/>
              <w:tr2bl w:val="nil"/>
            </w:tcBorders>
            <w:vAlign w:val="center"/>
          </w:tcPr>
          <w:p>
            <w:pPr>
              <w:spacing w:line="240" w:lineRule="exact"/>
              <w:jc w:val="left"/>
              <w:rPr>
                <w:rFonts w:hint="eastAsia" w:asciiTheme="minorEastAsia" w:hAnsiTheme="minorEastAsia" w:eastAsiaTheme="minorEastAsia" w:cstheme="minorEastAsia"/>
                <w:color w:val="000000"/>
                <w:kern w:val="0"/>
                <w:sz w:val="18"/>
                <w:szCs w:val="18"/>
                <w:lang w:val="en-US" w:eastAsia="zh-CN"/>
              </w:rPr>
            </w:pPr>
            <w:r>
              <w:rPr>
                <w:rFonts w:hint="eastAsia" w:asciiTheme="minorEastAsia" w:hAnsiTheme="minorEastAsia" w:eastAsiaTheme="minorEastAsia" w:cstheme="minorEastAsia"/>
                <w:color w:val="000000"/>
                <w:kern w:val="0"/>
                <w:sz w:val="18"/>
                <w:szCs w:val="18"/>
                <w:lang w:val="en-US" w:eastAsia="zh-CN"/>
              </w:rPr>
              <w:t>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1560" w:hRule="atLeast"/>
          <w:jc w:val="center"/>
        </w:trPr>
        <w:tc>
          <w:tcPr>
            <w:tcW w:w="503" w:type="dxa"/>
            <w:vMerge w:val="restart"/>
            <w:tcBorders>
              <w:tl2br w:val="nil"/>
              <w:tr2bl w:val="nil"/>
            </w:tcBorders>
            <w:vAlign w:val="center"/>
          </w:tcPr>
          <w:p>
            <w:pPr>
              <w:spacing w:line="24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过</w:t>
            </w:r>
          </w:p>
          <w:p>
            <w:pPr>
              <w:spacing w:line="240" w:lineRule="exact"/>
              <w:jc w:val="center"/>
              <w:rPr>
                <w:rFonts w:hint="eastAsia" w:asciiTheme="minorEastAsia" w:hAnsiTheme="minorEastAsia" w:eastAsiaTheme="minorEastAsia" w:cstheme="minorEastAsia"/>
                <w:kern w:val="0"/>
                <w:sz w:val="18"/>
                <w:szCs w:val="18"/>
              </w:rPr>
            </w:pPr>
          </w:p>
          <w:p>
            <w:pPr>
              <w:spacing w:line="24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程</w:t>
            </w:r>
          </w:p>
        </w:tc>
        <w:tc>
          <w:tcPr>
            <w:tcW w:w="503" w:type="dxa"/>
            <w:vMerge w:val="restart"/>
            <w:tcBorders>
              <w:tl2br w:val="nil"/>
              <w:tr2bl w:val="nil"/>
            </w:tcBorders>
            <w:vAlign w:val="center"/>
          </w:tcPr>
          <w:p>
            <w:pPr>
              <w:spacing w:line="24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60</w:t>
            </w:r>
          </w:p>
        </w:tc>
        <w:tc>
          <w:tcPr>
            <w:tcW w:w="384" w:type="dxa"/>
            <w:gridSpan w:val="2"/>
            <w:vMerge w:val="restart"/>
            <w:tcBorders>
              <w:tl2br w:val="nil"/>
              <w:tr2bl w:val="nil"/>
            </w:tcBorders>
            <w:vAlign w:val="center"/>
          </w:tcPr>
          <w:p>
            <w:pPr>
              <w:spacing w:line="24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预算执行</w:t>
            </w:r>
          </w:p>
        </w:tc>
        <w:tc>
          <w:tcPr>
            <w:tcW w:w="622" w:type="dxa"/>
            <w:vMerge w:val="restart"/>
            <w:tcBorders>
              <w:tl2br w:val="nil"/>
              <w:tr2bl w:val="nil"/>
            </w:tcBorders>
            <w:vAlign w:val="center"/>
          </w:tcPr>
          <w:p>
            <w:pPr>
              <w:spacing w:line="24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20</w:t>
            </w:r>
          </w:p>
        </w:tc>
        <w:tc>
          <w:tcPr>
            <w:tcW w:w="783" w:type="dxa"/>
            <w:gridSpan w:val="2"/>
            <w:tcBorders>
              <w:tl2br w:val="nil"/>
              <w:tr2bl w:val="nil"/>
            </w:tcBorders>
            <w:vAlign w:val="center"/>
          </w:tcPr>
          <w:p>
            <w:pPr>
              <w:spacing w:line="24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预算完成率</w:t>
            </w:r>
          </w:p>
        </w:tc>
        <w:tc>
          <w:tcPr>
            <w:tcW w:w="517" w:type="dxa"/>
            <w:tcBorders>
              <w:tl2br w:val="nil"/>
              <w:tr2bl w:val="nil"/>
            </w:tcBorders>
            <w:vAlign w:val="center"/>
          </w:tcPr>
          <w:p>
            <w:pPr>
              <w:spacing w:line="24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5</w:t>
            </w:r>
          </w:p>
        </w:tc>
        <w:tc>
          <w:tcPr>
            <w:tcW w:w="2483" w:type="dxa"/>
            <w:gridSpan w:val="4"/>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100%计满分，每低于5%扣2分，扣完为止。</w:t>
            </w:r>
          </w:p>
        </w:tc>
        <w:tc>
          <w:tcPr>
            <w:tcW w:w="2673" w:type="dxa"/>
            <w:gridSpan w:val="3"/>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预算完成率=（上年结转+年初预算+本年追加预算-年末结余）/（上年结转+年初预算+本年追加预算）×100%。</w:t>
            </w:r>
          </w:p>
        </w:tc>
        <w:tc>
          <w:tcPr>
            <w:tcW w:w="595" w:type="dxa"/>
            <w:tcBorders>
              <w:tl2br w:val="nil"/>
              <w:tr2bl w:val="nil"/>
            </w:tcBorders>
            <w:vAlign w:val="center"/>
          </w:tcPr>
          <w:p>
            <w:pPr>
              <w:spacing w:line="240" w:lineRule="exact"/>
              <w:jc w:val="left"/>
              <w:rPr>
                <w:rFonts w:hint="eastAsia" w:asciiTheme="minorEastAsia" w:hAnsiTheme="minorEastAsia" w:eastAsiaTheme="minorEastAsia" w:cstheme="minorEastAsia"/>
                <w:color w:val="000000"/>
                <w:kern w:val="0"/>
                <w:sz w:val="18"/>
                <w:szCs w:val="18"/>
                <w:lang w:val="en-US" w:eastAsia="zh-CN"/>
              </w:rPr>
            </w:pPr>
            <w:r>
              <w:rPr>
                <w:rFonts w:hint="eastAsia" w:asciiTheme="minorEastAsia" w:hAnsiTheme="minorEastAsia" w:eastAsiaTheme="minorEastAsia" w:cstheme="minorEastAsia"/>
                <w:color w:val="000000"/>
                <w:kern w:val="0"/>
                <w:sz w:val="18"/>
                <w:szCs w:val="18"/>
                <w:lang w:val="en-US" w:eastAsia="zh-CN"/>
              </w:rPr>
              <w:t>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1560" w:hRule="atLeast"/>
          <w:jc w:val="center"/>
        </w:trPr>
        <w:tc>
          <w:tcPr>
            <w:tcW w:w="503" w:type="dxa"/>
            <w:vMerge w:val="continue"/>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p>
        </w:tc>
        <w:tc>
          <w:tcPr>
            <w:tcW w:w="503" w:type="dxa"/>
            <w:vMerge w:val="continue"/>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p>
        </w:tc>
        <w:tc>
          <w:tcPr>
            <w:tcW w:w="384" w:type="dxa"/>
            <w:gridSpan w:val="2"/>
            <w:vMerge w:val="continue"/>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p>
        </w:tc>
        <w:tc>
          <w:tcPr>
            <w:tcW w:w="622" w:type="dxa"/>
            <w:vMerge w:val="continue"/>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p>
        </w:tc>
        <w:tc>
          <w:tcPr>
            <w:tcW w:w="783" w:type="dxa"/>
            <w:gridSpan w:val="2"/>
            <w:tcBorders>
              <w:tl2br w:val="nil"/>
              <w:tr2bl w:val="nil"/>
            </w:tcBorders>
            <w:vAlign w:val="center"/>
          </w:tcPr>
          <w:p>
            <w:pPr>
              <w:spacing w:line="24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预算控制率</w:t>
            </w:r>
          </w:p>
        </w:tc>
        <w:tc>
          <w:tcPr>
            <w:tcW w:w="517" w:type="dxa"/>
            <w:tcBorders>
              <w:tl2br w:val="nil"/>
              <w:tr2bl w:val="nil"/>
            </w:tcBorders>
            <w:vAlign w:val="center"/>
          </w:tcPr>
          <w:p>
            <w:pPr>
              <w:spacing w:line="24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5</w:t>
            </w:r>
          </w:p>
        </w:tc>
        <w:tc>
          <w:tcPr>
            <w:tcW w:w="2483" w:type="dxa"/>
            <w:gridSpan w:val="4"/>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预算控制率=0，计5分；0-10%（含），计4分；10-20%（含），计3分；20-30%（含），计2分；大于30%不得分。</w:t>
            </w:r>
          </w:p>
        </w:tc>
        <w:tc>
          <w:tcPr>
            <w:tcW w:w="2673" w:type="dxa"/>
            <w:gridSpan w:val="3"/>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预算控制率=（本年追加预算/年初预算）×100%。</w:t>
            </w:r>
          </w:p>
        </w:tc>
        <w:tc>
          <w:tcPr>
            <w:tcW w:w="595" w:type="dxa"/>
            <w:tcBorders>
              <w:tl2br w:val="nil"/>
              <w:tr2bl w:val="nil"/>
            </w:tcBorders>
            <w:vAlign w:val="center"/>
          </w:tcPr>
          <w:p>
            <w:pPr>
              <w:spacing w:line="240" w:lineRule="exact"/>
              <w:jc w:val="left"/>
              <w:rPr>
                <w:rFonts w:hint="eastAsia" w:asciiTheme="minorEastAsia" w:hAnsiTheme="minorEastAsia" w:eastAsiaTheme="minorEastAsia" w:cstheme="minorEastAsia"/>
                <w:color w:val="000000"/>
                <w:kern w:val="0"/>
                <w:sz w:val="18"/>
                <w:szCs w:val="18"/>
                <w:lang w:val="en-US" w:eastAsia="zh-CN"/>
              </w:rPr>
            </w:pPr>
            <w:r>
              <w:rPr>
                <w:rFonts w:hint="eastAsia" w:asciiTheme="minorEastAsia" w:hAnsiTheme="minorEastAsia" w:eastAsiaTheme="minorEastAsia" w:cstheme="minorEastAsia"/>
                <w:color w:val="000000"/>
                <w:kern w:val="0"/>
                <w:sz w:val="18"/>
                <w:szCs w:val="18"/>
                <w:lang w:val="en-US" w:eastAsia="zh-CN"/>
              </w:rPr>
              <w:t>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1560" w:hRule="atLeast"/>
          <w:jc w:val="center"/>
        </w:trPr>
        <w:tc>
          <w:tcPr>
            <w:tcW w:w="503" w:type="dxa"/>
            <w:vMerge w:val="continue"/>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p>
        </w:tc>
        <w:tc>
          <w:tcPr>
            <w:tcW w:w="503" w:type="dxa"/>
            <w:vMerge w:val="continue"/>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p>
        </w:tc>
        <w:tc>
          <w:tcPr>
            <w:tcW w:w="384" w:type="dxa"/>
            <w:gridSpan w:val="2"/>
            <w:vMerge w:val="continue"/>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p>
        </w:tc>
        <w:tc>
          <w:tcPr>
            <w:tcW w:w="622" w:type="dxa"/>
            <w:vMerge w:val="continue"/>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p>
        </w:tc>
        <w:tc>
          <w:tcPr>
            <w:tcW w:w="783" w:type="dxa"/>
            <w:gridSpan w:val="2"/>
            <w:tcBorders>
              <w:tl2br w:val="nil"/>
              <w:tr2bl w:val="nil"/>
            </w:tcBorders>
            <w:vAlign w:val="center"/>
          </w:tcPr>
          <w:p>
            <w:pPr>
              <w:spacing w:line="24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新建楼堂馆所面积控制率</w:t>
            </w:r>
          </w:p>
        </w:tc>
        <w:tc>
          <w:tcPr>
            <w:tcW w:w="517" w:type="dxa"/>
            <w:tcBorders>
              <w:tl2br w:val="nil"/>
              <w:tr2bl w:val="nil"/>
            </w:tcBorders>
            <w:vAlign w:val="center"/>
          </w:tcPr>
          <w:p>
            <w:pPr>
              <w:spacing w:line="24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5</w:t>
            </w:r>
          </w:p>
        </w:tc>
        <w:tc>
          <w:tcPr>
            <w:tcW w:w="2483" w:type="dxa"/>
            <w:gridSpan w:val="4"/>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100%以下（含）计满分，每超出5%扣2分，扣完为止。没有楼堂馆所项目的部门按满分计算。</w:t>
            </w:r>
          </w:p>
        </w:tc>
        <w:tc>
          <w:tcPr>
            <w:tcW w:w="2673" w:type="dxa"/>
            <w:gridSpan w:val="3"/>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lang w:eastAsia="zh-CN"/>
              </w:rPr>
            </w:pPr>
            <w:r>
              <w:rPr>
                <w:rFonts w:hint="eastAsia" w:asciiTheme="minorEastAsia" w:hAnsiTheme="minorEastAsia" w:eastAsiaTheme="minorEastAsia" w:cstheme="minorEastAsia"/>
                <w:kern w:val="0"/>
                <w:sz w:val="18"/>
                <w:szCs w:val="18"/>
              </w:rPr>
              <w:t>楼堂馆所面积控制率=实际建设面积/批准建设面积×100% 。</w:t>
            </w:r>
          </w:p>
          <w:p>
            <w:pPr>
              <w:spacing w:line="240" w:lineRule="exact"/>
              <w:jc w:val="left"/>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该指标以当年完工的新建楼堂馆所为评价内容。</w:t>
            </w:r>
          </w:p>
        </w:tc>
        <w:tc>
          <w:tcPr>
            <w:tcW w:w="595" w:type="dxa"/>
            <w:tcBorders>
              <w:tl2br w:val="nil"/>
              <w:tr2bl w:val="nil"/>
            </w:tcBorders>
            <w:vAlign w:val="center"/>
          </w:tcPr>
          <w:p>
            <w:pPr>
              <w:spacing w:line="240" w:lineRule="exact"/>
              <w:jc w:val="left"/>
              <w:rPr>
                <w:rFonts w:hint="eastAsia" w:asciiTheme="minorEastAsia" w:hAnsiTheme="minorEastAsia" w:eastAsiaTheme="minorEastAsia" w:cstheme="minorEastAsia"/>
                <w:color w:val="000000"/>
                <w:kern w:val="0"/>
                <w:sz w:val="18"/>
                <w:szCs w:val="18"/>
                <w:lang w:val="en-US" w:eastAsia="zh-CN"/>
              </w:rPr>
            </w:pPr>
            <w:r>
              <w:rPr>
                <w:rFonts w:hint="eastAsia" w:asciiTheme="minorEastAsia" w:hAnsiTheme="minorEastAsia" w:eastAsiaTheme="minorEastAsia" w:cstheme="minorEastAsia"/>
                <w:color w:val="000000"/>
                <w:kern w:val="0"/>
                <w:sz w:val="18"/>
                <w:szCs w:val="18"/>
                <w:lang w:val="en-US" w:eastAsia="zh-CN"/>
              </w:rPr>
              <w:t>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1560" w:hRule="atLeast"/>
          <w:jc w:val="center"/>
        </w:trPr>
        <w:tc>
          <w:tcPr>
            <w:tcW w:w="503" w:type="dxa"/>
            <w:vMerge w:val="continue"/>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p>
        </w:tc>
        <w:tc>
          <w:tcPr>
            <w:tcW w:w="503" w:type="dxa"/>
            <w:vMerge w:val="continue"/>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p>
        </w:tc>
        <w:tc>
          <w:tcPr>
            <w:tcW w:w="384" w:type="dxa"/>
            <w:gridSpan w:val="2"/>
            <w:vMerge w:val="continue"/>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p>
        </w:tc>
        <w:tc>
          <w:tcPr>
            <w:tcW w:w="622" w:type="dxa"/>
            <w:vMerge w:val="continue"/>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p>
        </w:tc>
        <w:tc>
          <w:tcPr>
            <w:tcW w:w="783" w:type="dxa"/>
            <w:gridSpan w:val="2"/>
            <w:tcBorders>
              <w:tl2br w:val="nil"/>
              <w:tr2bl w:val="nil"/>
            </w:tcBorders>
            <w:vAlign w:val="center"/>
          </w:tcPr>
          <w:p>
            <w:pPr>
              <w:spacing w:line="24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新建楼堂馆所投资概算控制率</w:t>
            </w:r>
          </w:p>
        </w:tc>
        <w:tc>
          <w:tcPr>
            <w:tcW w:w="517" w:type="dxa"/>
            <w:tcBorders>
              <w:tl2br w:val="nil"/>
              <w:tr2bl w:val="nil"/>
            </w:tcBorders>
            <w:vAlign w:val="center"/>
          </w:tcPr>
          <w:p>
            <w:pPr>
              <w:spacing w:line="24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5</w:t>
            </w:r>
          </w:p>
        </w:tc>
        <w:tc>
          <w:tcPr>
            <w:tcW w:w="2483" w:type="dxa"/>
            <w:gridSpan w:val="4"/>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100%以下（含）计满分，每超出5%扣2分，扣完为止。</w:t>
            </w:r>
          </w:p>
        </w:tc>
        <w:tc>
          <w:tcPr>
            <w:tcW w:w="2673" w:type="dxa"/>
            <w:gridSpan w:val="3"/>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lang w:eastAsia="zh-CN"/>
              </w:rPr>
            </w:pPr>
            <w:r>
              <w:rPr>
                <w:rFonts w:hint="eastAsia" w:asciiTheme="minorEastAsia" w:hAnsiTheme="minorEastAsia" w:eastAsiaTheme="minorEastAsia" w:cstheme="minorEastAsia"/>
                <w:kern w:val="0"/>
                <w:sz w:val="18"/>
                <w:szCs w:val="18"/>
              </w:rPr>
              <w:t>楼堂馆所投资预算控制率=实际投资金额/批准投资金额×100% 。</w:t>
            </w:r>
          </w:p>
          <w:p>
            <w:pPr>
              <w:spacing w:line="240" w:lineRule="exact"/>
              <w:jc w:val="left"/>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该指标以当年完工的新建楼堂馆所为评价内容。</w:t>
            </w:r>
          </w:p>
        </w:tc>
        <w:tc>
          <w:tcPr>
            <w:tcW w:w="595" w:type="dxa"/>
            <w:tcBorders>
              <w:tl2br w:val="nil"/>
              <w:tr2bl w:val="nil"/>
            </w:tcBorders>
            <w:vAlign w:val="center"/>
          </w:tcPr>
          <w:p>
            <w:pPr>
              <w:spacing w:line="240" w:lineRule="exact"/>
              <w:jc w:val="left"/>
              <w:rPr>
                <w:rFonts w:hint="eastAsia" w:asciiTheme="minorEastAsia" w:hAnsiTheme="minorEastAsia" w:eastAsiaTheme="minorEastAsia" w:cstheme="minorEastAsia"/>
                <w:color w:val="000000"/>
                <w:kern w:val="0"/>
                <w:sz w:val="18"/>
                <w:szCs w:val="18"/>
                <w:lang w:val="en-US" w:eastAsia="zh-CN"/>
              </w:rPr>
            </w:pPr>
            <w:r>
              <w:rPr>
                <w:rFonts w:hint="eastAsia" w:asciiTheme="minorEastAsia" w:hAnsiTheme="minorEastAsia" w:eastAsiaTheme="minorEastAsia" w:cstheme="minorEastAsia"/>
                <w:color w:val="000000"/>
                <w:kern w:val="0"/>
                <w:sz w:val="18"/>
                <w:szCs w:val="18"/>
                <w:lang w:val="en-US" w:eastAsia="zh-CN"/>
              </w:rPr>
              <w:t>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1560" w:hRule="atLeast"/>
          <w:jc w:val="center"/>
        </w:trPr>
        <w:tc>
          <w:tcPr>
            <w:tcW w:w="503" w:type="dxa"/>
            <w:vMerge w:val="continue"/>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p>
        </w:tc>
        <w:tc>
          <w:tcPr>
            <w:tcW w:w="503" w:type="dxa"/>
            <w:vMerge w:val="continue"/>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p>
        </w:tc>
        <w:tc>
          <w:tcPr>
            <w:tcW w:w="384" w:type="dxa"/>
            <w:gridSpan w:val="2"/>
            <w:vMerge w:val="restart"/>
            <w:tcBorders>
              <w:tl2br w:val="nil"/>
              <w:tr2bl w:val="nil"/>
            </w:tcBorders>
            <w:vAlign w:val="center"/>
          </w:tcPr>
          <w:p>
            <w:pPr>
              <w:spacing w:line="24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预算管理</w:t>
            </w:r>
          </w:p>
        </w:tc>
        <w:tc>
          <w:tcPr>
            <w:tcW w:w="622" w:type="dxa"/>
            <w:vMerge w:val="restart"/>
            <w:tcBorders>
              <w:tl2br w:val="nil"/>
              <w:tr2bl w:val="nil"/>
            </w:tcBorders>
            <w:vAlign w:val="center"/>
          </w:tcPr>
          <w:p>
            <w:pPr>
              <w:spacing w:line="24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40</w:t>
            </w:r>
          </w:p>
        </w:tc>
        <w:tc>
          <w:tcPr>
            <w:tcW w:w="783" w:type="dxa"/>
            <w:gridSpan w:val="2"/>
            <w:tcBorders>
              <w:tl2br w:val="nil"/>
              <w:tr2bl w:val="nil"/>
            </w:tcBorders>
            <w:vAlign w:val="center"/>
          </w:tcPr>
          <w:p>
            <w:pPr>
              <w:spacing w:line="24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公用经费控制率</w:t>
            </w:r>
          </w:p>
        </w:tc>
        <w:tc>
          <w:tcPr>
            <w:tcW w:w="517" w:type="dxa"/>
            <w:tcBorders>
              <w:tl2br w:val="nil"/>
              <w:tr2bl w:val="nil"/>
            </w:tcBorders>
            <w:vAlign w:val="center"/>
          </w:tcPr>
          <w:p>
            <w:pPr>
              <w:spacing w:line="24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8</w:t>
            </w:r>
          </w:p>
        </w:tc>
        <w:tc>
          <w:tcPr>
            <w:tcW w:w="2483" w:type="dxa"/>
            <w:gridSpan w:val="4"/>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100%以下（含）计满分，每超出1%扣1分，扣完为止。</w:t>
            </w:r>
          </w:p>
        </w:tc>
        <w:tc>
          <w:tcPr>
            <w:tcW w:w="2673" w:type="dxa"/>
            <w:gridSpan w:val="3"/>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lang w:eastAsia="zh-CN"/>
              </w:rPr>
            </w:pPr>
            <w:r>
              <w:rPr>
                <w:rFonts w:hint="eastAsia" w:asciiTheme="minorEastAsia" w:hAnsiTheme="minorEastAsia" w:eastAsiaTheme="minorEastAsia" w:cstheme="minorEastAsia"/>
                <w:kern w:val="0"/>
                <w:sz w:val="18"/>
                <w:szCs w:val="18"/>
              </w:rPr>
              <w:t>公用经费控制率=（实际支出公用经费总额/预算安排公用经费总额）×100%。</w:t>
            </w:r>
          </w:p>
          <w:p>
            <w:pPr>
              <w:spacing w:line="240" w:lineRule="exact"/>
              <w:jc w:val="left"/>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公用经费支出是指部门基本支出中的一般商品和服务支出。</w:t>
            </w:r>
          </w:p>
        </w:tc>
        <w:tc>
          <w:tcPr>
            <w:tcW w:w="595" w:type="dxa"/>
            <w:tcBorders>
              <w:tl2br w:val="nil"/>
              <w:tr2bl w:val="nil"/>
            </w:tcBorders>
            <w:vAlign w:val="center"/>
          </w:tcPr>
          <w:p>
            <w:pPr>
              <w:spacing w:line="240" w:lineRule="exact"/>
              <w:jc w:val="left"/>
              <w:rPr>
                <w:rFonts w:hint="eastAsia" w:asciiTheme="minorEastAsia" w:hAnsiTheme="minorEastAsia" w:eastAsiaTheme="minorEastAsia" w:cstheme="minorEastAsia"/>
                <w:color w:val="000000"/>
                <w:kern w:val="0"/>
                <w:sz w:val="18"/>
                <w:szCs w:val="18"/>
                <w:lang w:val="en-US" w:eastAsia="zh-CN"/>
              </w:rPr>
            </w:pPr>
            <w:r>
              <w:rPr>
                <w:rFonts w:hint="eastAsia" w:asciiTheme="minorEastAsia" w:hAnsiTheme="minorEastAsia" w:eastAsiaTheme="minorEastAsia" w:cstheme="minorEastAsia"/>
                <w:color w:val="000000"/>
                <w:kern w:val="0"/>
                <w:sz w:val="18"/>
                <w:szCs w:val="18"/>
                <w:lang w:val="en-US" w:eastAsia="zh-CN"/>
              </w:rPr>
              <w:t>8</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1560" w:hRule="atLeast"/>
          <w:jc w:val="center"/>
        </w:trPr>
        <w:tc>
          <w:tcPr>
            <w:tcW w:w="503" w:type="dxa"/>
            <w:vMerge w:val="continue"/>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p>
        </w:tc>
        <w:tc>
          <w:tcPr>
            <w:tcW w:w="503" w:type="dxa"/>
            <w:vMerge w:val="continue"/>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p>
        </w:tc>
        <w:tc>
          <w:tcPr>
            <w:tcW w:w="384" w:type="dxa"/>
            <w:gridSpan w:val="2"/>
            <w:vMerge w:val="continue"/>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p>
        </w:tc>
        <w:tc>
          <w:tcPr>
            <w:tcW w:w="622" w:type="dxa"/>
            <w:vMerge w:val="continue"/>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p>
        </w:tc>
        <w:tc>
          <w:tcPr>
            <w:tcW w:w="783" w:type="dxa"/>
            <w:gridSpan w:val="2"/>
            <w:tcBorders>
              <w:tl2br w:val="nil"/>
              <w:tr2bl w:val="nil"/>
            </w:tcBorders>
            <w:vAlign w:val="center"/>
          </w:tcPr>
          <w:p>
            <w:pPr>
              <w:spacing w:line="24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“三公经费”控制率</w:t>
            </w:r>
          </w:p>
        </w:tc>
        <w:tc>
          <w:tcPr>
            <w:tcW w:w="517" w:type="dxa"/>
            <w:tcBorders>
              <w:tl2br w:val="nil"/>
              <w:tr2bl w:val="nil"/>
            </w:tcBorders>
            <w:vAlign w:val="center"/>
          </w:tcPr>
          <w:p>
            <w:pPr>
              <w:spacing w:line="24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7</w:t>
            </w:r>
          </w:p>
        </w:tc>
        <w:tc>
          <w:tcPr>
            <w:tcW w:w="2483" w:type="dxa"/>
            <w:gridSpan w:val="4"/>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100%以下（含）计满分，每超出1%扣1分，扣完为止。</w:t>
            </w:r>
          </w:p>
        </w:tc>
        <w:tc>
          <w:tcPr>
            <w:tcW w:w="2673" w:type="dxa"/>
            <w:gridSpan w:val="3"/>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“三公经费”控制率=（“三公经费”实际支出数/“三公经费”预算安排数）×100%。</w:t>
            </w:r>
          </w:p>
        </w:tc>
        <w:tc>
          <w:tcPr>
            <w:tcW w:w="595" w:type="dxa"/>
            <w:tcBorders>
              <w:tl2br w:val="nil"/>
              <w:tr2bl w:val="nil"/>
            </w:tcBorders>
            <w:vAlign w:val="center"/>
          </w:tcPr>
          <w:p>
            <w:pPr>
              <w:spacing w:line="240" w:lineRule="exact"/>
              <w:jc w:val="left"/>
              <w:rPr>
                <w:rFonts w:hint="eastAsia" w:asciiTheme="minorEastAsia" w:hAnsiTheme="minorEastAsia" w:eastAsiaTheme="minorEastAsia" w:cstheme="minorEastAsia"/>
                <w:color w:val="000000"/>
                <w:kern w:val="0"/>
                <w:sz w:val="18"/>
                <w:szCs w:val="18"/>
                <w:lang w:val="en-US" w:eastAsia="zh-CN"/>
              </w:rPr>
            </w:pPr>
            <w:r>
              <w:rPr>
                <w:rFonts w:hint="eastAsia" w:asciiTheme="minorEastAsia" w:hAnsiTheme="minorEastAsia" w:eastAsiaTheme="minorEastAsia" w:cstheme="minorEastAsia"/>
                <w:color w:val="000000"/>
                <w:kern w:val="0"/>
                <w:sz w:val="18"/>
                <w:szCs w:val="18"/>
                <w:lang w:val="en-US" w:eastAsia="zh-CN"/>
              </w:rPr>
              <w:t>7</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1560" w:hRule="atLeast"/>
          <w:jc w:val="center"/>
        </w:trPr>
        <w:tc>
          <w:tcPr>
            <w:tcW w:w="503" w:type="dxa"/>
            <w:vMerge w:val="continue"/>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p>
        </w:tc>
        <w:tc>
          <w:tcPr>
            <w:tcW w:w="503" w:type="dxa"/>
            <w:vMerge w:val="continue"/>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p>
        </w:tc>
        <w:tc>
          <w:tcPr>
            <w:tcW w:w="384" w:type="dxa"/>
            <w:gridSpan w:val="2"/>
            <w:vMerge w:val="continue"/>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p>
        </w:tc>
        <w:tc>
          <w:tcPr>
            <w:tcW w:w="622" w:type="dxa"/>
            <w:vMerge w:val="continue"/>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p>
        </w:tc>
        <w:tc>
          <w:tcPr>
            <w:tcW w:w="783" w:type="dxa"/>
            <w:gridSpan w:val="2"/>
            <w:tcBorders>
              <w:tl2br w:val="nil"/>
              <w:tr2bl w:val="nil"/>
            </w:tcBorders>
            <w:vAlign w:val="center"/>
          </w:tcPr>
          <w:p>
            <w:pPr>
              <w:spacing w:line="24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政府采购执行率</w:t>
            </w:r>
          </w:p>
        </w:tc>
        <w:tc>
          <w:tcPr>
            <w:tcW w:w="517" w:type="dxa"/>
            <w:tcBorders>
              <w:tl2br w:val="nil"/>
              <w:tr2bl w:val="nil"/>
            </w:tcBorders>
            <w:vAlign w:val="center"/>
          </w:tcPr>
          <w:p>
            <w:pPr>
              <w:spacing w:line="24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6</w:t>
            </w:r>
          </w:p>
        </w:tc>
        <w:tc>
          <w:tcPr>
            <w:tcW w:w="2483" w:type="dxa"/>
            <w:gridSpan w:val="4"/>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100%计满分，每超过（降低）5%扣2分。扣完为止。</w:t>
            </w:r>
          </w:p>
        </w:tc>
        <w:tc>
          <w:tcPr>
            <w:tcW w:w="2673" w:type="dxa"/>
            <w:gridSpan w:val="3"/>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政府采购执行率=（实际政府采购金额/政府采购预算数）×100%</w:t>
            </w:r>
          </w:p>
        </w:tc>
        <w:tc>
          <w:tcPr>
            <w:tcW w:w="595" w:type="dxa"/>
            <w:tcBorders>
              <w:tl2br w:val="nil"/>
              <w:tr2bl w:val="nil"/>
            </w:tcBorders>
            <w:vAlign w:val="center"/>
          </w:tcPr>
          <w:p>
            <w:pPr>
              <w:spacing w:line="240" w:lineRule="exact"/>
              <w:jc w:val="left"/>
              <w:rPr>
                <w:rFonts w:hint="eastAsia"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kern w:val="0"/>
                <w:sz w:val="18"/>
                <w:szCs w:val="18"/>
              </w:rPr>
              <w:t>　</w:t>
            </w:r>
            <w:r>
              <w:rPr>
                <w:rFonts w:hint="eastAsia" w:asciiTheme="minorEastAsia" w:hAnsiTheme="minorEastAsia" w:eastAsiaTheme="minorEastAsia" w:cstheme="minorEastAsia"/>
                <w:kern w:val="0"/>
                <w:sz w:val="18"/>
                <w:szCs w:val="18"/>
                <w:lang w:val="en-US" w:eastAsia="zh-CN"/>
              </w:rPr>
              <w:t>6</w:t>
            </w:r>
            <w:r>
              <w:rPr>
                <w:rFonts w:hint="eastAsia" w:asciiTheme="minorEastAsia" w:hAnsiTheme="minorEastAsia" w:eastAsiaTheme="minorEastAsia" w:cstheme="minorEastAsia"/>
                <w:kern w:val="0"/>
                <w:sz w:val="18"/>
                <w:szCs w:val="18"/>
                <w:shd w:val="clear" w:color="auto" w:fill="FFFFFF"/>
              </w:rPr>
              <w:fldChar w:fldCharType="begin">
                <w:fldData xml:space="preserve">QQAyADgAOAA0ADIANgBBAEUANwBDADYANABEADMARABCADQAQgA1ADEAQgAzAEIAQgBBAEIARAAy
ADcARQAzAA==
</w:fldData>
              </w:fldChar>
            </w:r>
            <w:r>
              <w:rPr>
                <w:rFonts w:hint="eastAsia" w:asciiTheme="minorEastAsia" w:hAnsiTheme="minorEastAsia" w:eastAsiaTheme="minorEastAsia" w:cstheme="minorEastAsia"/>
                <w:kern w:val="0"/>
                <w:sz w:val="18"/>
                <w:szCs w:val="18"/>
                <w:shd w:val="clear" w:color="auto" w:fill="FFFFFF"/>
              </w:rPr>
              <w:instrText xml:space="preserve">Addin PF9</w:instrText>
            </w:r>
            <w:r>
              <w:rPr>
                <w:rFonts w:hint="eastAsia" w:asciiTheme="minorEastAsia" w:hAnsiTheme="minorEastAsia" w:eastAsiaTheme="minorEastAsia" w:cstheme="minorEastAsia"/>
                <w:kern w:val="0"/>
                <w:sz w:val="18"/>
                <w:szCs w:val="18"/>
                <w:shd w:val="clear" w:color="auto" w:fill="FFFFFF"/>
              </w:rPr>
              <w:fldChar w:fldCharType="separate"/>
            </w:r>
            <w:r>
              <w:rPr>
                <w:rFonts w:hint="eastAsia" w:asciiTheme="minorEastAsia" w:hAnsiTheme="minorEastAsia" w:eastAsiaTheme="minorEastAsia" w:cstheme="minorEastAsia"/>
                <w:kern w:val="0"/>
                <w:sz w:val="18"/>
                <w:szCs w:val="18"/>
                <w:shd w:val="clear" w:color="auto" w:fill="FFFFFF"/>
              </w:rPr>
              <w:fldChar w:fldCharType="end"/>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2016" w:hRule="atLeast"/>
          <w:jc w:val="center"/>
        </w:trPr>
        <w:tc>
          <w:tcPr>
            <w:tcW w:w="503" w:type="dxa"/>
            <w:vMerge w:val="continue"/>
            <w:tcBorders>
              <w:tl2br w:val="nil"/>
              <w:tr2bl w:val="nil"/>
            </w:tcBorders>
            <w:vAlign w:val="center"/>
          </w:tcPr>
          <w:p>
            <w:pPr>
              <w:spacing w:line="280" w:lineRule="exact"/>
              <w:jc w:val="center"/>
              <w:rPr>
                <w:rFonts w:hint="eastAsia" w:asciiTheme="minorEastAsia" w:hAnsiTheme="minorEastAsia" w:eastAsiaTheme="minorEastAsia" w:cstheme="minorEastAsia"/>
                <w:kern w:val="0"/>
                <w:sz w:val="18"/>
                <w:szCs w:val="18"/>
              </w:rPr>
            </w:pPr>
          </w:p>
        </w:tc>
        <w:tc>
          <w:tcPr>
            <w:tcW w:w="503" w:type="dxa"/>
            <w:vMerge w:val="continue"/>
            <w:tcBorders>
              <w:tl2br w:val="nil"/>
              <w:tr2bl w:val="nil"/>
            </w:tcBorders>
            <w:vAlign w:val="center"/>
          </w:tcPr>
          <w:p>
            <w:pPr>
              <w:spacing w:line="280" w:lineRule="exact"/>
              <w:jc w:val="left"/>
              <w:rPr>
                <w:rFonts w:hint="eastAsia" w:asciiTheme="minorEastAsia" w:hAnsiTheme="minorEastAsia" w:eastAsiaTheme="minorEastAsia" w:cstheme="minorEastAsia"/>
                <w:kern w:val="0"/>
                <w:sz w:val="18"/>
                <w:szCs w:val="18"/>
              </w:rPr>
            </w:pPr>
          </w:p>
        </w:tc>
        <w:tc>
          <w:tcPr>
            <w:tcW w:w="384" w:type="dxa"/>
            <w:gridSpan w:val="2"/>
            <w:vMerge w:val="continue"/>
            <w:tcBorders>
              <w:tl2br w:val="nil"/>
              <w:tr2bl w:val="nil"/>
            </w:tcBorders>
            <w:vAlign w:val="center"/>
          </w:tcPr>
          <w:p>
            <w:pPr>
              <w:spacing w:line="280" w:lineRule="exact"/>
              <w:jc w:val="left"/>
              <w:rPr>
                <w:rFonts w:hint="eastAsia" w:asciiTheme="minorEastAsia" w:hAnsiTheme="minorEastAsia" w:eastAsiaTheme="minorEastAsia" w:cstheme="minorEastAsia"/>
                <w:kern w:val="0"/>
                <w:sz w:val="18"/>
                <w:szCs w:val="18"/>
              </w:rPr>
            </w:pPr>
          </w:p>
        </w:tc>
        <w:tc>
          <w:tcPr>
            <w:tcW w:w="622" w:type="dxa"/>
            <w:vMerge w:val="continue"/>
            <w:tcBorders>
              <w:tl2br w:val="nil"/>
              <w:tr2bl w:val="nil"/>
            </w:tcBorders>
            <w:vAlign w:val="center"/>
          </w:tcPr>
          <w:p>
            <w:pPr>
              <w:spacing w:line="280" w:lineRule="exact"/>
              <w:jc w:val="left"/>
              <w:rPr>
                <w:rFonts w:hint="eastAsia" w:asciiTheme="minorEastAsia" w:hAnsiTheme="minorEastAsia" w:eastAsiaTheme="minorEastAsia" w:cstheme="minorEastAsia"/>
                <w:kern w:val="0"/>
                <w:sz w:val="18"/>
                <w:szCs w:val="18"/>
              </w:rPr>
            </w:pPr>
          </w:p>
        </w:tc>
        <w:tc>
          <w:tcPr>
            <w:tcW w:w="783" w:type="dxa"/>
            <w:gridSpan w:val="2"/>
            <w:tcBorders>
              <w:tl2br w:val="nil"/>
              <w:tr2bl w:val="nil"/>
            </w:tcBorders>
            <w:vAlign w:val="center"/>
          </w:tcPr>
          <w:p>
            <w:pPr>
              <w:spacing w:line="28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管理制度健全性</w:t>
            </w:r>
          </w:p>
        </w:tc>
        <w:tc>
          <w:tcPr>
            <w:tcW w:w="517" w:type="dxa"/>
            <w:tcBorders>
              <w:tl2br w:val="nil"/>
              <w:tr2bl w:val="nil"/>
            </w:tcBorders>
            <w:vAlign w:val="center"/>
          </w:tcPr>
          <w:p>
            <w:pPr>
              <w:spacing w:line="28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8</w:t>
            </w:r>
          </w:p>
        </w:tc>
        <w:tc>
          <w:tcPr>
            <w:tcW w:w="2483" w:type="dxa"/>
            <w:gridSpan w:val="4"/>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60" w:lineRule="exact"/>
              <w:jc w:val="left"/>
              <w:textAlignment w:val="auto"/>
              <w:outlineLvl w:val="9"/>
              <w:rPr>
                <w:rFonts w:hint="eastAsia" w:asciiTheme="minorEastAsia" w:hAnsiTheme="minorEastAsia" w:eastAsiaTheme="minorEastAsia" w:cstheme="minorEastAsia"/>
                <w:kern w:val="0"/>
                <w:sz w:val="18"/>
                <w:szCs w:val="18"/>
                <w:lang w:eastAsia="zh-CN"/>
              </w:rPr>
            </w:pPr>
            <w:r>
              <w:rPr>
                <w:rFonts w:hint="eastAsia" w:asciiTheme="minorEastAsia" w:hAnsiTheme="minorEastAsia" w:eastAsiaTheme="minorEastAsia" w:cstheme="minorEastAsia"/>
                <w:kern w:val="0"/>
                <w:sz w:val="18"/>
                <w:szCs w:val="18"/>
              </w:rPr>
              <w:t>①有内部财务管理制度、会计核算制度等管理制度，2分；</w:t>
            </w:r>
          </w:p>
          <w:p>
            <w:pPr>
              <w:keepNext w:val="0"/>
              <w:keepLines w:val="0"/>
              <w:pageBreakBefore w:val="0"/>
              <w:widowControl w:val="0"/>
              <w:kinsoku/>
              <w:wordWrap/>
              <w:overflowPunct/>
              <w:topLinePunct w:val="0"/>
              <w:autoSpaceDE/>
              <w:autoSpaceDN/>
              <w:bidi w:val="0"/>
              <w:adjustRightInd/>
              <w:snapToGrid/>
              <w:spacing w:line="260" w:lineRule="exact"/>
              <w:jc w:val="left"/>
              <w:textAlignment w:val="auto"/>
              <w:outlineLvl w:val="9"/>
              <w:rPr>
                <w:rFonts w:hint="eastAsia" w:asciiTheme="minorEastAsia" w:hAnsiTheme="minorEastAsia" w:eastAsiaTheme="minorEastAsia" w:cstheme="minorEastAsia"/>
                <w:kern w:val="0"/>
                <w:sz w:val="18"/>
                <w:szCs w:val="18"/>
                <w:lang w:eastAsia="zh-CN"/>
              </w:rPr>
            </w:pPr>
            <w:r>
              <w:rPr>
                <w:rFonts w:hint="eastAsia" w:asciiTheme="minorEastAsia" w:hAnsiTheme="minorEastAsia" w:eastAsiaTheme="minorEastAsia" w:cstheme="minorEastAsia"/>
                <w:kern w:val="0"/>
                <w:sz w:val="18"/>
                <w:szCs w:val="18"/>
              </w:rPr>
              <w:t>②有本部门厉行节约制度,2分；</w:t>
            </w:r>
          </w:p>
          <w:p>
            <w:pPr>
              <w:keepNext w:val="0"/>
              <w:keepLines w:val="0"/>
              <w:pageBreakBefore w:val="0"/>
              <w:widowControl w:val="0"/>
              <w:kinsoku/>
              <w:wordWrap/>
              <w:overflowPunct/>
              <w:topLinePunct w:val="0"/>
              <w:autoSpaceDE/>
              <w:autoSpaceDN/>
              <w:bidi w:val="0"/>
              <w:adjustRightInd/>
              <w:snapToGrid/>
              <w:spacing w:line="260" w:lineRule="exact"/>
              <w:jc w:val="left"/>
              <w:textAlignment w:val="auto"/>
              <w:outlineLvl w:val="9"/>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③相关管理制度合法、合规、完整，2分；④相关管理制度得到有效执行，2分。</w:t>
            </w:r>
          </w:p>
        </w:tc>
        <w:tc>
          <w:tcPr>
            <w:tcW w:w="2673" w:type="dxa"/>
            <w:gridSpan w:val="3"/>
            <w:tcBorders>
              <w:tl2br w:val="nil"/>
              <w:tr2bl w:val="nil"/>
            </w:tcBorders>
            <w:vAlign w:val="center"/>
          </w:tcPr>
          <w:p>
            <w:pPr>
              <w:spacing w:line="280" w:lineRule="exact"/>
              <w:jc w:val="left"/>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　</w:t>
            </w:r>
          </w:p>
        </w:tc>
        <w:tc>
          <w:tcPr>
            <w:tcW w:w="595" w:type="dxa"/>
            <w:tcBorders>
              <w:tl2br w:val="nil"/>
              <w:tr2bl w:val="nil"/>
            </w:tcBorders>
            <w:vAlign w:val="center"/>
          </w:tcPr>
          <w:p>
            <w:pPr>
              <w:spacing w:line="280" w:lineRule="exact"/>
              <w:jc w:val="left"/>
              <w:rPr>
                <w:rFonts w:hint="eastAsia" w:asciiTheme="minorEastAsia" w:hAnsiTheme="minorEastAsia" w:eastAsiaTheme="minorEastAsia" w:cstheme="minorEastAsia"/>
                <w:color w:val="000000"/>
                <w:kern w:val="0"/>
                <w:sz w:val="18"/>
                <w:szCs w:val="18"/>
                <w:lang w:val="en-US" w:eastAsia="zh-CN"/>
              </w:rPr>
            </w:pPr>
            <w:r>
              <w:rPr>
                <w:rFonts w:hint="eastAsia" w:asciiTheme="minorEastAsia" w:hAnsiTheme="minorEastAsia" w:eastAsiaTheme="minorEastAsia" w:cstheme="minorEastAsia"/>
                <w:color w:val="000000"/>
                <w:kern w:val="0"/>
                <w:sz w:val="18"/>
                <w:szCs w:val="18"/>
                <w:lang w:val="en-US" w:eastAsia="zh-CN"/>
              </w:rPr>
              <w:t>8</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2485" w:hRule="atLeast"/>
          <w:jc w:val="center"/>
        </w:trPr>
        <w:tc>
          <w:tcPr>
            <w:tcW w:w="503" w:type="dxa"/>
            <w:vMerge w:val="restart"/>
            <w:tcBorders>
              <w:tl2br w:val="nil"/>
              <w:tr2bl w:val="nil"/>
            </w:tcBorders>
            <w:vAlign w:val="center"/>
          </w:tcPr>
          <w:p>
            <w:pPr>
              <w:spacing w:line="24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过</w:t>
            </w:r>
          </w:p>
          <w:p>
            <w:pPr>
              <w:spacing w:line="240" w:lineRule="exact"/>
              <w:jc w:val="center"/>
              <w:rPr>
                <w:rFonts w:hint="eastAsia" w:asciiTheme="minorEastAsia" w:hAnsiTheme="minorEastAsia" w:eastAsiaTheme="minorEastAsia" w:cstheme="minorEastAsia"/>
                <w:kern w:val="0"/>
                <w:sz w:val="18"/>
                <w:szCs w:val="18"/>
              </w:rPr>
            </w:pPr>
          </w:p>
          <w:p>
            <w:pPr>
              <w:spacing w:line="28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程</w:t>
            </w:r>
          </w:p>
        </w:tc>
        <w:tc>
          <w:tcPr>
            <w:tcW w:w="503" w:type="dxa"/>
            <w:vMerge w:val="restart"/>
            <w:tcBorders>
              <w:tl2br w:val="nil"/>
              <w:tr2bl w:val="nil"/>
            </w:tcBorders>
            <w:vAlign w:val="center"/>
          </w:tcPr>
          <w:p>
            <w:pPr>
              <w:spacing w:line="280" w:lineRule="exact"/>
              <w:jc w:val="center"/>
              <w:rPr>
                <w:rFonts w:hint="eastAsia" w:asciiTheme="minorEastAsia" w:hAnsiTheme="minorEastAsia" w:eastAsiaTheme="minorEastAsia" w:cstheme="minorEastAsia"/>
                <w:kern w:val="0"/>
                <w:sz w:val="18"/>
                <w:szCs w:val="18"/>
                <w:lang w:val="en-US" w:eastAsia="zh-CN"/>
              </w:rPr>
            </w:pPr>
            <w:r>
              <w:rPr>
                <w:rFonts w:hint="eastAsia" w:asciiTheme="minorEastAsia" w:hAnsiTheme="minorEastAsia" w:eastAsiaTheme="minorEastAsia" w:cstheme="minorEastAsia"/>
                <w:kern w:val="0"/>
                <w:sz w:val="18"/>
                <w:szCs w:val="18"/>
                <w:lang w:val="en-US" w:eastAsia="zh-CN"/>
              </w:rPr>
              <w:t>60</w:t>
            </w:r>
          </w:p>
        </w:tc>
        <w:tc>
          <w:tcPr>
            <w:tcW w:w="384" w:type="dxa"/>
            <w:gridSpan w:val="2"/>
            <w:vMerge w:val="restart"/>
            <w:tcBorders>
              <w:tl2br w:val="nil"/>
              <w:tr2bl w:val="nil"/>
            </w:tcBorders>
            <w:vAlign w:val="center"/>
          </w:tcPr>
          <w:p>
            <w:pPr>
              <w:spacing w:line="280" w:lineRule="exact"/>
              <w:jc w:val="left"/>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预算管理</w:t>
            </w:r>
          </w:p>
        </w:tc>
        <w:tc>
          <w:tcPr>
            <w:tcW w:w="622" w:type="dxa"/>
            <w:vMerge w:val="restart"/>
            <w:tcBorders>
              <w:tl2br w:val="nil"/>
              <w:tr2bl w:val="nil"/>
            </w:tcBorders>
            <w:vAlign w:val="center"/>
          </w:tcPr>
          <w:p>
            <w:pPr>
              <w:spacing w:line="280" w:lineRule="exact"/>
              <w:jc w:val="center"/>
              <w:rPr>
                <w:rFonts w:hint="eastAsia" w:asciiTheme="minorEastAsia" w:hAnsiTheme="minorEastAsia" w:eastAsiaTheme="minorEastAsia" w:cstheme="minorEastAsia"/>
                <w:kern w:val="0"/>
                <w:sz w:val="18"/>
                <w:szCs w:val="18"/>
                <w:lang w:val="en-US" w:eastAsia="zh-CN"/>
              </w:rPr>
            </w:pPr>
            <w:r>
              <w:rPr>
                <w:rFonts w:hint="eastAsia" w:asciiTheme="minorEastAsia" w:hAnsiTheme="minorEastAsia" w:eastAsiaTheme="minorEastAsia" w:cstheme="minorEastAsia"/>
                <w:kern w:val="0"/>
                <w:sz w:val="18"/>
                <w:szCs w:val="18"/>
                <w:lang w:val="en-US" w:eastAsia="zh-CN"/>
              </w:rPr>
              <w:t>40</w:t>
            </w:r>
          </w:p>
        </w:tc>
        <w:tc>
          <w:tcPr>
            <w:tcW w:w="783" w:type="dxa"/>
            <w:gridSpan w:val="2"/>
            <w:tcBorders>
              <w:tl2br w:val="nil"/>
              <w:tr2bl w:val="nil"/>
            </w:tcBorders>
            <w:vAlign w:val="center"/>
          </w:tcPr>
          <w:p>
            <w:pPr>
              <w:spacing w:line="28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资金使用合规性</w:t>
            </w:r>
          </w:p>
        </w:tc>
        <w:tc>
          <w:tcPr>
            <w:tcW w:w="517" w:type="dxa"/>
            <w:tcBorders>
              <w:tl2br w:val="nil"/>
              <w:tr2bl w:val="nil"/>
            </w:tcBorders>
            <w:vAlign w:val="center"/>
          </w:tcPr>
          <w:p>
            <w:pPr>
              <w:spacing w:line="28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6</w:t>
            </w:r>
          </w:p>
        </w:tc>
        <w:tc>
          <w:tcPr>
            <w:tcW w:w="2483" w:type="dxa"/>
            <w:gridSpan w:val="4"/>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60" w:lineRule="exact"/>
              <w:jc w:val="left"/>
              <w:textAlignment w:val="auto"/>
              <w:outlineLvl w:val="9"/>
              <w:rPr>
                <w:rFonts w:hint="eastAsia" w:asciiTheme="minorEastAsia" w:hAnsiTheme="minorEastAsia" w:eastAsiaTheme="minorEastAsia" w:cstheme="minorEastAsia"/>
                <w:kern w:val="0"/>
                <w:sz w:val="18"/>
                <w:szCs w:val="18"/>
                <w:lang w:eastAsia="zh-CN"/>
              </w:rPr>
            </w:pPr>
            <w:r>
              <w:rPr>
                <w:rFonts w:hint="eastAsia" w:asciiTheme="minorEastAsia" w:hAnsiTheme="minorEastAsia" w:eastAsiaTheme="minorEastAsia" w:cstheme="minorEastAsia"/>
                <w:kern w:val="0"/>
                <w:sz w:val="18"/>
                <w:szCs w:val="18"/>
              </w:rPr>
              <w:t>①支出符合国家财经法规和财务管理制度规定以及有关专项资金管理办法的规定；②资金拨付有完整的审批程序和手续；③项目支出按规定经过评估论证；④支出符合部门预算批复的用途；⑤资金使用无截留、挤占、挪用、虚列支出等情况。</w:t>
            </w:r>
          </w:p>
          <w:p>
            <w:pPr>
              <w:keepNext w:val="0"/>
              <w:keepLines w:val="0"/>
              <w:pageBreakBefore w:val="0"/>
              <w:widowControl w:val="0"/>
              <w:kinsoku/>
              <w:wordWrap/>
              <w:overflowPunct/>
              <w:topLinePunct w:val="0"/>
              <w:autoSpaceDE/>
              <w:autoSpaceDN/>
              <w:bidi w:val="0"/>
              <w:adjustRightInd/>
              <w:snapToGrid/>
              <w:spacing w:line="260" w:lineRule="exact"/>
              <w:jc w:val="left"/>
              <w:textAlignment w:val="auto"/>
              <w:outlineLvl w:val="9"/>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以上情况每出现一例不符合要求的扣1分，扣完为止。</w:t>
            </w:r>
          </w:p>
        </w:tc>
        <w:tc>
          <w:tcPr>
            <w:tcW w:w="2673" w:type="dxa"/>
            <w:gridSpan w:val="3"/>
            <w:tcBorders>
              <w:tl2br w:val="nil"/>
              <w:tr2bl w:val="nil"/>
            </w:tcBorders>
            <w:vAlign w:val="center"/>
          </w:tcPr>
          <w:p>
            <w:pPr>
              <w:spacing w:line="280" w:lineRule="exact"/>
              <w:jc w:val="left"/>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　</w:t>
            </w:r>
          </w:p>
        </w:tc>
        <w:tc>
          <w:tcPr>
            <w:tcW w:w="595" w:type="dxa"/>
            <w:tcBorders>
              <w:tl2br w:val="nil"/>
              <w:tr2bl w:val="nil"/>
            </w:tcBorders>
            <w:vAlign w:val="center"/>
          </w:tcPr>
          <w:p>
            <w:pPr>
              <w:spacing w:line="280" w:lineRule="exact"/>
              <w:jc w:val="left"/>
              <w:rPr>
                <w:rFonts w:hint="eastAsia" w:asciiTheme="minorEastAsia" w:hAnsiTheme="minorEastAsia" w:eastAsiaTheme="minorEastAsia" w:cstheme="minorEastAsia"/>
                <w:color w:val="000000"/>
                <w:kern w:val="0"/>
                <w:sz w:val="18"/>
                <w:szCs w:val="18"/>
                <w:lang w:val="en-US" w:eastAsia="zh-CN"/>
              </w:rPr>
            </w:pPr>
            <w:r>
              <w:rPr>
                <w:rFonts w:hint="eastAsia" w:asciiTheme="minorEastAsia" w:hAnsiTheme="minorEastAsia" w:eastAsiaTheme="minorEastAsia" w:cstheme="minorEastAsia"/>
                <w:color w:val="000000"/>
                <w:kern w:val="0"/>
                <w:sz w:val="18"/>
                <w:szCs w:val="18"/>
                <w:lang w:val="en-US" w:eastAsia="zh-CN"/>
              </w:rPr>
              <w:t>6</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1865" w:hRule="atLeast"/>
          <w:jc w:val="center"/>
        </w:trPr>
        <w:tc>
          <w:tcPr>
            <w:tcW w:w="503" w:type="dxa"/>
            <w:vMerge w:val="continue"/>
            <w:tcBorders>
              <w:tl2br w:val="nil"/>
              <w:tr2bl w:val="nil"/>
            </w:tcBorders>
            <w:vAlign w:val="center"/>
          </w:tcPr>
          <w:p>
            <w:pPr>
              <w:spacing w:line="280" w:lineRule="exact"/>
              <w:jc w:val="left"/>
              <w:rPr>
                <w:rFonts w:hint="eastAsia" w:asciiTheme="minorEastAsia" w:hAnsiTheme="minorEastAsia" w:eastAsiaTheme="minorEastAsia" w:cstheme="minorEastAsia"/>
                <w:kern w:val="0"/>
                <w:sz w:val="18"/>
                <w:szCs w:val="18"/>
              </w:rPr>
            </w:pPr>
          </w:p>
        </w:tc>
        <w:tc>
          <w:tcPr>
            <w:tcW w:w="503" w:type="dxa"/>
            <w:vMerge w:val="continue"/>
            <w:tcBorders>
              <w:tl2br w:val="nil"/>
              <w:tr2bl w:val="nil"/>
            </w:tcBorders>
            <w:vAlign w:val="center"/>
          </w:tcPr>
          <w:p>
            <w:pPr>
              <w:spacing w:line="280" w:lineRule="exact"/>
              <w:jc w:val="left"/>
              <w:rPr>
                <w:rFonts w:hint="eastAsia" w:asciiTheme="minorEastAsia" w:hAnsiTheme="minorEastAsia" w:eastAsiaTheme="minorEastAsia" w:cstheme="minorEastAsia"/>
                <w:kern w:val="0"/>
                <w:sz w:val="18"/>
                <w:szCs w:val="18"/>
              </w:rPr>
            </w:pPr>
          </w:p>
        </w:tc>
        <w:tc>
          <w:tcPr>
            <w:tcW w:w="384" w:type="dxa"/>
            <w:gridSpan w:val="2"/>
            <w:vMerge w:val="continue"/>
            <w:tcBorders>
              <w:tl2br w:val="nil"/>
              <w:tr2bl w:val="nil"/>
            </w:tcBorders>
            <w:vAlign w:val="center"/>
          </w:tcPr>
          <w:p>
            <w:pPr>
              <w:spacing w:line="280" w:lineRule="exact"/>
              <w:jc w:val="left"/>
              <w:rPr>
                <w:rFonts w:hint="eastAsia" w:asciiTheme="minorEastAsia" w:hAnsiTheme="minorEastAsia" w:eastAsiaTheme="minorEastAsia" w:cstheme="minorEastAsia"/>
                <w:kern w:val="0"/>
                <w:sz w:val="18"/>
                <w:szCs w:val="18"/>
              </w:rPr>
            </w:pPr>
          </w:p>
        </w:tc>
        <w:tc>
          <w:tcPr>
            <w:tcW w:w="622" w:type="dxa"/>
            <w:vMerge w:val="continue"/>
            <w:tcBorders>
              <w:tl2br w:val="nil"/>
              <w:tr2bl w:val="nil"/>
            </w:tcBorders>
            <w:vAlign w:val="center"/>
          </w:tcPr>
          <w:p>
            <w:pPr>
              <w:spacing w:line="280" w:lineRule="exact"/>
              <w:jc w:val="left"/>
              <w:rPr>
                <w:rFonts w:hint="eastAsia" w:asciiTheme="minorEastAsia" w:hAnsiTheme="minorEastAsia" w:eastAsiaTheme="minorEastAsia" w:cstheme="minorEastAsia"/>
                <w:kern w:val="0"/>
                <w:sz w:val="18"/>
                <w:szCs w:val="18"/>
              </w:rPr>
            </w:pPr>
          </w:p>
        </w:tc>
        <w:tc>
          <w:tcPr>
            <w:tcW w:w="783" w:type="dxa"/>
            <w:gridSpan w:val="2"/>
            <w:tcBorders>
              <w:tl2br w:val="nil"/>
              <w:tr2bl w:val="nil"/>
            </w:tcBorders>
            <w:vAlign w:val="center"/>
          </w:tcPr>
          <w:p>
            <w:pPr>
              <w:spacing w:line="28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预决算信息公开性</w:t>
            </w:r>
          </w:p>
        </w:tc>
        <w:tc>
          <w:tcPr>
            <w:tcW w:w="517" w:type="dxa"/>
            <w:tcBorders>
              <w:tl2br w:val="nil"/>
              <w:tr2bl w:val="nil"/>
            </w:tcBorders>
            <w:vAlign w:val="center"/>
          </w:tcPr>
          <w:p>
            <w:pPr>
              <w:spacing w:line="28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5</w:t>
            </w:r>
          </w:p>
        </w:tc>
        <w:tc>
          <w:tcPr>
            <w:tcW w:w="2483" w:type="dxa"/>
            <w:gridSpan w:val="4"/>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60" w:lineRule="exact"/>
              <w:jc w:val="left"/>
              <w:textAlignment w:val="auto"/>
              <w:outlineLvl w:val="9"/>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 xml:space="preserve">①按规定内容公开预决算信息，1分；②按规定时限公开预决算信息，1分；③基础数据信息和会计信息资料真实，1分；④基础数据信息和会计信息资料完整，1分；⑤基础数据信息和汇集信息资料准确，1分。  </w:t>
            </w:r>
          </w:p>
        </w:tc>
        <w:tc>
          <w:tcPr>
            <w:tcW w:w="2673" w:type="dxa"/>
            <w:gridSpan w:val="3"/>
            <w:tcBorders>
              <w:tl2br w:val="nil"/>
              <w:tr2bl w:val="nil"/>
            </w:tcBorders>
            <w:vAlign w:val="center"/>
          </w:tcPr>
          <w:p>
            <w:pPr>
              <w:spacing w:line="280" w:lineRule="exact"/>
              <w:jc w:val="left"/>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预决算信息是指与部门预算、执行、决算、监督、绩效等管理相关的信息。</w:t>
            </w:r>
          </w:p>
        </w:tc>
        <w:tc>
          <w:tcPr>
            <w:tcW w:w="595" w:type="dxa"/>
            <w:tcBorders>
              <w:tl2br w:val="nil"/>
              <w:tr2bl w:val="nil"/>
            </w:tcBorders>
            <w:vAlign w:val="center"/>
          </w:tcPr>
          <w:p>
            <w:pPr>
              <w:spacing w:line="280" w:lineRule="exact"/>
              <w:jc w:val="left"/>
              <w:rPr>
                <w:rFonts w:hint="eastAsia" w:asciiTheme="minorEastAsia" w:hAnsiTheme="minorEastAsia" w:eastAsiaTheme="minorEastAsia" w:cstheme="minorEastAsia"/>
                <w:color w:val="000000"/>
                <w:kern w:val="0"/>
                <w:sz w:val="18"/>
                <w:szCs w:val="18"/>
                <w:lang w:val="en-US" w:eastAsia="zh-CN"/>
              </w:rPr>
            </w:pPr>
            <w:r>
              <w:rPr>
                <w:rFonts w:hint="eastAsia" w:asciiTheme="minorEastAsia" w:hAnsiTheme="minorEastAsia" w:eastAsiaTheme="minorEastAsia" w:cstheme="minorEastAsia"/>
                <w:color w:val="000000"/>
                <w:kern w:val="0"/>
                <w:sz w:val="18"/>
                <w:szCs w:val="18"/>
                <w:lang w:val="en-US" w:eastAsia="zh-CN"/>
              </w:rPr>
              <w:t>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1735" w:hRule="atLeast"/>
          <w:jc w:val="center"/>
        </w:trPr>
        <w:tc>
          <w:tcPr>
            <w:tcW w:w="503" w:type="dxa"/>
            <w:vMerge w:val="restart"/>
            <w:tcBorders>
              <w:tl2br w:val="nil"/>
              <w:tr2bl w:val="nil"/>
            </w:tcBorders>
            <w:vAlign w:val="center"/>
          </w:tcPr>
          <w:p>
            <w:pPr>
              <w:spacing w:line="28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产出及效率</w:t>
            </w:r>
          </w:p>
        </w:tc>
        <w:tc>
          <w:tcPr>
            <w:tcW w:w="503" w:type="dxa"/>
            <w:vMerge w:val="restart"/>
            <w:tcBorders>
              <w:tl2br w:val="nil"/>
              <w:tr2bl w:val="nil"/>
            </w:tcBorders>
            <w:vAlign w:val="center"/>
          </w:tcPr>
          <w:p>
            <w:pPr>
              <w:spacing w:line="28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30</w:t>
            </w:r>
          </w:p>
        </w:tc>
        <w:tc>
          <w:tcPr>
            <w:tcW w:w="384" w:type="dxa"/>
            <w:gridSpan w:val="2"/>
            <w:tcBorders>
              <w:tl2br w:val="nil"/>
              <w:tr2bl w:val="nil"/>
            </w:tcBorders>
            <w:vAlign w:val="center"/>
          </w:tcPr>
          <w:p>
            <w:pPr>
              <w:spacing w:line="28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职责履行</w:t>
            </w:r>
          </w:p>
        </w:tc>
        <w:tc>
          <w:tcPr>
            <w:tcW w:w="622" w:type="dxa"/>
            <w:tcBorders>
              <w:tl2br w:val="nil"/>
              <w:tr2bl w:val="nil"/>
            </w:tcBorders>
            <w:vAlign w:val="center"/>
          </w:tcPr>
          <w:p>
            <w:pPr>
              <w:spacing w:line="28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8</w:t>
            </w:r>
          </w:p>
        </w:tc>
        <w:tc>
          <w:tcPr>
            <w:tcW w:w="783" w:type="dxa"/>
            <w:gridSpan w:val="2"/>
            <w:tcBorders>
              <w:tl2br w:val="nil"/>
              <w:tr2bl w:val="nil"/>
            </w:tcBorders>
            <w:vAlign w:val="center"/>
          </w:tcPr>
          <w:p>
            <w:pPr>
              <w:spacing w:line="28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重点工作实际完成率</w:t>
            </w:r>
          </w:p>
        </w:tc>
        <w:tc>
          <w:tcPr>
            <w:tcW w:w="517" w:type="dxa"/>
            <w:tcBorders>
              <w:tl2br w:val="nil"/>
              <w:tr2bl w:val="nil"/>
            </w:tcBorders>
            <w:vAlign w:val="center"/>
          </w:tcPr>
          <w:p>
            <w:pPr>
              <w:spacing w:line="28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8</w:t>
            </w:r>
          </w:p>
        </w:tc>
        <w:tc>
          <w:tcPr>
            <w:tcW w:w="2483" w:type="dxa"/>
            <w:gridSpan w:val="4"/>
            <w:tcBorders>
              <w:tl2br w:val="nil"/>
              <w:tr2bl w:val="nil"/>
            </w:tcBorders>
            <w:vAlign w:val="center"/>
          </w:tcPr>
          <w:p>
            <w:pPr>
              <w:spacing w:line="280" w:lineRule="exact"/>
              <w:jc w:val="left"/>
              <w:rPr>
                <w:rFonts w:hint="eastAsia" w:asciiTheme="minorEastAsia" w:hAnsiTheme="minorEastAsia" w:eastAsiaTheme="minorEastAsia" w:cstheme="minorEastAsia"/>
                <w:kern w:val="0"/>
                <w:sz w:val="18"/>
                <w:szCs w:val="18"/>
                <w:lang w:val="en-US" w:eastAsia="zh-CN"/>
              </w:rPr>
            </w:pPr>
            <w:r>
              <w:rPr>
                <w:rFonts w:hint="eastAsia" w:asciiTheme="minorEastAsia" w:hAnsiTheme="minorEastAsia" w:eastAsiaTheme="minorEastAsia" w:cstheme="minorEastAsia"/>
                <w:kern w:val="0"/>
                <w:sz w:val="18"/>
                <w:szCs w:val="18"/>
                <w:lang w:eastAsia="zh-CN"/>
              </w:rPr>
              <w:t>根据履职情况，结合绩效目标和项目性质，对重点工作计划完成、产出质量、产出时效和有关成本控制情况评价，实现</w:t>
            </w:r>
            <w:r>
              <w:rPr>
                <w:rFonts w:hint="eastAsia" w:asciiTheme="minorEastAsia" w:hAnsiTheme="minorEastAsia" w:eastAsiaTheme="minorEastAsia" w:cstheme="minorEastAsia"/>
                <w:kern w:val="0"/>
                <w:sz w:val="18"/>
                <w:szCs w:val="18"/>
                <w:lang w:val="en-US" w:eastAsia="zh-CN"/>
              </w:rPr>
              <w:t>70%以上得4分，70%以下不得分。</w:t>
            </w:r>
          </w:p>
        </w:tc>
        <w:tc>
          <w:tcPr>
            <w:tcW w:w="2673" w:type="dxa"/>
            <w:gridSpan w:val="3"/>
            <w:tcBorders>
              <w:tl2br w:val="nil"/>
              <w:tr2bl w:val="nil"/>
            </w:tcBorders>
            <w:vAlign w:val="center"/>
          </w:tcPr>
          <w:p>
            <w:pPr>
              <w:spacing w:line="280" w:lineRule="exact"/>
              <w:jc w:val="left"/>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　</w:t>
            </w:r>
          </w:p>
        </w:tc>
        <w:tc>
          <w:tcPr>
            <w:tcW w:w="595" w:type="dxa"/>
            <w:tcBorders>
              <w:tl2br w:val="nil"/>
              <w:tr2bl w:val="nil"/>
            </w:tcBorders>
            <w:vAlign w:val="center"/>
          </w:tcPr>
          <w:p>
            <w:pPr>
              <w:spacing w:line="280" w:lineRule="exact"/>
              <w:jc w:val="left"/>
              <w:rPr>
                <w:rFonts w:hint="eastAsia" w:asciiTheme="minorEastAsia" w:hAnsiTheme="minorEastAsia" w:eastAsiaTheme="minorEastAsia" w:cstheme="minorEastAsia"/>
                <w:color w:val="000000"/>
                <w:kern w:val="0"/>
                <w:sz w:val="18"/>
                <w:szCs w:val="18"/>
                <w:lang w:val="en-US" w:eastAsia="zh-CN"/>
              </w:rPr>
            </w:pPr>
            <w:r>
              <w:rPr>
                <w:rFonts w:hint="eastAsia" w:asciiTheme="minorEastAsia" w:hAnsiTheme="minorEastAsia" w:eastAsiaTheme="minorEastAsia" w:cstheme="minorEastAsia"/>
                <w:color w:val="000000"/>
                <w:kern w:val="0"/>
                <w:sz w:val="18"/>
                <w:szCs w:val="18"/>
                <w:lang w:val="en-US" w:eastAsia="zh-CN"/>
              </w:rPr>
              <w:t>8</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754" w:hRule="atLeast"/>
          <w:jc w:val="center"/>
        </w:trPr>
        <w:tc>
          <w:tcPr>
            <w:tcW w:w="503" w:type="dxa"/>
            <w:vMerge w:val="continue"/>
            <w:tcBorders>
              <w:tl2br w:val="nil"/>
              <w:tr2bl w:val="nil"/>
            </w:tcBorders>
            <w:vAlign w:val="center"/>
          </w:tcPr>
          <w:p>
            <w:pPr>
              <w:spacing w:line="280" w:lineRule="exact"/>
              <w:jc w:val="left"/>
              <w:rPr>
                <w:rFonts w:hint="eastAsia" w:asciiTheme="minorEastAsia" w:hAnsiTheme="minorEastAsia" w:eastAsiaTheme="minorEastAsia" w:cstheme="minorEastAsia"/>
                <w:kern w:val="0"/>
                <w:sz w:val="18"/>
                <w:szCs w:val="18"/>
              </w:rPr>
            </w:pPr>
          </w:p>
        </w:tc>
        <w:tc>
          <w:tcPr>
            <w:tcW w:w="503" w:type="dxa"/>
            <w:vMerge w:val="continue"/>
            <w:tcBorders>
              <w:tl2br w:val="nil"/>
              <w:tr2bl w:val="nil"/>
            </w:tcBorders>
            <w:vAlign w:val="center"/>
          </w:tcPr>
          <w:p>
            <w:pPr>
              <w:spacing w:line="280" w:lineRule="exact"/>
              <w:jc w:val="left"/>
              <w:rPr>
                <w:rFonts w:hint="eastAsia" w:asciiTheme="minorEastAsia" w:hAnsiTheme="minorEastAsia" w:eastAsiaTheme="minorEastAsia" w:cstheme="minorEastAsia"/>
                <w:kern w:val="0"/>
                <w:sz w:val="18"/>
                <w:szCs w:val="18"/>
              </w:rPr>
            </w:pPr>
          </w:p>
        </w:tc>
        <w:tc>
          <w:tcPr>
            <w:tcW w:w="384" w:type="dxa"/>
            <w:gridSpan w:val="2"/>
            <w:vMerge w:val="restart"/>
            <w:tcBorders>
              <w:tl2br w:val="nil"/>
              <w:tr2bl w:val="nil"/>
            </w:tcBorders>
            <w:vAlign w:val="center"/>
          </w:tcPr>
          <w:p>
            <w:pPr>
              <w:spacing w:line="28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履职 效益</w:t>
            </w:r>
          </w:p>
        </w:tc>
        <w:tc>
          <w:tcPr>
            <w:tcW w:w="622" w:type="dxa"/>
            <w:vMerge w:val="restart"/>
            <w:tcBorders>
              <w:tl2br w:val="nil"/>
              <w:tr2bl w:val="nil"/>
            </w:tcBorders>
            <w:vAlign w:val="center"/>
          </w:tcPr>
          <w:p>
            <w:pPr>
              <w:spacing w:line="28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10</w:t>
            </w:r>
          </w:p>
        </w:tc>
        <w:tc>
          <w:tcPr>
            <w:tcW w:w="783" w:type="dxa"/>
            <w:gridSpan w:val="2"/>
            <w:tcBorders>
              <w:tl2br w:val="nil"/>
              <w:tr2bl w:val="nil"/>
            </w:tcBorders>
            <w:vAlign w:val="center"/>
          </w:tcPr>
          <w:p>
            <w:pPr>
              <w:spacing w:line="28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经济</w:t>
            </w:r>
          </w:p>
          <w:p>
            <w:pPr>
              <w:spacing w:line="28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效益</w:t>
            </w:r>
          </w:p>
        </w:tc>
        <w:tc>
          <w:tcPr>
            <w:tcW w:w="517" w:type="dxa"/>
            <w:vMerge w:val="restart"/>
            <w:tcBorders>
              <w:tl2br w:val="nil"/>
              <w:tr2bl w:val="nil"/>
            </w:tcBorders>
            <w:vAlign w:val="center"/>
          </w:tcPr>
          <w:p>
            <w:pPr>
              <w:spacing w:line="28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10</w:t>
            </w:r>
          </w:p>
        </w:tc>
        <w:tc>
          <w:tcPr>
            <w:tcW w:w="2483" w:type="dxa"/>
            <w:gridSpan w:val="4"/>
            <w:vMerge w:val="restart"/>
            <w:tcBorders>
              <w:tl2br w:val="nil"/>
              <w:tr2bl w:val="nil"/>
            </w:tcBorders>
            <w:vAlign w:val="center"/>
          </w:tcPr>
          <w:p>
            <w:pPr>
              <w:spacing w:line="280" w:lineRule="exact"/>
              <w:jc w:val="left"/>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此两项指标为设置部门整体支出绩效评价指标时必须考虑的共性要素，可根据部门实际情况有选择的进行设置，并将其细化为相应的个性化指标。</w:t>
            </w:r>
          </w:p>
        </w:tc>
        <w:tc>
          <w:tcPr>
            <w:tcW w:w="2673" w:type="dxa"/>
            <w:gridSpan w:val="3"/>
            <w:vMerge w:val="restart"/>
            <w:tcBorders>
              <w:tl2br w:val="nil"/>
              <w:tr2bl w:val="nil"/>
            </w:tcBorders>
            <w:vAlign w:val="center"/>
          </w:tcPr>
          <w:p>
            <w:pPr>
              <w:spacing w:line="280" w:lineRule="exact"/>
              <w:jc w:val="left"/>
              <w:rPr>
                <w:rFonts w:hint="eastAsia" w:asciiTheme="minorEastAsia" w:hAnsiTheme="minorEastAsia" w:eastAsiaTheme="minorEastAsia" w:cstheme="minorEastAsia"/>
                <w:color w:val="000000"/>
                <w:kern w:val="0"/>
                <w:sz w:val="18"/>
                <w:szCs w:val="18"/>
              </w:rPr>
            </w:pPr>
          </w:p>
        </w:tc>
        <w:tc>
          <w:tcPr>
            <w:tcW w:w="595" w:type="dxa"/>
            <w:vMerge w:val="restart"/>
            <w:tcBorders>
              <w:tl2br w:val="nil"/>
              <w:tr2bl w:val="nil"/>
            </w:tcBorders>
            <w:vAlign w:val="center"/>
          </w:tcPr>
          <w:p>
            <w:pPr>
              <w:spacing w:line="280" w:lineRule="exact"/>
              <w:jc w:val="left"/>
              <w:rPr>
                <w:rFonts w:hint="default" w:asciiTheme="minorEastAsia" w:hAnsiTheme="minorEastAsia" w:eastAsiaTheme="minorEastAsia" w:cstheme="minorEastAsia"/>
                <w:color w:val="000000"/>
                <w:kern w:val="0"/>
                <w:sz w:val="18"/>
                <w:szCs w:val="18"/>
                <w:lang w:val="en-US" w:eastAsia="zh-CN"/>
              </w:rPr>
            </w:pPr>
            <w:r>
              <w:rPr>
                <w:rFonts w:hint="eastAsia" w:asciiTheme="minorEastAsia" w:hAnsiTheme="minorEastAsia" w:eastAsiaTheme="minorEastAsia" w:cstheme="minorEastAsia"/>
                <w:color w:val="000000"/>
                <w:kern w:val="0"/>
                <w:sz w:val="18"/>
                <w:szCs w:val="18"/>
                <w:lang w:val="en-US" w:eastAsia="zh-CN"/>
              </w:rPr>
              <w:t>10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669" w:hRule="atLeast"/>
          <w:jc w:val="center"/>
        </w:trPr>
        <w:tc>
          <w:tcPr>
            <w:tcW w:w="503" w:type="dxa"/>
            <w:vMerge w:val="continue"/>
            <w:tcBorders>
              <w:tl2br w:val="nil"/>
              <w:tr2bl w:val="nil"/>
            </w:tcBorders>
            <w:vAlign w:val="center"/>
          </w:tcPr>
          <w:p>
            <w:pPr>
              <w:spacing w:line="280" w:lineRule="exact"/>
              <w:jc w:val="left"/>
              <w:rPr>
                <w:rFonts w:hint="eastAsia" w:asciiTheme="minorEastAsia" w:hAnsiTheme="minorEastAsia" w:eastAsiaTheme="minorEastAsia" w:cstheme="minorEastAsia"/>
                <w:kern w:val="0"/>
                <w:sz w:val="18"/>
                <w:szCs w:val="18"/>
              </w:rPr>
            </w:pPr>
          </w:p>
        </w:tc>
        <w:tc>
          <w:tcPr>
            <w:tcW w:w="503" w:type="dxa"/>
            <w:vMerge w:val="continue"/>
            <w:tcBorders>
              <w:tl2br w:val="nil"/>
              <w:tr2bl w:val="nil"/>
            </w:tcBorders>
            <w:vAlign w:val="center"/>
          </w:tcPr>
          <w:p>
            <w:pPr>
              <w:spacing w:line="280" w:lineRule="exact"/>
              <w:jc w:val="left"/>
              <w:rPr>
                <w:rFonts w:hint="eastAsia" w:asciiTheme="minorEastAsia" w:hAnsiTheme="minorEastAsia" w:eastAsiaTheme="minorEastAsia" w:cstheme="minorEastAsia"/>
                <w:kern w:val="0"/>
                <w:sz w:val="18"/>
                <w:szCs w:val="18"/>
              </w:rPr>
            </w:pPr>
          </w:p>
        </w:tc>
        <w:tc>
          <w:tcPr>
            <w:tcW w:w="384" w:type="dxa"/>
            <w:gridSpan w:val="2"/>
            <w:vMerge w:val="continue"/>
            <w:tcBorders>
              <w:tl2br w:val="nil"/>
              <w:tr2bl w:val="nil"/>
            </w:tcBorders>
            <w:vAlign w:val="center"/>
          </w:tcPr>
          <w:p>
            <w:pPr>
              <w:spacing w:line="280" w:lineRule="exact"/>
              <w:jc w:val="left"/>
              <w:rPr>
                <w:rFonts w:hint="eastAsia" w:asciiTheme="minorEastAsia" w:hAnsiTheme="minorEastAsia" w:eastAsiaTheme="minorEastAsia" w:cstheme="minorEastAsia"/>
                <w:kern w:val="0"/>
                <w:sz w:val="18"/>
                <w:szCs w:val="18"/>
              </w:rPr>
            </w:pPr>
          </w:p>
        </w:tc>
        <w:tc>
          <w:tcPr>
            <w:tcW w:w="622" w:type="dxa"/>
            <w:vMerge w:val="continue"/>
            <w:tcBorders>
              <w:tl2br w:val="nil"/>
              <w:tr2bl w:val="nil"/>
            </w:tcBorders>
            <w:vAlign w:val="center"/>
          </w:tcPr>
          <w:p>
            <w:pPr>
              <w:spacing w:line="280" w:lineRule="exact"/>
              <w:jc w:val="left"/>
              <w:rPr>
                <w:rFonts w:hint="eastAsia" w:asciiTheme="minorEastAsia" w:hAnsiTheme="minorEastAsia" w:eastAsiaTheme="minorEastAsia" w:cstheme="minorEastAsia"/>
                <w:kern w:val="0"/>
                <w:sz w:val="18"/>
                <w:szCs w:val="18"/>
              </w:rPr>
            </w:pPr>
          </w:p>
        </w:tc>
        <w:tc>
          <w:tcPr>
            <w:tcW w:w="783" w:type="dxa"/>
            <w:gridSpan w:val="2"/>
            <w:tcBorders>
              <w:tl2br w:val="nil"/>
              <w:tr2bl w:val="nil"/>
            </w:tcBorders>
            <w:vAlign w:val="center"/>
          </w:tcPr>
          <w:p>
            <w:pPr>
              <w:spacing w:line="28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社会</w:t>
            </w:r>
          </w:p>
          <w:p>
            <w:pPr>
              <w:spacing w:line="28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效益</w:t>
            </w:r>
          </w:p>
        </w:tc>
        <w:tc>
          <w:tcPr>
            <w:tcW w:w="517" w:type="dxa"/>
            <w:vMerge w:val="continue"/>
            <w:tcBorders>
              <w:tl2br w:val="nil"/>
              <w:tr2bl w:val="nil"/>
            </w:tcBorders>
            <w:vAlign w:val="center"/>
          </w:tcPr>
          <w:p>
            <w:pPr>
              <w:spacing w:line="280" w:lineRule="exact"/>
              <w:jc w:val="left"/>
              <w:rPr>
                <w:rFonts w:hint="eastAsia" w:asciiTheme="minorEastAsia" w:hAnsiTheme="minorEastAsia" w:eastAsiaTheme="minorEastAsia" w:cstheme="minorEastAsia"/>
                <w:kern w:val="0"/>
                <w:sz w:val="18"/>
                <w:szCs w:val="18"/>
              </w:rPr>
            </w:pPr>
          </w:p>
        </w:tc>
        <w:tc>
          <w:tcPr>
            <w:tcW w:w="2483" w:type="dxa"/>
            <w:gridSpan w:val="4"/>
            <w:vMerge w:val="continue"/>
            <w:tcBorders>
              <w:tl2br w:val="nil"/>
              <w:tr2bl w:val="nil"/>
            </w:tcBorders>
            <w:vAlign w:val="center"/>
          </w:tcPr>
          <w:p>
            <w:pPr>
              <w:spacing w:line="280" w:lineRule="exact"/>
              <w:jc w:val="left"/>
              <w:rPr>
                <w:rFonts w:hint="eastAsia" w:asciiTheme="minorEastAsia" w:hAnsiTheme="minorEastAsia" w:eastAsiaTheme="minorEastAsia" w:cstheme="minorEastAsia"/>
                <w:kern w:val="0"/>
                <w:sz w:val="18"/>
                <w:szCs w:val="18"/>
              </w:rPr>
            </w:pPr>
          </w:p>
        </w:tc>
        <w:tc>
          <w:tcPr>
            <w:tcW w:w="2673" w:type="dxa"/>
            <w:gridSpan w:val="3"/>
            <w:vMerge w:val="continue"/>
            <w:tcBorders>
              <w:tl2br w:val="nil"/>
              <w:tr2bl w:val="nil"/>
            </w:tcBorders>
            <w:vAlign w:val="center"/>
          </w:tcPr>
          <w:p>
            <w:pPr>
              <w:spacing w:line="280" w:lineRule="exact"/>
              <w:jc w:val="left"/>
              <w:rPr>
                <w:rFonts w:hint="eastAsia" w:asciiTheme="minorEastAsia" w:hAnsiTheme="minorEastAsia" w:eastAsiaTheme="minorEastAsia" w:cstheme="minorEastAsia"/>
                <w:kern w:val="0"/>
                <w:sz w:val="18"/>
                <w:szCs w:val="18"/>
              </w:rPr>
            </w:pPr>
          </w:p>
        </w:tc>
        <w:tc>
          <w:tcPr>
            <w:tcW w:w="595" w:type="dxa"/>
            <w:vMerge w:val="continue"/>
            <w:tcBorders>
              <w:tl2br w:val="nil"/>
              <w:tr2bl w:val="nil"/>
            </w:tcBorders>
            <w:vAlign w:val="center"/>
          </w:tcPr>
          <w:p>
            <w:pPr>
              <w:spacing w:line="280" w:lineRule="exact"/>
              <w:jc w:val="left"/>
              <w:rPr>
                <w:rFonts w:hint="eastAsia" w:asciiTheme="minorEastAsia" w:hAnsiTheme="minorEastAsia" w:eastAsiaTheme="minorEastAsia" w:cstheme="minorEastAsia"/>
                <w:kern w:val="0"/>
                <w:sz w:val="18"/>
                <w:szCs w:val="18"/>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1584" w:hRule="atLeast"/>
          <w:jc w:val="center"/>
        </w:trPr>
        <w:tc>
          <w:tcPr>
            <w:tcW w:w="503" w:type="dxa"/>
            <w:vMerge w:val="continue"/>
            <w:tcBorders>
              <w:tl2br w:val="nil"/>
              <w:tr2bl w:val="nil"/>
            </w:tcBorders>
            <w:vAlign w:val="center"/>
          </w:tcPr>
          <w:p>
            <w:pPr>
              <w:spacing w:line="280" w:lineRule="exact"/>
              <w:jc w:val="left"/>
              <w:rPr>
                <w:rFonts w:hint="eastAsia" w:asciiTheme="minorEastAsia" w:hAnsiTheme="minorEastAsia" w:eastAsiaTheme="minorEastAsia" w:cstheme="minorEastAsia"/>
                <w:kern w:val="0"/>
                <w:sz w:val="18"/>
                <w:szCs w:val="18"/>
              </w:rPr>
            </w:pPr>
          </w:p>
        </w:tc>
        <w:tc>
          <w:tcPr>
            <w:tcW w:w="503" w:type="dxa"/>
            <w:vMerge w:val="continue"/>
            <w:tcBorders>
              <w:tl2br w:val="nil"/>
              <w:tr2bl w:val="nil"/>
            </w:tcBorders>
            <w:vAlign w:val="center"/>
          </w:tcPr>
          <w:p>
            <w:pPr>
              <w:spacing w:line="280" w:lineRule="exact"/>
              <w:jc w:val="left"/>
              <w:rPr>
                <w:rFonts w:hint="eastAsia" w:asciiTheme="minorEastAsia" w:hAnsiTheme="minorEastAsia" w:eastAsiaTheme="minorEastAsia" w:cstheme="minorEastAsia"/>
                <w:kern w:val="0"/>
                <w:sz w:val="18"/>
                <w:szCs w:val="18"/>
              </w:rPr>
            </w:pPr>
          </w:p>
        </w:tc>
        <w:tc>
          <w:tcPr>
            <w:tcW w:w="384" w:type="dxa"/>
            <w:gridSpan w:val="2"/>
            <w:vMerge w:val="continue"/>
            <w:tcBorders>
              <w:tl2br w:val="nil"/>
              <w:tr2bl w:val="nil"/>
            </w:tcBorders>
            <w:vAlign w:val="center"/>
          </w:tcPr>
          <w:p>
            <w:pPr>
              <w:spacing w:line="280" w:lineRule="exact"/>
              <w:jc w:val="left"/>
              <w:rPr>
                <w:rFonts w:hint="eastAsia" w:asciiTheme="minorEastAsia" w:hAnsiTheme="minorEastAsia" w:eastAsiaTheme="minorEastAsia" w:cstheme="minorEastAsia"/>
                <w:kern w:val="0"/>
                <w:sz w:val="18"/>
                <w:szCs w:val="18"/>
              </w:rPr>
            </w:pPr>
          </w:p>
        </w:tc>
        <w:tc>
          <w:tcPr>
            <w:tcW w:w="622" w:type="dxa"/>
            <w:vMerge w:val="restart"/>
            <w:tcBorders>
              <w:tl2br w:val="nil"/>
              <w:tr2bl w:val="nil"/>
            </w:tcBorders>
            <w:vAlign w:val="center"/>
          </w:tcPr>
          <w:p>
            <w:pPr>
              <w:spacing w:line="28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12</w:t>
            </w:r>
          </w:p>
        </w:tc>
        <w:tc>
          <w:tcPr>
            <w:tcW w:w="783" w:type="dxa"/>
            <w:gridSpan w:val="2"/>
            <w:tcBorders>
              <w:tl2br w:val="nil"/>
              <w:tr2bl w:val="nil"/>
            </w:tcBorders>
            <w:vAlign w:val="center"/>
          </w:tcPr>
          <w:p>
            <w:pPr>
              <w:spacing w:line="28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行政</w:t>
            </w:r>
          </w:p>
          <w:p>
            <w:pPr>
              <w:spacing w:line="28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效能</w:t>
            </w:r>
          </w:p>
        </w:tc>
        <w:tc>
          <w:tcPr>
            <w:tcW w:w="517" w:type="dxa"/>
            <w:tcBorders>
              <w:tl2br w:val="nil"/>
              <w:tr2bl w:val="nil"/>
            </w:tcBorders>
            <w:vAlign w:val="center"/>
          </w:tcPr>
          <w:p>
            <w:pPr>
              <w:spacing w:line="28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6</w:t>
            </w:r>
          </w:p>
        </w:tc>
        <w:tc>
          <w:tcPr>
            <w:tcW w:w="2483" w:type="dxa"/>
            <w:gridSpan w:val="4"/>
            <w:tcBorders>
              <w:tl2br w:val="nil"/>
              <w:tr2bl w:val="nil"/>
            </w:tcBorders>
            <w:vAlign w:val="center"/>
          </w:tcPr>
          <w:p>
            <w:pPr>
              <w:spacing w:line="280" w:lineRule="exact"/>
              <w:jc w:val="left"/>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促进部门改进文风会风，加强经费及资产管理，推动网上办事，提高行政效率，降低行政成本效果较好的计6分；一般3分；无效果或者效果不明显0分。</w:t>
            </w:r>
          </w:p>
        </w:tc>
        <w:tc>
          <w:tcPr>
            <w:tcW w:w="2673" w:type="dxa"/>
            <w:gridSpan w:val="3"/>
            <w:tcBorders>
              <w:tl2br w:val="nil"/>
              <w:tr2bl w:val="nil"/>
            </w:tcBorders>
            <w:vAlign w:val="center"/>
          </w:tcPr>
          <w:p>
            <w:pPr>
              <w:spacing w:line="280" w:lineRule="exact"/>
              <w:jc w:val="left"/>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根据部门自评材料评定。</w:t>
            </w:r>
          </w:p>
        </w:tc>
        <w:tc>
          <w:tcPr>
            <w:tcW w:w="595" w:type="dxa"/>
            <w:tcBorders>
              <w:tl2br w:val="nil"/>
              <w:tr2bl w:val="nil"/>
            </w:tcBorders>
            <w:vAlign w:val="center"/>
          </w:tcPr>
          <w:p>
            <w:pPr>
              <w:spacing w:line="280" w:lineRule="exact"/>
              <w:jc w:val="left"/>
              <w:rPr>
                <w:rFonts w:hint="eastAsia" w:asciiTheme="minorEastAsia" w:hAnsiTheme="minorEastAsia" w:eastAsiaTheme="minorEastAsia" w:cstheme="minorEastAsia"/>
                <w:color w:val="000000"/>
                <w:kern w:val="0"/>
                <w:sz w:val="18"/>
                <w:szCs w:val="18"/>
                <w:lang w:val="en-US" w:eastAsia="zh-CN"/>
              </w:rPr>
            </w:pPr>
            <w:r>
              <w:rPr>
                <w:rFonts w:hint="eastAsia" w:asciiTheme="minorEastAsia" w:hAnsiTheme="minorEastAsia" w:eastAsiaTheme="minorEastAsia" w:cstheme="minorEastAsia"/>
                <w:color w:val="000000"/>
                <w:kern w:val="0"/>
                <w:sz w:val="18"/>
                <w:szCs w:val="18"/>
                <w:lang w:val="en-US" w:eastAsia="zh-CN"/>
              </w:rPr>
              <w:t>6</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1584" w:hRule="atLeast"/>
          <w:jc w:val="center"/>
        </w:trPr>
        <w:tc>
          <w:tcPr>
            <w:tcW w:w="503" w:type="dxa"/>
            <w:vMerge w:val="continue"/>
            <w:tcBorders>
              <w:tl2br w:val="nil"/>
              <w:tr2bl w:val="nil"/>
            </w:tcBorders>
            <w:vAlign w:val="center"/>
          </w:tcPr>
          <w:p>
            <w:pPr>
              <w:spacing w:line="280" w:lineRule="exact"/>
              <w:jc w:val="left"/>
              <w:rPr>
                <w:rFonts w:hint="eastAsia" w:asciiTheme="minorEastAsia" w:hAnsiTheme="minorEastAsia" w:eastAsiaTheme="minorEastAsia" w:cstheme="minorEastAsia"/>
                <w:kern w:val="0"/>
                <w:sz w:val="18"/>
                <w:szCs w:val="18"/>
              </w:rPr>
            </w:pPr>
          </w:p>
        </w:tc>
        <w:tc>
          <w:tcPr>
            <w:tcW w:w="503" w:type="dxa"/>
            <w:vMerge w:val="continue"/>
            <w:tcBorders>
              <w:tl2br w:val="nil"/>
              <w:tr2bl w:val="nil"/>
            </w:tcBorders>
            <w:vAlign w:val="center"/>
          </w:tcPr>
          <w:p>
            <w:pPr>
              <w:spacing w:line="280" w:lineRule="exact"/>
              <w:jc w:val="left"/>
              <w:rPr>
                <w:rFonts w:hint="eastAsia" w:asciiTheme="minorEastAsia" w:hAnsiTheme="minorEastAsia" w:eastAsiaTheme="minorEastAsia" w:cstheme="minorEastAsia"/>
                <w:kern w:val="0"/>
                <w:sz w:val="18"/>
                <w:szCs w:val="18"/>
              </w:rPr>
            </w:pPr>
          </w:p>
        </w:tc>
        <w:tc>
          <w:tcPr>
            <w:tcW w:w="384" w:type="dxa"/>
            <w:gridSpan w:val="2"/>
            <w:vMerge w:val="continue"/>
            <w:tcBorders>
              <w:tl2br w:val="nil"/>
              <w:tr2bl w:val="nil"/>
            </w:tcBorders>
            <w:vAlign w:val="center"/>
          </w:tcPr>
          <w:p>
            <w:pPr>
              <w:spacing w:line="280" w:lineRule="exact"/>
              <w:jc w:val="left"/>
              <w:rPr>
                <w:rFonts w:hint="eastAsia" w:asciiTheme="minorEastAsia" w:hAnsiTheme="minorEastAsia" w:eastAsiaTheme="minorEastAsia" w:cstheme="minorEastAsia"/>
                <w:kern w:val="0"/>
                <w:sz w:val="18"/>
                <w:szCs w:val="18"/>
              </w:rPr>
            </w:pPr>
          </w:p>
        </w:tc>
        <w:tc>
          <w:tcPr>
            <w:tcW w:w="622" w:type="dxa"/>
            <w:vMerge w:val="continue"/>
            <w:tcBorders>
              <w:tl2br w:val="nil"/>
              <w:tr2bl w:val="nil"/>
            </w:tcBorders>
            <w:vAlign w:val="center"/>
          </w:tcPr>
          <w:p>
            <w:pPr>
              <w:spacing w:line="280" w:lineRule="exact"/>
              <w:jc w:val="left"/>
              <w:rPr>
                <w:rFonts w:hint="eastAsia" w:asciiTheme="minorEastAsia" w:hAnsiTheme="minorEastAsia" w:eastAsiaTheme="minorEastAsia" w:cstheme="minorEastAsia"/>
                <w:kern w:val="0"/>
                <w:sz w:val="18"/>
                <w:szCs w:val="18"/>
              </w:rPr>
            </w:pPr>
          </w:p>
        </w:tc>
        <w:tc>
          <w:tcPr>
            <w:tcW w:w="783" w:type="dxa"/>
            <w:gridSpan w:val="2"/>
            <w:tcBorders>
              <w:tl2br w:val="nil"/>
              <w:tr2bl w:val="nil"/>
            </w:tcBorders>
            <w:vAlign w:val="center"/>
          </w:tcPr>
          <w:p>
            <w:pPr>
              <w:spacing w:line="28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社会公众或服务对象满意度</w:t>
            </w:r>
          </w:p>
        </w:tc>
        <w:tc>
          <w:tcPr>
            <w:tcW w:w="517" w:type="dxa"/>
            <w:tcBorders>
              <w:tl2br w:val="nil"/>
              <w:tr2bl w:val="nil"/>
            </w:tcBorders>
            <w:vAlign w:val="center"/>
          </w:tcPr>
          <w:p>
            <w:pPr>
              <w:spacing w:line="28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6</w:t>
            </w:r>
          </w:p>
        </w:tc>
        <w:tc>
          <w:tcPr>
            <w:tcW w:w="2483" w:type="dxa"/>
            <w:gridSpan w:val="4"/>
            <w:tcBorders>
              <w:tl2br w:val="nil"/>
              <w:tr2bl w:val="nil"/>
            </w:tcBorders>
            <w:vAlign w:val="center"/>
          </w:tcPr>
          <w:p>
            <w:pPr>
              <w:spacing w:line="280" w:lineRule="exact"/>
              <w:jc w:val="left"/>
              <w:rPr>
                <w:rFonts w:hint="eastAsia" w:asciiTheme="minorEastAsia" w:hAnsiTheme="minorEastAsia" w:eastAsiaTheme="minorEastAsia" w:cstheme="minorEastAsia"/>
                <w:kern w:val="0"/>
                <w:sz w:val="18"/>
                <w:szCs w:val="18"/>
                <w:lang w:eastAsia="zh-CN"/>
              </w:rPr>
            </w:pPr>
            <w:r>
              <w:rPr>
                <w:rFonts w:hint="eastAsia" w:asciiTheme="minorEastAsia" w:hAnsiTheme="minorEastAsia" w:eastAsiaTheme="minorEastAsia" w:cstheme="minorEastAsia"/>
                <w:kern w:val="0"/>
                <w:sz w:val="18"/>
                <w:szCs w:val="18"/>
              </w:rPr>
              <w:t>90%（含）以上计6分；</w:t>
            </w:r>
          </w:p>
          <w:p>
            <w:pPr>
              <w:spacing w:line="280" w:lineRule="exact"/>
              <w:jc w:val="left"/>
              <w:rPr>
                <w:rFonts w:hint="eastAsia" w:asciiTheme="minorEastAsia" w:hAnsiTheme="minorEastAsia" w:eastAsiaTheme="minorEastAsia" w:cstheme="minorEastAsia"/>
                <w:kern w:val="0"/>
                <w:sz w:val="18"/>
                <w:szCs w:val="18"/>
                <w:lang w:eastAsia="zh-CN"/>
              </w:rPr>
            </w:pPr>
            <w:r>
              <w:rPr>
                <w:rFonts w:hint="eastAsia" w:asciiTheme="minorEastAsia" w:hAnsiTheme="minorEastAsia" w:eastAsiaTheme="minorEastAsia" w:cstheme="minorEastAsia"/>
                <w:kern w:val="0"/>
                <w:sz w:val="18"/>
                <w:szCs w:val="18"/>
              </w:rPr>
              <w:t>80%（含）-90%，计4分；</w:t>
            </w:r>
          </w:p>
          <w:p>
            <w:pPr>
              <w:spacing w:line="280" w:lineRule="exact"/>
              <w:jc w:val="left"/>
              <w:rPr>
                <w:rFonts w:hint="eastAsia" w:asciiTheme="minorEastAsia" w:hAnsiTheme="minorEastAsia" w:eastAsiaTheme="minorEastAsia" w:cstheme="minorEastAsia"/>
                <w:kern w:val="0"/>
                <w:sz w:val="18"/>
                <w:szCs w:val="18"/>
                <w:lang w:eastAsia="zh-CN"/>
              </w:rPr>
            </w:pPr>
            <w:r>
              <w:rPr>
                <w:rFonts w:hint="eastAsia" w:asciiTheme="minorEastAsia" w:hAnsiTheme="minorEastAsia" w:eastAsiaTheme="minorEastAsia" w:cstheme="minorEastAsia"/>
                <w:kern w:val="0"/>
                <w:sz w:val="18"/>
                <w:szCs w:val="18"/>
              </w:rPr>
              <w:t>70%（含）-80%，计2分；</w:t>
            </w:r>
          </w:p>
          <w:p>
            <w:pPr>
              <w:spacing w:line="280" w:lineRule="exact"/>
              <w:jc w:val="left"/>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低于70%计0分。</w:t>
            </w:r>
          </w:p>
        </w:tc>
        <w:tc>
          <w:tcPr>
            <w:tcW w:w="2673" w:type="dxa"/>
            <w:gridSpan w:val="3"/>
            <w:tcBorders>
              <w:tl2br w:val="nil"/>
              <w:tr2bl w:val="nil"/>
            </w:tcBorders>
            <w:vAlign w:val="center"/>
          </w:tcPr>
          <w:p>
            <w:pPr>
              <w:spacing w:line="280" w:lineRule="exact"/>
              <w:jc w:val="left"/>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社会公众或服务对象是指部门（单位）履行职责而影响到的部门、群体或个人，一般采取社会调查的方式。</w:t>
            </w:r>
          </w:p>
        </w:tc>
        <w:tc>
          <w:tcPr>
            <w:tcW w:w="595" w:type="dxa"/>
            <w:tcBorders>
              <w:tl2br w:val="nil"/>
              <w:tr2bl w:val="nil"/>
            </w:tcBorders>
            <w:vAlign w:val="center"/>
          </w:tcPr>
          <w:p>
            <w:pPr>
              <w:spacing w:line="280" w:lineRule="exact"/>
              <w:jc w:val="left"/>
              <w:rPr>
                <w:rFonts w:hint="eastAsia"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kern w:val="0"/>
                <w:sz w:val="18"/>
                <w:szCs w:val="18"/>
              </w:rPr>
              <w:t>　</w:t>
            </w:r>
            <w:r>
              <w:rPr>
                <w:rFonts w:hint="eastAsia" w:asciiTheme="minorEastAsia" w:hAnsiTheme="minorEastAsia" w:eastAsiaTheme="minorEastAsia" w:cstheme="minorEastAsia"/>
                <w:kern w:val="0"/>
                <w:sz w:val="18"/>
                <w:szCs w:val="18"/>
                <w:lang w:val="en-US" w:eastAsia="zh-CN"/>
              </w:rPr>
              <w:t>6</w:t>
            </w:r>
            <w:r>
              <w:rPr>
                <w:rFonts w:hint="eastAsia" w:asciiTheme="minorEastAsia" w:hAnsiTheme="minorEastAsia" w:eastAsiaTheme="minorEastAsia" w:cstheme="minorEastAsia"/>
                <w:kern w:val="0"/>
                <w:sz w:val="18"/>
                <w:szCs w:val="18"/>
                <w:shd w:val="clear" w:color="auto" w:fill="FFFFFF"/>
              </w:rPr>
              <w:fldChar w:fldCharType="begin">
                <w:fldData xml:space="preserve">QgAzADUAMgBGADUAMgBDADkAMAAzADAANAA1ADMAOABCADAARgA0ADAANAA5AEEAOQA0AEUAMgA0
ADQARQAxAA==
</w:fldData>
              </w:fldChar>
            </w:r>
            <w:r>
              <w:rPr>
                <w:rFonts w:hint="eastAsia" w:asciiTheme="minorEastAsia" w:hAnsiTheme="minorEastAsia" w:eastAsiaTheme="minorEastAsia" w:cstheme="minorEastAsia"/>
                <w:kern w:val="0"/>
                <w:sz w:val="18"/>
                <w:szCs w:val="18"/>
                <w:shd w:val="clear" w:color="auto" w:fill="FFFFFF"/>
              </w:rPr>
              <w:instrText xml:space="preserve">Addin PF16</w:instrText>
            </w:r>
            <w:r>
              <w:rPr>
                <w:rFonts w:hint="eastAsia" w:asciiTheme="minorEastAsia" w:hAnsiTheme="minorEastAsia" w:eastAsiaTheme="minorEastAsia" w:cstheme="minorEastAsia"/>
                <w:kern w:val="0"/>
                <w:sz w:val="18"/>
                <w:szCs w:val="18"/>
                <w:shd w:val="clear" w:color="auto" w:fill="FFFFFF"/>
              </w:rPr>
              <w:fldChar w:fldCharType="separate"/>
            </w:r>
            <w:r>
              <w:rPr>
                <w:rFonts w:hint="eastAsia" w:asciiTheme="minorEastAsia" w:hAnsiTheme="minorEastAsia" w:eastAsiaTheme="minorEastAsia" w:cstheme="minorEastAsia"/>
                <w:kern w:val="0"/>
                <w:sz w:val="18"/>
                <w:szCs w:val="18"/>
                <w:shd w:val="clear" w:color="auto" w:fill="FFFFFF"/>
              </w:rPr>
              <w:fldChar w:fldCharType="end"/>
            </w:r>
          </w:p>
        </w:tc>
      </w:tr>
    </w:tbl>
    <w:p>
      <w:pPr>
        <w:adjustRightInd w:val="0"/>
        <w:snapToGrid w:val="0"/>
        <w:spacing w:line="600" w:lineRule="exact"/>
        <w:jc w:val="center"/>
        <w:rPr>
          <w:rFonts w:hint="default" w:ascii="Times New Roman" w:hAnsi="Times New Roman" w:eastAsia="方正小标宋简体" w:cs="Times New Roman"/>
          <w:bCs/>
          <w:color w:val="000000"/>
          <w:kern w:val="0"/>
          <w:sz w:val="36"/>
          <w:szCs w:val="36"/>
        </w:rPr>
      </w:pPr>
    </w:p>
    <w:p>
      <w:pPr>
        <w:jc w:val="left"/>
        <w:rPr>
          <w:rFonts w:hint="eastAsia" w:ascii="黑体" w:hAnsi="黑体" w:eastAsia="黑体" w:cs="黑体"/>
          <w:kern w:val="0"/>
        </w:rPr>
      </w:pPr>
    </w:p>
    <w:p>
      <w:pPr>
        <w:jc w:val="left"/>
        <w:rPr>
          <w:rFonts w:hint="eastAsia" w:ascii="黑体" w:hAnsi="黑体" w:eastAsia="黑体" w:cs="黑体"/>
          <w:kern w:val="0"/>
        </w:rPr>
      </w:pPr>
    </w:p>
    <w:p>
      <w:pPr>
        <w:jc w:val="left"/>
        <w:rPr>
          <w:rFonts w:hint="eastAsia" w:ascii="黑体" w:hAnsi="黑体" w:eastAsia="黑体" w:cs="黑体"/>
          <w:kern w:val="0"/>
        </w:rPr>
      </w:pPr>
    </w:p>
    <w:p>
      <w:pPr>
        <w:jc w:val="left"/>
        <w:rPr>
          <w:rFonts w:hint="eastAsia" w:ascii="黑体" w:hAnsi="黑体" w:eastAsia="黑体" w:cs="黑体"/>
          <w:kern w:val="0"/>
          <w:lang w:val="en-US" w:eastAsia="zh-CN"/>
        </w:rPr>
      </w:pPr>
      <w:r>
        <w:rPr>
          <w:rFonts w:hint="eastAsia" w:ascii="黑体" w:hAnsi="黑体" w:eastAsia="黑体" w:cs="黑体"/>
          <w:kern w:val="0"/>
        </w:rPr>
        <w:t>附件</w:t>
      </w:r>
      <w:r>
        <w:rPr>
          <w:rFonts w:hint="eastAsia" w:ascii="黑体" w:hAnsi="黑体" w:eastAsia="黑体" w:cs="黑体"/>
          <w:kern w:val="0"/>
          <w:lang w:val="en-US" w:eastAsia="zh-CN"/>
        </w:rPr>
        <w:t>3</w:t>
      </w:r>
    </w:p>
    <w:p>
      <w:pPr>
        <w:spacing w:line="600" w:lineRule="exact"/>
        <w:jc w:val="center"/>
        <w:rPr>
          <w:rFonts w:hint="default" w:ascii="Times New Roman" w:hAnsi="Times New Roman" w:eastAsia="方正小标宋简体" w:cs="Times New Roman"/>
          <w:sz w:val="36"/>
          <w:szCs w:val="36"/>
        </w:rPr>
      </w:pPr>
    </w:p>
    <w:p>
      <w:pPr>
        <w:spacing w:line="600" w:lineRule="exact"/>
        <w:jc w:val="center"/>
        <w:rPr>
          <w:rFonts w:hint="eastAsia" w:ascii="方正小标宋_GBK" w:hAnsi="方正小标宋_GBK" w:eastAsia="方正小标宋_GBK" w:cs="方正小标宋_GBK"/>
          <w:b w:val="0"/>
          <w:bCs w:val="0"/>
          <w:sz w:val="36"/>
          <w:szCs w:val="36"/>
          <w:lang w:eastAsia="zh-CN"/>
        </w:rPr>
      </w:pPr>
      <w:r>
        <w:rPr>
          <w:rFonts w:hint="eastAsia" w:ascii="仿宋" w:hAnsi="仿宋" w:eastAsia="仿宋" w:cs="仿宋"/>
          <w:b w:val="0"/>
          <w:bCs w:val="0"/>
          <w:sz w:val="36"/>
          <w:szCs w:val="36"/>
          <w:lang w:val="en-US" w:eastAsia="zh-CN"/>
        </w:rPr>
        <w:t>2019</w:t>
      </w:r>
      <w:r>
        <w:rPr>
          <w:rFonts w:hint="eastAsia" w:ascii="方正小标宋_GBK" w:hAnsi="方正小标宋_GBK" w:eastAsia="方正小标宋_GBK" w:cs="方正小标宋_GBK"/>
          <w:b w:val="0"/>
          <w:bCs w:val="0"/>
          <w:sz w:val="36"/>
          <w:szCs w:val="36"/>
        </w:rPr>
        <w:t>年度</w:t>
      </w:r>
      <w:r>
        <w:rPr>
          <w:rFonts w:hint="eastAsia" w:ascii="方正小标宋_GBK" w:hAnsi="方正小标宋_GBK" w:eastAsia="方正小标宋_GBK" w:cs="方正小标宋_GBK"/>
          <w:b w:val="0"/>
          <w:bCs w:val="0"/>
          <w:sz w:val="36"/>
          <w:szCs w:val="36"/>
          <w:lang w:eastAsia="zh-CN"/>
        </w:rPr>
        <w:t>长沙市自然资源和规划局望城分局</w:t>
      </w:r>
    </w:p>
    <w:p>
      <w:pPr>
        <w:spacing w:line="600" w:lineRule="exact"/>
        <w:jc w:val="center"/>
        <w:rPr>
          <w:rFonts w:hint="default" w:ascii="Times New Roman" w:hAnsi="Times New Roman" w:eastAsia="方正小标宋简体" w:cs="Times New Roman"/>
          <w:b w:val="0"/>
          <w:bCs w:val="0"/>
          <w:sz w:val="36"/>
          <w:szCs w:val="36"/>
        </w:rPr>
      </w:pPr>
      <w:r>
        <w:rPr>
          <w:rFonts w:hint="eastAsia" w:ascii="方正小标宋_GBK" w:hAnsi="方正小标宋_GBK" w:eastAsia="方正小标宋_GBK" w:cs="方正小标宋_GBK"/>
          <w:b w:val="0"/>
          <w:bCs w:val="0"/>
          <w:sz w:val="36"/>
          <w:szCs w:val="36"/>
        </w:rPr>
        <w:t>单位部门整体支出预算绩效</w:t>
      </w:r>
      <w:r>
        <w:rPr>
          <w:rFonts w:hint="default" w:ascii="Times New Roman" w:hAnsi="Times New Roman" w:eastAsia="方正小标宋简体" w:cs="Times New Roman"/>
          <w:b w:val="0"/>
          <w:bCs w:val="0"/>
          <w:sz w:val="36"/>
          <w:szCs w:val="36"/>
        </w:rPr>
        <w:t>自评报告</w:t>
      </w:r>
    </w:p>
    <w:p>
      <w:pPr>
        <w:spacing w:line="600" w:lineRule="exact"/>
        <w:jc w:val="center"/>
        <w:rPr>
          <w:rFonts w:hint="default" w:ascii="Times New Roman" w:hAnsi="Times New Roman" w:eastAsia="仿宋_GB2312" w:cs="Times New Roman"/>
          <w:sz w:val="32"/>
          <w:szCs w:val="32"/>
        </w:rPr>
      </w:pPr>
    </w:p>
    <w:p>
      <w:pPr>
        <w:numPr>
          <w:ilvl w:val="0"/>
          <w:numId w:val="1"/>
        </w:numPr>
        <w:spacing w:line="600" w:lineRule="exact"/>
        <w:ind w:firstLine="600" w:firstLineChars="200"/>
        <w:rPr>
          <w:rFonts w:hint="default" w:ascii="Times New Roman" w:hAnsi="Times New Roman" w:eastAsia="黑体" w:cs="Times New Roman"/>
          <w:sz w:val="30"/>
        </w:rPr>
      </w:pPr>
      <w:r>
        <w:rPr>
          <w:rFonts w:hint="default" w:ascii="Times New Roman" w:hAnsi="Times New Roman" w:eastAsia="黑体" w:cs="Times New Roman"/>
          <w:sz w:val="30"/>
        </w:rPr>
        <w:t>部门（单位）基本情况</w:t>
      </w:r>
    </w:p>
    <w:p>
      <w:pPr>
        <w:numPr>
          <w:ilvl w:val="0"/>
          <w:numId w:val="0"/>
        </w:numPr>
        <w:spacing w:line="600" w:lineRule="exact"/>
        <w:rPr>
          <w:rFonts w:hint="default" w:ascii="Times New Roman" w:hAnsi="Times New Roman" w:eastAsia="仿宋_GB2312" w:cs="Times New Roman"/>
          <w:sz w:val="30"/>
          <w:lang w:val="en-US" w:eastAsia="zh-CN"/>
        </w:rPr>
      </w:pPr>
      <w:r>
        <w:rPr>
          <w:rFonts w:hint="eastAsia" w:ascii="Times New Roman" w:hAnsi="Times New Roman" w:eastAsia="黑体" w:cs="Times New Roman"/>
          <w:sz w:val="30"/>
          <w:lang w:val="en-US" w:eastAsia="zh-CN"/>
        </w:rPr>
        <w:t xml:space="preserve">    </w:t>
      </w:r>
      <w:r>
        <w:rPr>
          <w:rFonts w:hint="eastAsia" w:ascii="Times New Roman" w:hAnsi="Times New Roman" w:eastAsia="仿宋_GB2312" w:cs="Times New Roman"/>
          <w:sz w:val="30"/>
          <w:lang w:val="en-US" w:eastAsia="zh-CN"/>
        </w:rPr>
        <w:t>2</w:t>
      </w:r>
      <w:r>
        <w:rPr>
          <w:rFonts w:hint="default" w:ascii="Times New Roman" w:hAnsi="Times New Roman" w:eastAsia="仿宋_GB2312" w:cs="Times New Roman"/>
          <w:sz w:val="30"/>
        </w:rPr>
        <w:t>019年3月25日，长沙市望城区国土资源局、长沙市城乡规划局望城区分局、长沙市望城区林业局整合成立长沙市自然资源和规划局望城分局并完成新机构挂牌。长沙市自然资源和规划局望城分局是长沙市自然资源和规划局的正科级派出机构，主要承担自然资源资产管理、空间规划、资源保护等17项工作职能，属区委、区政府和市局双重管理单位。内设科室16 个，二级机构11个，自然资源所15个，共有干部职工460人。</w:t>
      </w:r>
    </w:p>
    <w:p>
      <w:pPr>
        <w:numPr>
          <w:ilvl w:val="0"/>
          <w:numId w:val="1"/>
        </w:numPr>
        <w:spacing w:line="600" w:lineRule="exact"/>
        <w:ind w:left="0" w:leftChars="0" w:firstLine="600" w:firstLineChars="200"/>
        <w:rPr>
          <w:rFonts w:hint="default" w:ascii="Times New Roman" w:hAnsi="Times New Roman" w:eastAsia="黑体" w:cs="Times New Roman"/>
          <w:sz w:val="30"/>
        </w:rPr>
      </w:pPr>
      <w:r>
        <w:rPr>
          <w:rFonts w:hint="default" w:ascii="Times New Roman" w:hAnsi="Times New Roman" w:eastAsia="黑体" w:cs="Times New Roman"/>
          <w:sz w:val="30"/>
        </w:rPr>
        <w:t>部门（单位）预算管理及执行情况</w:t>
      </w:r>
    </w:p>
    <w:p>
      <w:pPr>
        <w:numPr>
          <w:ilvl w:val="0"/>
          <w:numId w:val="0"/>
        </w:numPr>
        <w:spacing w:line="600" w:lineRule="exact"/>
        <w:ind w:firstLine="600" w:firstLineChars="200"/>
        <w:rPr>
          <w:rFonts w:hint="default" w:ascii="Times New Roman" w:hAnsi="Times New Roman" w:eastAsia="仿宋_GB2312" w:cs="Times New Roman"/>
          <w:sz w:val="30"/>
          <w:lang w:val="en-US" w:eastAsia="zh-CN"/>
        </w:rPr>
      </w:pPr>
      <w:r>
        <w:rPr>
          <w:rFonts w:hint="eastAsia" w:ascii="Times New Roman" w:hAnsi="Times New Roman" w:eastAsia="仿宋_GB2312" w:cs="Times New Roman"/>
          <w:sz w:val="30"/>
          <w:lang w:val="en-US" w:eastAsia="zh-CN"/>
        </w:rPr>
        <w:t>2019年我局</w:t>
      </w:r>
      <w:r>
        <w:rPr>
          <w:rFonts w:hint="eastAsia" w:ascii="Times New Roman" w:hAnsi="Times New Roman" w:cs="Times New Roman"/>
          <w:sz w:val="30"/>
          <w:lang w:val="en-US" w:eastAsia="zh-CN"/>
        </w:rPr>
        <w:t>预算下达数143343712.00元，预算执行数2499171265.36元。预算内资金全部符合申报的用途，专项资金专款专用。预算执行数超出部分主要为省市级土地整治专项下达的上级资金和土地储备专项支出，无需申报预算但纳入年终决算统计口径。</w:t>
      </w:r>
    </w:p>
    <w:p>
      <w:pPr>
        <w:numPr>
          <w:ilvl w:val="0"/>
          <w:numId w:val="1"/>
        </w:numPr>
        <w:spacing w:line="600" w:lineRule="exact"/>
        <w:ind w:left="0" w:leftChars="0" w:firstLine="600" w:firstLineChars="200"/>
        <w:rPr>
          <w:rFonts w:hint="eastAsia" w:ascii="Times New Roman" w:hAnsi="Times New Roman" w:eastAsia="黑体" w:cs="Times New Roman"/>
          <w:sz w:val="30"/>
          <w:lang w:eastAsia="zh-CN"/>
        </w:rPr>
      </w:pPr>
      <w:r>
        <w:rPr>
          <w:rFonts w:hint="default" w:ascii="Times New Roman" w:hAnsi="Times New Roman" w:eastAsia="黑体" w:cs="Times New Roman"/>
          <w:sz w:val="30"/>
        </w:rPr>
        <w:t>部门（单位）</w:t>
      </w:r>
      <w:r>
        <w:rPr>
          <w:rFonts w:hint="eastAsia" w:ascii="Times New Roman" w:hAnsi="Times New Roman" w:eastAsia="黑体" w:cs="Times New Roman"/>
          <w:sz w:val="30"/>
          <w:lang w:eastAsia="zh-CN"/>
        </w:rPr>
        <w:t>资产管理情况</w:t>
      </w:r>
    </w:p>
    <w:p>
      <w:pPr>
        <w:numPr>
          <w:ilvl w:val="0"/>
          <w:numId w:val="0"/>
        </w:numPr>
        <w:spacing w:line="600" w:lineRule="exact"/>
        <w:ind w:firstLine="600" w:firstLineChars="200"/>
        <w:rPr>
          <w:rFonts w:hint="default" w:ascii="Times New Roman" w:hAnsi="Times New Roman" w:eastAsia="仿宋_GB2312" w:cs="Times New Roman"/>
          <w:sz w:val="30"/>
          <w:lang w:val="en-US" w:eastAsia="zh-CN"/>
        </w:rPr>
      </w:pPr>
      <w:r>
        <w:rPr>
          <w:rFonts w:hint="eastAsia" w:ascii="Times New Roman" w:hAnsi="Times New Roman" w:eastAsia="仿宋_GB2312" w:cs="Times New Roman"/>
          <w:sz w:val="30"/>
          <w:lang w:val="en-US" w:eastAsia="zh-CN"/>
        </w:rPr>
        <w:t>机构合并后，我局原国土部门资产清查已完成，原规划部门资产清查</w:t>
      </w:r>
      <w:r>
        <w:rPr>
          <w:rFonts w:hint="eastAsia" w:ascii="Times New Roman" w:hAnsi="Times New Roman" w:cs="Times New Roman"/>
          <w:sz w:val="30"/>
          <w:lang w:val="en-US" w:eastAsia="zh-CN"/>
        </w:rPr>
        <w:t>正在进行，未出国资中心审核后的最终成果。账面资产额为72173731.81元。</w:t>
      </w:r>
    </w:p>
    <w:p>
      <w:pPr>
        <w:spacing w:line="600" w:lineRule="exact"/>
        <w:ind w:firstLine="600" w:firstLineChars="200"/>
        <w:rPr>
          <w:rFonts w:hint="default" w:ascii="Times New Roman" w:hAnsi="Times New Roman" w:eastAsia="黑体" w:cs="Times New Roman"/>
          <w:sz w:val="30"/>
        </w:rPr>
      </w:pPr>
      <w:r>
        <w:rPr>
          <w:rFonts w:hint="eastAsia" w:ascii="Times New Roman" w:hAnsi="Times New Roman" w:eastAsia="黑体" w:cs="Times New Roman"/>
          <w:sz w:val="30"/>
          <w:lang w:eastAsia="zh-CN"/>
        </w:rPr>
        <w:t>四</w:t>
      </w:r>
      <w:r>
        <w:rPr>
          <w:rFonts w:hint="default" w:ascii="Times New Roman" w:hAnsi="Times New Roman" w:eastAsia="黑体" w:cs="Times New Roman"/>
          <w:sz w:val="30"/>
        </w:rPr>
        <w:t>、部门（单位）整体支出绩效目标及开展情况</w:t>
      </w:r>
    </w:p>
    <w:p>
      <w:pPr>
        <w:spacing w:line="600" w:lineRule="exact"/>
        <w:ind w:firstLine="600" w:firstLineChars="200"/>
        <w:rPr>
          <w:rFonts w:hint="default" w:ascii="Times New Roman" w:hAnsi="Times New Roman" w:eastAsia="黑体" w:cs="Times New Roman"/>
          <w:sz w:val="30"/>
        </w:rPr>
      </w:pPr>
      <w:r>
        <w:rPr>
          <w:rFonts w:hint="eastAsia" w:ascii="Times New Roman" w:hAnsi="Times New Roman" w:eastAsia="黑体" w:cs="Times New Roman"/>
          <w:sz w:val="30"/>
          <w:lang w:eastAsia="zh-CN"/>
        </w:rPr>
        <w:t>五</w:t>
      </w:r>
      <w:r>
        <w:rPr>
          <w:rFonts w:hint="default" w:ascii="Times New Roman" w:hAnsi="Times New Roman" w:eastAsia="黑体" w:cs="Times New Roman"/>
          <w:sz w:val="30"/>
        </w:rPr>
        <w:t>、部门（单位）整体支出绩效实现情况</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eastAsia" w:ascii="仿宋_GB2312" w:hAnsi="仿宋_GB2312" w:eastAsia="仿宋_GB2312" w:cs="仿宋_GB2312"/>
          <w:color w:val="auto"/>
          <w:sz w:val="32"/>
          <w:szCs w:val="32"/>
          <w:lang w:val="en-US" w:eastAsia="zh-CN"/>
        </w:rPr>
      </w:pPr>
      <w:r>
        <w:rPr>
          <w:rFonts w:hint="default" w:ascii="Times New Roman" w:hAnsi="Times New Roman" w:eastAsia="楷体_GB2312" w:cs="Times New Roman"/>
          <w:b/>
          <w:bCs/>
          <w:color w:val="auto"/>
          <w:sz w:val="32"/>
          <w:szCs w:val="32"/>
          <w:lang w:val="en-US" w:eastAsia="zh-CN"/>
        </w:rPr>
        <w:t>（</w:t>
      </w:r>
      <w:r>
        <w:rPr>
          <w:rFonts w:hint="eastAsia" w:eastAsia="楷体_GB2312" w:cs="Times New Roman"/>
          <w:b/>
          <w:bCs/>
          <w:color w:val="auto"/>
          <w:sz w:val="32"/>
          <w:szCs w:val="32"/>
          <w:lang w:val="en-US" w:eastAsia="zh-CN"/>
        </w:rPr>
        <w:t>一</w:t>
      </w:r>
      <w:r>
        <w:rPr>
          <w:rFonts w:hint="default" w:ascii="Times New Roman" w:hAnsi="Times New Roman" w:eastAsia="楷体_GB2312" w:cs="Times New Roman"/>
          <w:b/>
          <w:bCs/>
          <w:color w:val="auto"/>
          <w:sz w:val="32"/>
          <w:szCs w:val="32"/>
          <w:lang w:val="en-US" w:eastAsia="zh-CN"/>
        </w:rPr>
        <w:t>）</w:t>
      </w:r>
      <w:r>
        <w:rPr>
          <w:rFonts w:hint="eastAsia" w:ascii="仿宋" w:hAnsi="仿宋" w:eastAsia="仿宋" w:cs="仿宋"/>
          <w:sz w:val="32"/>
          <w:szCs w:val="32"/>
          <w:lang w:val="en-US" w:eastAsia="zh-CN"/>
        </w:rPr>
        <w:t>获批用地5252亩，为全区项目建设提供用地保障；规范征地程序，严格补偿标准，依法稳妥高效完成</w:t>
      </w:r>
      <w:r>
        <w:rPr>
          <w:rFonts w:hint="eastAsia" w:ascii="仿宋" w:hAnsi="仿宋" w:eastAsia="仿宋" w:cs="仿宋"/>
          <w:sz w:val="32"/>
          <w:szCs w:val="32"/>
        </w:rPr>
        <w:t>益海嘉里、澳优智慧等</w:t>
      </w:r>
      <w:r>
        <w:rPr>
          <w:rFonts w:hint="eastAsia" w:ascii="仿宋" w:hAnsi="仿宋" w:eastAsia="仿宋" w:cs="仿宋"/>
          <w:sz w:val="32"/>
          <w:szCs w:val="32"/>
          <w:lang w:val="en-US" w:eastAsia="zh-CN"/>
        </w:rPr>
        <w:t>78</w:t>
      </w:r>
      <w:r>
        <w:rPr>
          <w:rFonts w:hint="eastAsia" w:ascii="仿宋" w:hAnsi="仿宋" w:eastAsia="仿宋" w:cs="仿宋"/>
          <w:sz w:val="32"/>
          <w:szCs w:val="32"/>
        </w:rPr>
        <w:t>个项目</w:t>
      </w:r>
      <w:r>
        <w:rPr>
          <w:rFonts w:hint="eastAsia" w:ascii="仿宋" w:hAnsi="仿宋" w:eastAsia="仿宋" w:cs="仿宋"/>
          <w:sz w:val="32"/>
          <w:szCs w:val="32"/>
          <w:lang w:val="en-US" w:eastAsia="zh-CN"/>
        </w:rPr>
        <w:t>10529</w:t>
      </w:r>
      <w:r>
        <w:rPr>
          <w:rFonts w:hint="eastAsia" w:ascii="仿宋" w:hAnsi="仿宋" w:eastAsia="仿宋" w:cs="仿宋"/>
          <w:sz w:val="32"/>
          <w:szCs w:val="32"/>
        </w:rPr>
        <w:t>亩拆迁腾地</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长益常铁路项目创造了征拆工作“望城速度”，获省征地中心通报表彰，《长沙观察》《长沙通讯》予以推介；以“月清三地”和“三资”工作为契机，采取历年来最强硬的手段、最坚决的执行力盘活土地资源，全面清查147宗履约出让土地，盘活存量土地12343亩、闲置土地4443亩；</w:t>
      </w:r>
      <w:r>
        <w:rPr>
          <w:rFonts w:hint="eastAsia" w:ascii="仿宋" w:hAnsi="仿宋" w:eastAsia="仿宋" w:cs="仿宋"/>
          <w:sz w:val="32"/>
          <w:szCs w:val="32"/>
          <w:lang w:eastAsia="zh-CN"/>
        </w:rPr>
        <w:t>首推小程序招商</w:t>
      </w:r>
      <w:r>
        <w:rPr>
          <w:rFonts w:hint="eastAsia" w:ascii="仿宋" w:hAnsi="仿宋" w:eastAsia="仿宋" w:cs="仿宋"/>
          <w:sz w:val="32"/>
          <w:szCs w:val="32"/>
          <w:lang w:val="en-US" w:eastAsia="zh-CN"/>
        </w:rPr>
        <w:t>APP，依托规划展示馆，精心精品推介宣传望城，接待万科、华为等客商团队136批，有计划、有步骤做好出让、收储、融资、招商、管护工作，全区供应土地12018亩，成交土地2445亩，</w:t>
      </w:r>
      <w:r>
        <w:rPr>
          <w:rFonts w:hint="eastAsia" w:ascii="仿宋" w:hAnsi="仿宋" w:eastAsia="仿宋" w:cs="仿宋"/>
          <w:sz w:val="32"/>
          <w:szCs w:val="32"/>
          <w:lang w:eastAsia="zh-CN"/>
        </w:rPr>
        <w:t>入库</w:t>
      </w:r>
      <w:r>
        <w:rPr>
          <w:rFonts w:hint="eastAsia" w:ascii="仿宋" w:hAnsi="仿宋" w:eastAsia="仿宋" w:cs="仿宋"/>
          <w:sz w:val="32"/>
          <w:szCs w:val="32"/>
        </w:rPr>
        <w:t>国土基金收入</w:t>
      </w:r>
      <w:r>
        <w:rPr>
          <w:rFonts w:hint="eastAsia" w:ascii="仿宋" w:hAnsi="仿宋" w:eastAsia="仿宋" w:cs="仿宋"/>
          <w:sz w:val="32"/>
          <w:szCs w:val="32"/>
          <w:lang w:val="en-US" w:eastAsia="zh-CN"/>
        </w:rPr>
        <w:t>85.58</w:t>
      </w:r>
      <w:r>
        <w:rPr>
          <w:rFonts w:hint="eastAsia" w:ascii="仿宋" w:hAnsi="仿宋" w:eastAsia="仿宋" w:cs="仿宋"/>
          <w:sz w:val="32"/>
          <w:szCs w:val="32"/>
        </w:rPr>
        <w:t>亿元</w:t>
      </w:r>
      <w:r>
        <w:rPr>
          <w:rFonts w:hint="eastAsia" w:ascii="仿宋" w:hAnsi="仿宋" w:eastAsia="仿宋" w:cs="仿宋"/>
          <w:sz w:val="32"/>
          <w:szCs w:val="32"/>
          <w:lang w:eastAsia="zh-CN"/>
        </w:rPr>
        <w:t>，单宗土地溢价和年度出让收入创历年新高，</w:t>
      </w:r>
      <w:r>
        <w:rPr>
          <w:rFonts w:hint="eastAsia" w:ascii="仿宋" w:hAnsi="仿宋" w:eastAsia="仿宋" w:cs="仿宋"/>
          <w:sz w:val="32"/>
          <w:szCs w:val="32"/>
          <w:lang w:val="en-US" w:eastAsia="zh-CN"/>
        </w:rPr>
        <w:t>为区域经济社会发展提供了坚强的财力支撑</w:t>
      </w:r>
      <w:r>
        <w:rPr>
          <w:rFonts w:hint="eastAsia" w:ascii="仿宋" w:hAnsi="仿宋" w:eastAsia="仿宋" w:cs="仿宋"/>
          <w:sz w:val="32"/>
          <w:szCs w:val="32"/>
        </w:rPr>
        <w:t>。</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default" w:ascii="仿宋_GB2312" w:hAnsi="仿宋_GB2312" w:eastAsia="仿宋_GB2312" w:cs="仿宋_GB2312"/>
          <w:bCs/>
          <w:color w:val="auto"/>
          <w:sz w:val="32"/>
          <w:szCs w:val="32"/>
          <w:lang w:val="en-US" w:eastAsia="zh-CN"/>
        </w:rPr>
      </w:pPr>
      <w:r>
        <w:rPr>
          <w:rFonts w:hint="eastAsia" w:ascii="楷体_GB2312" w:hAnsi="楷体_GB2312" w:eastAsia="楷体_GB2312" w:cs="楷体_GB2312"/>
          <w:b/>
          <w:bCs/>
          <w:color w:val="auto"/>
          <w:sz w:val="32"/>
          <w:szCs w:val="32"/>
          <w:lang w:val="en-US" w:eastAsia="zh-CN"/>
        </w:rPr>
        <w:t>（二）</w:t>
      </w:r>
      <w:r>
        <w:rPr>
          <w:rFonts w:hint="eastAsia" w:ascii="仿宋" w:hAnsi="仿宋" w:eastAsia="仿宋" w:cs="仿宋"/>
          <w:sz w:val="32"/>
          <w:szCs w:val="32"/>
        </w:rPr>
        <w:t>开展乔口等5镇国土空间总体规划和76个村庄规划编制工作，</w:t>
      </w:r>
      <w:r>
        <w:rPr>
          <w:rFonts w:hint="eastAsia" w:ascii="仿宋" w:hAnsi="仿宋" w:eastAsia="仿宋" w:cs="仿宋"/>
          <w:sz w:val="32"/>
          <w:szCs w:val="32"/>
          <w:lang w:eastAsia="zh-CN"/>
        </w:rPr>
        <w:t>做好</w:t>
      </w:r>
      <w:r>
        <w:rPr>
          <w:rFonts w:hint="eastAsia" w:ascii="仿宋" w:hAnsi="仿宋" w:eastAsia="仿宋" w:cs="仿宋"/>
          <w:sz w:val="32"/>
          <w:szCs w:val="32"/>
        </w:rPr>
        <w:t>靖港</w:t>
      </w:r>
      <w:r>
        <w:rPr>
          <w:rFonts w:hint="eastAsia" w:ascii="仿宋" w:hAnsi="仿宋" w:eastAsia="仿宋" w:cs="仿宋"/>
          <w:sz w:val="32"/>
          <w:szCs w:val="32"/>
          <w:lang w:eastAsia="zh-CN"/>
        </w:rPr>
        <w:t>等</w:t>
      </w:r>
      <w:r>
        <w:rPr>
          <w:rFonts w:hint="eastAsia" w:ascii="仿宋" w:hAnsi="仿宋" w:eastAsia="仿宋" w:cs="仿宋"/>
          <w:sz w:val="32"/>
          <w:szCs w:val="32"/>
          <w:lang w:val="en-US" w:eastAsia="zh-CN"/>
        </w:rPr>
        <w:t>3个</w:t>
      </w:r>
      <w:r>
        <w:rPr>
          <w:rFonts w:hint="eastAsia" w:ascii="仿宋" w:hAnsi="仿宋" w:eastAsia="仿宋" w:cs="仿宋"/>
          <w:sz w:val="32"/>
          <w:szCs w:val="32"/>
        </w:rPr>
        <w:t>历史文化名镇保护规划</w:t>
      </w:r>
      <w:r>
        <w:rPr>
          <w:rFonts w:hint="eastAsia" w:ascii="仿宋" w:hAnsi="仿宋" w:eastAsia="仿宋" w:cs="仿宋"/>
          <w:sz w:val="32"/>
          <w:szCs w:val="32"/>
          <w:lang w:eastAsia="zh-CN"/>
        </w:rPr>
        <w:t>，助推乡村振兴；</w:t>
      </w:r>
      <w:r>
        <w:rPr>
          <w:rFonts w:hint="eastAsia" w:ascii="仿宋" w:hAnsi="仿宋" w:eastAsia="仿宋" w:cs="仿宋"/>
          <w:sz w:val="32"/>
          <w:szCs w:val="32"/>
        </w:rPr>
        <w:t>优化</w:t>
      </w:r>
      <w:r>
        <w:rPr>
          <w:rFonts w:hint="eastAsia" w:ascii="仿宋" w:hAnsi="仿宋" w:eastAsia="仿宋" w:cs="仿宋"/>
          <w:sz w:val="32"/>
          <w:szCs w:val="32"/>
          <w:lang w:eastAsia="zh-CN"/>
        </w:rPr>
        <w:t>滨</w:t>
      </w:r>
      <w:r>
        <w:rPr>
          <w:rFonts w:hint="eastAsia" w:ascii="仿宋" w:hAnsi="仿宋" w:eastAsia="仿宋" w:cs="仿宋"/>
          <w:sz w:val="32"/>
          <w:szCs w:val="32"/>
        </w:rPr>
        <w:t>水新城</w:t>
      </w:r>
      <w:r>
        <w:rPr>
          <w:rFonts w:hint="eastAsia" w:ascii="仿宋" w:hAnsi="仿宋" w:eastAsia="仿宋" w:cs="仿宋"/>
          <w:sz w:val="32"/>
          <w:szCs w:val="32"/>
          <w:lang w:eastAsia="zh-CN"/>
        </w:rPr>
        <w:t>、</w:t>
      </w:r>
      <w:r>
        <w:rPr>
          <w:rFonts w:hint="eastAsia" w:ascii="仿宋" w:hAnsi="仿宋" w:eastAsia="仿宋" w:cs="仿宋"/>
          <w:sz w:val="32"/>
          <w:szCs w:val="32"/>
        </w:rPr>
        <w:t>高铁西城</w:t>
      </w:r>
      <w:r>
        <w:rPr>
          <w:rFonts w:hint="eastAsia" w:ascii="仿宋" w:hAnsi="仿宋" w:eastAsia="仿宋" w:cs="仿宋"/>
          <w:sz w:val="32"/>
          <w:szCs w:val="32"/>
          <w:lang w:eastAsia="zh-CN"/>
        </w:rPr>
        <w:t>等</w:t>
      </w:r>
      <w:r>
        <w:rPr>
          <w:rFonts w:hint="eastAsia" w:ascii="仿宋" w:hAnsi="仿宋" w:eastAsia="仿宋" w:cs="仿宋"/>
          <w:sz w:val="32"/>
          <w:szCs w:val="32"/>
        </w:rPr>
        <w:t>片</w:t>
      </w:r>
      <w:r>
        <w:rPr>
          <w:rFonts w:hint="eastAsia" w:ascii="仿宋" w:hAnsi="仿宋" w:eastAsia="仿宋" w:cs="仿宋"/>
          <w:sz w:val="32"/>
          <w:szCs w:val="32"/>
          <w:lang w:eastAsia="zh-CN"/>
        </w:rPr>
        <w:t>区</w:t>
      </w:r>
      <w:r>
        <w:rPr>
          <w:rFonts w:hint="eastAsia" w:ascii="仿宋" w:hAnsi="仿宋" w:eastAsia="仿宋" w:cs="仿宋"/>
          <w:sz w:val="32"/>
          <w:szCs w:val="32"/>
        </w:rPr>
        <w:t>控规</w:t>
      </w:r>
      <w:r>
        <w:rPr>
          <w:rFonts w:hint="eastAsia" w:ascii="仿宋" w:hAnsi="仿宋" w:eastAsia="仿宋" w:cs="仿宋"/>
          <w:sz w:val="32"/>
          <w:szCs w:val="32"/>
          <w:lang w:eastAsia="zh-CN"/>
        </w:rPr>
        <w:t>，</w:t>
      </w:r>
      <w:r>
        <w:rPr>
          <w:rFonts w:hint="eastAsia" w:ascii="仿宋" w:hAnsi="仿宋" w:eastAsia="仿宋" w:cs="仿宋"/>
          <w:sz w:val="32"/>
          <w:szCs w:val="32"/>
        </w:rPr>
        <w:t>完成雷锋大道两厢城市设计</w:t>
      </w:r>
      <w:r>
        <w:rPr>
          <w:rFonts w:hint="eastAsia" w:ascii="仿宋" w:hAnsi="仿宋" w:eastAsia="仿宋" w:cs="仿宋"/>
          <w:sz w:val="32"/>
          <w:szCs w:val="32"/>
          <w:lang w:eastAsia="zh-CN"/>
        </w:rPr>
        <w:t>和</w:t>
      </w:r>
      <w:r>
        <w:rPr>
          <w:rFonts w:hint="eastAsia" w:ascii="仿宋" w:hAnsi="仿宋" w:eastAsia="仿宋" w:cs="仿宋"/>
          <w:sz w:val="32"/>
          <w:szCs w:val="32"/>
        </w:rPr>
        <w:t>月亮岛路等6条道路两厢绿化带设计</w:t>
      </w:r>
      <w:r>
        <w:rPr>
          <w:rFonts w:hint="eastAsia" w:ascii="仿宋" w:hAnsi="仿宋" w:eastAsia="仿宋" w:cs="仿宋"/>
          <w:sz w:val="32"/>
          <w:szCs w:val="32"/>
          <w:lang w:eastAsia="zh-CN"/>
        </w:rPr>
        <w:t>，精心</w:t>
      </w:r>
      <w:r>
        <w:rPr>
          <w:rFonts w:hint="eastAsia" w:ascii="仿宋" w:hAnsi="仿宋" w:eastAsia="仿宋" w:cs="仿宋"/>
          <w:sz w:val="32"/>
          <w:szCs w:val="32"/>
        </w:rPr>
        <w:t>编制大泽湖片区城市设计</w:t>
      </w:r>
      <w:r>
        <w:rPr>
          <w:rFonts w:hint="eastAsia" w:ascii="仿宋" w:hAnsi="仿宋" w:eastAsia="仿宋" w:cs="仿宋"/>
          <w:sz w:val="32"/>
          <w:szCs w:val="32"/>
          <w:lang w:eastAsia="zh-CN"/>
        </w:rPr>
        <w:t>，区域空间形象、用地布局、综合交通形象大幅提升；</w:t>
      </w:r>
      <w:r>
        <w:rPr>
          <w:rFonts w:hint="eastAsia" w:ascii="仿宋" w:hAnsi="仿宋" w:eastAsia="仿宋" w:cs="仿宋"/>
          <w:sz w:val="32"/>
          <w:szCs w:val="32"/>
        </w:rPr>
        <w:t>办理用地蓝线36个</w:t>
      </w:r>
      <w:r>
        <w:rPr>
          <w:rFonts w:hint="eastAsia" w:ascii="仿宋" w:hAnsi="仿宋" w:eastAsia="仿宋" w:cs="仿宋"/>
          <w:sz w:val="32"/>
          <w:szCs w:val="32"/>
          <w:lang w:eastAsia="zh-CN"/>
        </w:rPr>
        <w:t>，</w:t>
      </w:r>
      <w:r>
        <w:rPr>
          <w:rFonts w:hint="eastAsia" w:ascii="仿宋" w:hAnsi="仿宋" w:eastAsia="仿宋" w:cs="仿宋"/>
          <w:sz w:val="32"/>
          <w:szCs w:val="32"/>
        </w:rPr>
        <w:t>规划条件47个，核发建设项目用地预审和选址意见书46本</w:t>
      </w:r>
      <w:r>
        <w:rPr>
          <w:rFonts w:hint="eastAsia" w:ascii="仿宋" w:hAnsi="仿宋" w:eastAsia="仿宋" w:cs="仿宋"/>
          <w:sz w:val="32"/>
          <w:szCs w:val="32"/>
          <w:lang w:eastAsia="zh-CN"/>
        </w:rPr>
        <w:t>；</w:t>
      </w:r>
      <w:r>
        <w:rPr>
          <w:rFonts w:hint="eastAsia" w:ascii="仿宋" w:hAnsi="仿宋" w:eastAsia="仿宋" w:cs="仿宋"/>
          <w:sz w:val="32"/>
          <w:szCs w:val="32"/>
        </w:rPr>
        <w:t>潇湘北路、</w:t>
      </w:r>
      <w:r>
        <w:rPr>
          <w:rFonts w:hint="eastAsia" w:ascii="仿宋" w:hAnsi="仿宋" w:eastAsia="仿宋" w:cs="仿宋"/>
          <w:sz w:val="32"/>
          <w:szCs w:val="32"/>
          <w:lang w:eastAsia="zh-CN"/>
        </w:rPr>
        <w:t>金星北路、四医院等主干道和市政、公共服务设施相继建成，</w:t>
      </w:r>
      <w:r>
        <w:rPr>
          <w:rFonts w:hint="eastAsia" w:ascii="仿宋" w:hAnsi="仿宋" w:eastAsia="仿宋" w:cs="仿宋"/>
          <w:sz w:val="32"/>
          <w:szCs w:val="32"/>
        </w:rPr>
        <w:t>香炉洲大桥开工建设</w:t>
      </w:r>
      <w:r>
        <w:rPr>
          <w:rFonts w:hint="eastAsia" w:ascii="仿宋" w:hAnsi="仿宋" w:eastAsia="仿宋" w:cs="仿宋"/>
          <w:sz w:val="32"/>
          <w:szCs w:val="32"/>
          <w:lang w:eastAsia="zh-CN"/>
        </w:rPr>
        <w:t>，总投资超百亿的大泽湖海归小镇落户建设，中交、康佳、中石油等企业总部陆续进驻，产业集聚力、片区承载力、人口吸附力持续增强，</w:t>
      </w:r>
      <w:r>
        <w:rPr>
          <w:rFonts w:hint="eastAsia" w:ascii="仿宋" w:hAnsi="仿宋" w:eastAsia="仿宋" w:cs="仿宋"/>
          <w:sz w:val="32"/>
          <w:szCs w:val="32"/>
        </w:rPr>
        <w:t>一江两岸比翼齐飞</w:t>
      </w:r>
      <w:r>
        <w:rPr>
          <w:rFonts w:hint="eastAsia" w:ascii="仿宋" w:hAnsi="仿宋" w:eastAsia="仿宋" w:cs="仿宋"/>
          <w:sz w:val="32"/>
          <w:szCs w:val="32"/>
          <w:lang w:eastAsia="zh-CN"/>
        </w:rPr>
        <w:t>，</w:t>
      </w:r>
      <w:r>
        <w:rPr>
          <w:rFonts w:hint="eastAsia" w:ascii="仿宋" w:hAnsi="仿宋" w:eastAsia="仿宋" w:cs="仿宋"/>
          <w:sz w:val="32"/>
          <w:szCs w:val="32"/>
        </w:rPr>
        <w:t>城市发展格局</w:t>
      </w:r>
      <w:r>
        <w:rPr>
          <w:rFonts w:hint="eastAsia" w:ascii="仿宋" w:hAnsi="仿宋" w:eastAsia="仿宋" w:cs="仿宋"/>
          <w:sz w:val="32"/>
          <w:szCs w:val="32"/>
          <w:lang w:eastAsia="zh-CN"/>
        </w:rPr>
        <w:t>初具雏形</w:t>
      </w:r>
      <w:r>
        <w:rPr>
          <w:rFonts w:hint="eastAsia" w:ascii="仿宋" w:hAnsi="仿宋" w:eastAsia="仿宋" w:cs="仿宋"/>
          <w:sz w:val="32"/>
          <w:szCs w:val="32"/>
        </w:rPr>
        <w:t>，</w:t>
      </w:r>
      <w:r>
        <w:rPr>
          <w:rFonts w:hint="eastAsia" w:ascii="仿宋" w:hAnsi="仿宋" w:eastAsia="仿宋" w:cs="仿宋"/>
          <w:sz w:val="32"/>
          <w:szCs w:val="32"/>
          <w:lang w:eastAsia="zh-CN"/>
        </w:rPr>
        <w:t>城市会客厅规划建设序章逐步拉开。</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eastAsia" w:ascii="仿宋_GB2312" w:hAnsi="仿宋_GB2312" w:eastAsia="仿宋_GB2312" w:cs="仿宋_GB2312"/>
          <w:color w:val="auto"/>
          <w:sz w:val="32"/>
          <w:szCs w:val="32"/>
          <w:lang w:eastAsia="zh-CN"/>
        </w:rPr>
      </w:pPr>
      <w:r>
        <w:rPr>
          <w:rFonts w:hint="eastAsia" w:ascii="Times New Roman" w:hAnsi="Times New Roman" w:eastAsia="楷体_GB2312" w:cs="Times New Roman"/>
          <w:b/>
          <w:bCs/>
          <w:color w:val="auto"/>
          <w:sz w:val="32"/>
          <w:szCs w:val="32"/>
          <w:lang w:val="en-US" w:eastAsia="zh-CN"/>
        </w:rPr>
        <w:t>（</w:t>
      </w:r>
      <w:r>
        <w:rPr>
          <w:rFonts w:hint="eastAsia" w:eastAsia="楷体_GB2312" w:cs="Times New Roman"/>
          <w:b/>
          <w:bCs/>
          <w:color w:val="auto"/>
          <w:sz w:val="32"/>
          <w:szCs w:val="32"/>
          <w:lang w:val="en-US" w:eastAsia="zh-CN"/>
        </w:rPr>
        <w:t>三</w:t>
      </w:r>
      <w:r>
        <w:rPr>
          <w:rFonts w:hint="eastAsia" w:ascii="Times New Roman" w:hAnsi="Times New Roman" w:eastAsia="楷体_GB2312" w:cs="Times New Roman"/>
          <w:b/>
          <w:bCs/>
          <w:color w:val="auto"/>
          <w:sz w:val="32"/>
          <w:szCs w:val="32"/>
          <w:lang w:val="en-US" w:eastAsia="zh-CN"/>
        </w:rPr>
        <w:t>）</w:t>
      </w:r>
      <w:r>
        <w:rPr>
          <w:rFonts w:hint="eastAsia" w:ascii="仿宋" w:hAnsi="仿宋" w:eastAsia="仿宋" w:cs="仿宋"/>
          <w:sz w:val="32"/>
          <w:szCs w:val="32"/>
          <w:lang w:val="en-US" w:eastAsia="zh-CN"/>
        </w:rPr>
        <w:t>坚决贯彻中央、省、市加强自然资源保护要求，多渠道开展新土地管理法、农村乱占耕地建房、森林防火、湿地保护专项宣传7次；严格落实耕地占补平衡，补充建设用地项目59个，补充耕地1605亩，坚决守住44.13万亩耕地和36.84万亩基本农田保护红线；实施4624亩增减挂钩和“空心房”整治，产生用地指标总市值5.3亿元；加强矿政管理，全面</w:t>
      </w:r>
      <w:r>
        <w:rPr>
          <w:rFonts w:hint="eastAsia" w:ascii="仿宋" w:hAnsi="仿宋" w:eastAsia="仿宋" w:cs="仿宋"/>
          <w:sz w:val="32"/>
          <w:szCs w:val="32"/>
        </w:rPr>
        <w:t>完成杨桥采石场证照注销</w:t>
      </w:r>
      <w:r>
        <w:rPr>
          <w:rFonts w:hint="eastAsia" w:ascii="仿宋" w:hAnsi="仿宋" w:eastAsia="仿宋" w:cs="仿宋"/>
          <w:sz w:val="32"/>
          <w:szCs w:val="32"/>
          <w:lang w:eastAsia="zh-CN"/>
        </w:rPr>
        <w:t>工作</w:t>
      </w:r>
      <w:r>
        <w:rPr>
          <w:rFonts w:hint="eastAsia" w:ascii="仿宋" w:hAnsi="仿宋" w:eastAsia="仿宋" w:cs="仿宋"/>
          <w:sz w:val="32"/>
          <w:szCs w:val="32"/>
        </w:rPr>
        <w:t>，</w:t>
      </w:r>
      <w:r>
        <w:rPr>
          <w:rFonts w:hint="eastAsia" w:ascii="仿宋" w:hAnsi="仿宋" w:eastAsia="仿宋" w:cs="仿宋"/>
          <w:sz w:val="32"/>
          <w:szCs w:val="32"/>
          <w:lang w:eastAsia="zh-CN"/>
        </w:rPr>
        <w:t>耗时五年的</w:t>
      </w:r>
      <w:r>
        <w:rPr>
          <w:rFonts w:hint="eastAsia" w:ascii="仿宋" w:hAnsi="仿宋" w:eastAsia="仿宋" w:cs="仿宋"/>
          <w:sz w:val="32"/>
          <w:szCs w:val="32"/>
        </w:rPr>
        <w:t>公坤石材有偿收回工作</w:t>
      </w:r>
      <w:r>
        <w:rPr>
          <w:rFonts w:hint="eastAsia" w:ascii="仿宋" w:hAnsi="仿宋" w:eastAsia="仿宋" w:cs="仿宋"/>
          <w:sz w:val="32"/>
          <w:szCs w:val="32"/>
          <w:lang w:eastAsia="zh-CN"/>
        </w:rPr>
        <w:t>已进入尾款支付阶段，</w:t>
      </w:r>
      <w:r>
        <w:rPr>
          <w:rFonts w:hint="eastAsia" w:ascii="仿宋" w:hAnsi="仿宋" w:eastAsia="仿宋" w:cs="仿宋"/>
          <w:sz w:val="32"/>
          <w:szCs w:val="32"/>
        </w:rPr>
        <w:t>旺金石业绿色矿山</w:t>
      </w:r>
      <w:r>
        <w:rPr>
          <w:rFonts w:hint="eastAsia" w:ascii="仿宋" w:hAnsi="仿宋" w:eastAsia="仿宋" w:cs="仿宋"/>
          <w:sz w:val="32"/>
          <w:szCs w:val="32"/>
          <w:lang w:eastAsia="zh-CN"/>
        </w:rPr>
        <w:t>启动</w:t>
      </w:r>
      <w:r>
        <w:rPr>
          <w:rFonts w:hint="eastAsia" w:ascii="仿宋" w:hAnsi="仿宋" w:eastAsia="仿宋" w:cs="仿宋"/>
          <w:sz w:val="32"/>
          <w:szCs w:val="32"/>
        </w:rPr>
        <w:t>建设</w:t>
      </w:r>
      <w:r>
        <w:rPr>
          <w:rFonts w:hint="eastAsia" w:ascii="仿宋" w:hAnsi="仿宋" w:eastAsia="仿宋" w:cs="仿宋"/>
          <w:sz w:val="32"/>
          <w:szCs w:val="32"/>
          <w:lang w:val="en-US" w:eastAsia="zh-CN"/>
        </w:rPr>
        <w:t>，27处废弃露天矿山生态修复全面完成，精心编制黑麋峰、千龙湖、乌山3个自然保护地整合优化预案</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严控采伐与新植造林结合，全区采伐蓄量7309立方，完成造林绿化3500亩，抚育任务7000亩；“抓源头”“建机制”，健全加强自然资源巡控违和建设用地批后监管工作机制，“长牙齿”“出硬拳”，亮剑</w:t>
      </w:r>
      <w:r>
        <w:rPr>
          <w:rFonts w:hint="eastAsia" w:ascii="仿宋" w:hAnsi="仿宋" w:eastAsia="仿宋" w:cs="仿宋"/>
          <w:sz w:val="32"/>
          <w:szCs w:val="32"/>
          <w:lang w:eastAsia="zh-CN"/>
        </w:rPr>
        <w:t>整改历年违法用地</w:t>
      </w:r>
      <w:r>
        <w:rPr>
          <w:rFonts w:hint="eastAsia" w:ascii="仿宋" w:hAnsi="仿宋" w:eastAsia="仿宋" w:cs="仿宋"/>
          <w:sz w:val="32"/>
          <w:szCs w:val="32"/>
          <w:lang w:val="en-US" w:eastAsia="zh-CN"/>
        </w:rPr>
        <w:t>844宗，新增违法用地345宗，拆除非法采(洗)砂点10处，形成44个搅拌场“一地一策”处置方案，有效遏制全区违法用地势头。“组专班”“强调度”，尽锐出战整治违建别墅75栋，摸排占用耕地建房11970宗，以坚定的政治站位落实中央决策部署。</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eastAsia" w:ascii="仿宋_GB2312" w:eastAsia="仿宋_GB2312"/>
          <w:color w:val="auto"/>
          <w:sz w:val="32"/>
          <w:szCs w:val="32"/>
        </w:rPr>
      </w:pPr>
      <w:r>
        <w:rPr>
          <w:rFonts w:hint="default" w:ascii="Times New Roman" w:hAnsi="Times New Roman" w:eastAsia="楷体_GB2312" w:cs="Times New Roman"/>
          <w:b/>
          <w:bCs/>
          <w:color w:val="auto"/>
          <w:sz w:val="32"/>
          <w:szCs w:val="32"/>
          <w:lang w:val="en-US" w:eastAsia="zh-CN"/>
        </w:rPr>
        <w:t>（</w:t>
      </w:r>
      <w:r>
        <w:rPr>
          <w:rFonts w:hint="eastAsia" w:eastAsia="楷体_GB2312" w:cs="Times New Roman"/>
          <w:b/>
          <w:bCs/>
          <w:color w:val="auto"/>
          <w:sz w:val="32"/>
          <w:szCs w:val="32"/>
          <w:lang w:val="en-US" w:eastAsia="zh-CN"/>
        </w:rPr>
        <w:t>四</w:t>
      </w:r>
      <w:r>
        <w:rPr>
          <w:rFonts w:hint="default" w:ascii="Times New Roman" w:hAnsi="Times New Roman" w:eastAsia="楷体_GB2312" w:cs="Times New Roman"/>
          <w:b/>
          <w:bCs/>
          <w:color w:val="auto"/>
          <w:sz w:val="32"/>
          <w:szCs w:val="32"/>
          <w:lang w:val="en-US" w:eastAsia="zh-CN"/>
        </w:rPr>
        <w:t>）</w:t>
      </w:r>
      <w:r>
        <w:rPr>
          <w:rFonts w:hint="eastAsia" w:ascii="仿宋" w:hAnsi="仿宋" w:eastAsia="仿宋" w:cs="仿宋"/>
          <w:sz w:val="32"/>
          <w:szCs w:val="32"/>
          <w:lang w:val="en-US" w:eastAsia="zh-CN"/>
        </w:rPr>
        <w:t>第</w:t>
      </w:r>
      <w:r>
        <w:rPr>
          <w:rFonts w:hint="eastAsia" w:ascii="仿宋" w:hAnsi="仿宋" w:eastAsia="仿宋" w:cs="仿宋"/>
          <w:sz w:val="32"/>
          <w:szCs w:val="32"/>
          <w:lang w:eastAsia="zh-CN"/>
        </w:rPr>
        <w:t>三次国土调查工作高质量完成，</w:t>
      </w:r>
      <w:r>
        <w:rPr>
          <w:rFonts w:hint="eastAsia" w:ascii="仿宋" w:hAnsi="仿宋" w:eastAsia="仿宋" w:cs="仿宋"/>
          <w:sz w:val="32"/>
          <w:szCs w:val="32"/>
          <w:lang w:val="en-US" w:eastAsia="zh-CN"/>
        </w:rPr>
        <w:t>为全区自然资源保护提供最新最全最实的基础数据，时点更新速度快、质量高，图斑准确率99.9%，走在全省前列并典型发言；农村宅基地和集体建设用地房地一体确权登记发证率100%，</w:t>
      </w:r>
      <w:r>
        <w:rPr>
          <w:rFonts w:hint="eastAsia" w:ascii="仿宋" w:hAnsi="仿宋" w:eastAsia="仿宋" w:cs="仿宋"/>
          <w:sz w:val="32"/>
          <w:szCs w:val="32"/>
          <w:lang w:eastAsia="zh-CN"/>
        </w:rPr>
        <w:t>中国自然资源报、湖南红网、省不动产登记刊物予以专题报道并推广做法；全面完成设计院改制和“三测合一”市场化运作，试运行</w:t>
      </w:r>
      <w:r>
        <w:rPr>
          <w:rFonts w:hint="eastAsia" w:ascii="仿宋" w:hAnsi="仿宋" w:eastAsia="仿宋" w:cs="仿宋"/>
          <w:sz w:val="32"/>
          <w:szCs w:val="32"/>
        </w:rPr>
        <w:t>多测合一管理云平台，房产测绘数据</w:t>
      </w:r>
      <w:r>
        <w:rPr>
          <w:rFonts w:hint="eastAsia" w:ascii="仿宋" w:hAnsi="仿宋" w:eastAsia="仿宋" w:cs="仿宋"/>
          <w:sz w:val="32"/>
          <w:szCs w:val="32"/>
          <w:lang w:eastAsia="zh-CN"/>
        </w:rPr>
        <w:t>与</w:t>
      </w:r>
      <w:r>
        <w:rPr>
          <w:rFonts w:hint="eastAsia" w:ascii="仿宋" w:hAnsi="仿宋" w:eastAsia="仿宋" w:cs="仿宋"/>
          <w:sz w:val="32"/>
          <w:szCs w:val="32"/>
        </w:rPr>
        <w:t>不动产登记、商品房网签</w:t>
      </w:r>
      <w:r>
        <w:rPr>
          <w:rFonts w:hint="eastAsia" w:ascii="仿宋" w:hAnsi="仿宋" w:eastAsia="仿宋" w:cs="仿宋"/>
          <w:sz w:val="32"/>
          <w:szCs w:val="32"/>
          <w:lang w:eastAsia="zh-CN"/>
        </w:rPr>
        <w:t>实现数据共享；</w:t>
      </w:r>
      <w:r>
        <w:rPr>
          <w:rFonts w:hint="eastAsia" w:ascii="仿宋" w:hAnsi="仿宋" w:eastAsia="仿宋" w:cs="仿宋"/>
          <w:sz w:val="32"/>
          <w:szCs w:val="32"/>
        </w:rPr>
        <w:t>一站式管理服务平台</w:t>
      </w:r>
      <w:r>
        <w:rPr>
          <w:rFonts w:hint="eastAsia" w:ascii="仿宋" w:hAnsi="仿宋" w:eastAsia="仿宋" w:cs="仿宋"/>
          <w:sz w:val="32"/>
          <w:szCs w:val="32"/>
          <w:lang w:eastAsia="zh-CN"/>
        </w:rPr>
        <w:t>全面</w:t>
      </w:r>
      <w:r>
        <w:rPr>
          <w:rFonts w:hint="eastAsia" w:ascii="仿宋" w:hAnsi="仿宋" w:eastAsia="仿宋" w:cs="仿宋"/>
          <w:sz w:val="32"/>
          <w:szCs w:val="32"/>
        </w:rPr>
        <w:t>升级</w:t>
      </w:r>
      <w:r>
        <w:rPr>
          <w:rFonts w:hint="eastAsia" w:ascii="仿宋" w:hAnsi="仿宋" w:eastAsia="仿宋" w:cs="仿宋"/>
          <w:sz w:val="32"/>
          <w:szCs w:val="32"/>
          <w:lang w:eastAsia="zh-CN"/>
        </w:rPr>
        <w:t>，</w:t>
      </w:r>
      <w:r>
        <w:rPr>
          <w:rFonts w:hint="eastAsia" w:ascii="仿宋" w:hAnsi="仿宋" w:eastAsia="仿宋" w:cs="仿宋"/>
          <w:sz w:val="32"/>
          <w:szCs w:val="32"/>
        </w:rPr>
        <w:t>业务协同审批、空间数据分析、自然资源全生命周期监管</w:t>
      </w:r>
      <w:r>
        <w:rPr>
          <w:rFonts w:hint="eastAsia" w:ascii="仿宋" w:hAnsi="仿宋" w:eastAsia="仿宋" w:cs="仿宋"/>
          <w:sz w:val="32"/>
          <w:szCs w:val="32"/>
          <w:lang w:eastAsia="zh-CN"/>
        </w:rPr>
        <w:t>插上信息化翅膀；夯实自然资源和规划管理的</w:t>
      </w:r>
      <w:r>
        <w:rPr>
          <w:rFonts w:hint="eastAsia" w:ascii="仿宋" w:hAnsi="仿宋" w:eastAsia="仿宋" w:cs="仿宋"/>
          <w:sz w:val="32"/>
          <w:szCs w:val="32"/>
          <w:lang w:val="en-US" w:eastAsia="zh-CN"/>
        </w:rPr>
        <w:t>前沿阵地，</w:t>
      </w:r>
      <w:r>
        <w:rPr>
          <w:rFonts w:hint="eastAsia" w:ascii="仿宋" w:hAnsi="仿宋" w:eastAsia="仿宋" w:cs="仿宋"/>
          <w:sz w:val="32"/>
          <w:szCs w:val="32"/>
          <w:lang w:eastAsia="zh-CN"/>
        </w:rPr>
        <w:t>下沉执法平台，</w:t>
      </w:r>
      <w:r>
        <w:rPr>
          <w:rFonts w:hint="eastAsia" w:ascii="仿宋" w:hAnsi="仿宋" w:eastAsia="仿宋" w:cs="仿宋"/>
          <w:sz w:val="32"/>
          <w:szCs w:val="32"/>
          <w:lang w:val="en-US" w:eastAsia="zh-CN"/>
        </w:rPr>
        <w:t>15个基层所在“三调”、确权、个人建房、地灾防治、卫片执法、违建别墅和占耕地建房清查整治中冲锋在前，</w:t>
      </w:r>
      <w:r>
        <w:rPr>
          <w:rFonts w:hint="eastAsia" w:ascii="仿宋" w:hAnsi="仿宋" w:eastAsia="仿宋" w:cs="仿宋"/>
          <w:sz w:val="32"/>
          <w:szCs w:val="32"/>
        </w:rPr>
        <w:t>“</w:t>
      </w:r>
      <w:r>
        <w:rPr>
          <w:rFonts w:hint="eastAsia" w:ascii="仿宋" w:hAnsi="仿宋" w:eastAsia="仿宋" w:cs="仿宋"/>
          <w:sz w:val="32"/>
          <w:szCs w:val="32"/>
          <w:lang w:eastAsia="zh-CN"/>
        </w:rPr>
        <w:t>前沿</w:t>
      </w:r>
      <w:r>
        <w:rPr>
          <w:rFonts w:hint="eastAsia" w:ascii="仿宋" w:hAnsi="仿宋" w:eastAsia="仿宋" w:cs="仿宋"/>
          <w:sz w:val="32"/>
          <w:szCs w:val="32"/>
        </w:rPr>
        <w:t>哨所”作用</w:t>
      </w:r>
      <w:r>
        <w:rPr>
          <w:rFonts w:hint="eastAsia" w:ascii="仿宋" w:hAnsi="仿宋" w:eastAsia="仿宋" w:cs="仿宋"/>
          <w:sz w:val="32"/>
          <w:szCs w:val="32"/>
          <w:lang w:eastAsia="zh-CN"/>
        </w:rPr>
        <w:t>显著。</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eastAsia" w:ascii="仿宋" w:hAnsi="仿宋" w:eastAsia="仿宋" w:cs="仿宋"/>
          <w:sz w:val="32"/>
          <w:szCs w:val="32"/>
          <w:lang w:eastAsia="zh-CN"/>
        </w:rPr>
      </w:pPr>
      <w:r>
        <w:rPr>
          <w:rFonts w:hint="eastAsia" w:ascii="Times New Roman" w:hAnsi="Times New Roman" w:eastAsia="楷体_GB2312" w:cs="Times New Roman"/>
          <w:b/>
          <w:bCs/>
          <w:color w:val="auto"/>
          <w:sz w:val="32"/>
          <w:szCs w:val="32"/>
          <w:lang w:val="en-US" w:eastAsia="zh-CN"/>
        </w:rPr>
        <w:t>（</w:t>
      </w:r>
      <w:r>
        <w:rPr>
          <w:rFonts w:hint="eastAsia" w:eastAsia="楷体_GB2312" w:cs="Times New Roman"/>
          <w:b/>
          <w:bCs/>
          <w:color w:val="auto"/>
          <w:sz w:val="32"/>
          <w:szCs w:val="32"/>
          <w:lang w:val="en-US" w:eastAsia="zh-CN"/>
        </w:rPr>
        <w:t>五</w:t>
      </w:r>
      <w:r>
        <w:rPr>
          <w:rFonts w:hint="eastAsia" w:ascii="Times New Roman" w:hAnsi="Times New Roman" w:eastAsia="楷体_GB2312" w:cs="Times New Roman"/>
          <w:b/>
          <w:bCs/>
          <w:color w:val="auto"/>
          <w:sz w:val="32"/>
          <w:szCs w:val="32"/>
          <w:lang w:val="en-US" w:eastAsia="zh-CN"/>
        </w:rPr>
        <w:t>）</w:t>
      </w:r>
      <w:r>
        <w:rPr>
          <w:rFonts w:hint="eastAsia" w:ascii="仿宋" w:hAnsi="仿宋" w:eastAsia="仿宋" w:cs="仿宋"/>
          <w:sz w:val="32"/>
          <w:szCs w:val="32"/>
          <w:lang w:val="en-US" w:eastAsia="zh-CN"/>
        </w:rPr>
        <w:t>优化营商环境为切入，完善</w:t>
      </w:r>
      <w:r>
        <w:rPr>
          <w:rFonts w:hint="eastAsia" w:ascii="仿宋" w:hAnsi="仿宋" w:eastAsia="仿宋" w:cs="仿宋"/>
          <w:sz w:val="32"/>
          <w:szCs w:val="32"/>
        </w:rPr>
        <w:t>“互联网+政务”一体化平台，编制“一件事一次办”指南</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极大方便企业和群众办事</w:t>
      </w:r>
      <w:r>
        <w:rPr>
          <w:rFonts w:hint="eastAsia" w:ascii="仿宋" w:hAnsi="仿宋" w:eastAsia="仿宋" w:cs="仿宋"/>
          <w:sz w:val="32"/>
          <w:szCs w:val="32"/>
          <w:lang w:eastAsia="zh-CN"/>
        </w:rPr>
        <w:t>；不动产登记“一窗受</w:t>
      </w:r>
      <w:r>
        <w:rPr>
          <w:rFonts w:hint="eastAsia" w:ascii="仿宋" w:hAnsi="仿宋" w:eastAsia="仿宋" w:cs="仿宋"/>
          <w:sz w:val="32"/>
          <w:szCs w:val="32"/>
        </w:rPr>
        <w:t>理、并行办理”</w:t>
      </w:r>
      <w:r>
        <w:rPr>
          <w:rFonts w:hint="eastAsia" w:ascii="仿宋" w:hAnsi="仿宋" w:eastAsia="仿宋" w:cs="仿宋"/>
          <w:sz w:val="32"/>
          <w:szCs w:val="32"/>
          <w:lang w:eastAsia="zh-CN"/>
        </w:rPr>
        <w:t>，全年</w:t>
      </w:r>
      <w:r>
        <w:rPr>
          <w:rFonts w:hint="eastAsia" w:ascii="仿宋" w:hAnsi="仿宋" w:eastAsia="仿宋" w:cs="仿宋"/>
          <w:sz w:val="32"/>
          <w:szCs w:val="32"/>
          <w:lang w:val="en-US" w:eastAsia="zh-CN"/>
        </w:rPr>
        <w:t>受理业务</w:t>
      </w:r>
      <w:r>
        <w:rPr>
          <w:rFonts w:hint="eastAsia" w:ascii="仿宋" w:hAnsi="仿宋" w:eastAsia="仿宋" w:cs="仿宋"/>
          <w:sz w:val="32"/>
          <w:szCs w:val="32"/>
        </w:rPr>
        <w:t>1</w:t>
      </w:r>
      <w:r>
        <w:rPr>
          <w:rFonts w:hint="eastAsia" w:ascii="仿宋" w:hAnsi="仿宋" w:eastAsia="仿宋" w:cs="仿宋"/>
          <w:sz w:val="32"/>
          <w:szCs w:val="32"/>
          <w:lang w:val="en-US" w:eastAsia="zh-CN"/>
        </w:rPr>
        <w:t>9.78万件，</w:t>
      </w:r>
      <w:r>
        <w:rPr>
          <w:rFonts w:hint="eastAsia" w:ascii="仿宋" w:hAnsi="仿宋" w:eastAsia="仿宋" w:cs="仿宋"/>
          <w:sz w:val="32"/>
          <w:szCs w:val="32"/>
        </w:rPr>
        <w:t>5个工作日办结率达99%</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登记效率居全省首位，以中粮鸿云项目试点，</w:t>
      </w:r>
      <w:r>
        <w:rPr>
          <w:rFonts w:hint="eastAsia" w:ascii="仿宋" w:hAnsi="仿宋" w:eastAsia="仿宋" w:cs="仿宋"/>
          <w:sz w:val="32"/>
          <w:szCs w:val="32"/>
        </w:rPr>
        <w:t>全面推行“交房即交证”改革</w:t>
      </w:r>
      <w:r>
        <w:rPr>
          <w:rFonts w:hint="eastAsia" w:ascii="仿宋" w:hAnsi="仿宋" w:eastAsia="仿宋" w:cs="仿宋"/>
          <w:sz w:val="32"/>
          <w:szCs w:val="32"/>
          <w:lang w:val="en-US" w:eastAsia="zh-CN"/>
        </w:rPr>
        <w:t>，成立</w:t>
      </w:r>
      <w:r>
        <w:rPr>
          <w:rFonts w:hint="eastAsia" w:ascii="仿宋" w:hAnsi="仿宋" w:eastAsia="仿宋" w:cs="仿宋"/>
          <w:sz w:val="32"/>
          <w:szCs w:val="32"/>
        </w:rPr>
        <w:t>房地产办证信访化解</w:t>
      </w:r>
      <w:r>
        <w:rPr>
          <w:rFonts w:hint="eastAsia" w:ascii="仿宋" w:hAnsi="仿宋" w:eastAsia="仿宋" w:cs="仿宋"/>
          <w:sz w:val="32"/>
          <w:szCs w:val="32"/>
          <w:lang w:eastAsia="zh-CN"/>
        </w:rPr>
        <w:t>办</w:t>
      </w:r>
      <w:r>
        <w:rPr>
          <w:rFonts w:hint="eastAsia" w:ascii="仿宋" w:hAnsi="仿宋" w:eastAsia="仿宋" w:cs="仿宋"/>
          <w:sz w:val="32"/>
          <w:szCs w:val="32"/>
          <w:lang w:val="en-US" w:eastAsia="zh-CN"/>
        </w:rPr>
        <w:t>，</w:t>
      </w:r>
      <w:r>
        <w:rPr>
          <w:rFonts w:hint="eastAsia" w:ascii="仿宋" w:hAnsi="仿宋" w:eastAsia="仿宋" w:cs="仿宋"/>
          <w:sz w:val="32"/>
          <w:szCs w:val="32"/>
        </w:rPr>
        <w:t>清理“办证难”问题项目</w:t>
      </w:r>
      <w:r>
        <w:rPr>
          <w:rFonts w:hint="eastAsia" w:ascii="仿宋" w:hAnsi="仿宋" w:eastAsia="仿宋" w:cs="仿宋"/>
          <w:sz w:val="32"/>
          <w:szCs w:val="32"/>
          <w:lang w:val="en-US" w:eastAsia="zh-CN"/>
        </w:rPr>
        <w:t>40</w:t>
      </w:r>
      <w:r>
        <w:rPr>
          <w:rFonts w:hint="eastAsia" w:ascii="仿宋" w:hAnsi="仿宋" w:eastAsia="仿宋" w:cs="仿宋"/>
          <w:sz w:val="32"/>
          <w:szCs w:val="32"/>
        </w:rPr>
        <w:t>个，</w:t>
      </w:r>
      <w:r>
        <w:rPr>
          <w:rFonts w:hint="eastAsia" w:ascii="仿宋" w:hAnsi="仿宋" w:eastAsia="仿宋" w:cs="仿宋"/>
          <w:sz w:val="32"/>
          <w:szCs w:val="32"/>
          <w:lang w:eastAsia="zh-CN"/>
        </w:rPr>
        <w:t>成功</w:t>
      </w:r>
      <w:r>
        <w:rPr>
          <w:rFonts w:hint="eastAsia" w:ascii="仿宋" w:hAnsi="仿宋" w:eastAsia="仿宋" w:cs="仿宋"/>
          <w:sz w:val="32"/>
          <w:szCs w:val="32"/>
        </w:rPr>
        <w:t>化解</w:t>
      </w:r>
      <w:r>
        <w:rPr>
          <w:rFonts w:hint="eastAsia" w:ascii="仿宋" w:hAnsi="仿宋" w:eastAsia="仿宋" w:cs="仿宋"/>
          <w:sz w:val="32"/>
          <w:szCs w:val="32"/>
          <w:lang w:val="en-US" w:eastAsia="zh-CN"/>
        </w:rPr>
        <w:t>2113</w:t>
      </w:r>
      <w:r>
        <w:rPr>
          <w:rFonts w:hint="eastAsia" w:ascii="仿宋" w:hAnsi="仿宋" w:eastAsia="仿宋" w:cs="仿宋"/>
          <w:sz w:val="32"/>
          <w:szCs w:val="32"/>
        </w:rPr>
        <w:t>户</w:t>
      </w:r>
      <w:r>
        <w:rPr>
          <w:rFonts w:hint="eastAsia" w:ascii="仿宋" w:hAnsi="仿宋" w:eastAsia="仿宋" w:cs="仿宋"/>
          <w:sz w:val="32"/>
          <w:szCs w:val="32"/>
          <w:lang w:eastAsia="zh-CN"/>
        </w:rPr>
        <w:t>业主办证难问题</w:t>
      </w:r>
      <w:r>
        <w:rPr>
          <w:rFonts w:hint="eastAsia" w:ascii="仿宋" w:hAnsi="仿宋" w:eastAsia="仿宋" w:cs="仿宋"/>
          <w:sz w:val="32"/>
          <w:szCs w:val="32"/>
          <w:lang w:val="en-US" w:eastAsia="zh-CN"/>
        </w:rPr>
        <w:t>；办理人大建议20件、政协提案12件，社情民意落子有声，既解决层面问题，也解决实际问题，</w:t>
      </w:r>
      <w:r>
        <w:rPr>
          <w:rFonts w:hint="eastAsia" w:ascii="仿宋" w:hAnsi="仿宋" w:eastAsia="仿宋" w:cs="仿宋"/>
          <w:sz w:val="32"/>
          <w:szCs w:val="32"/>
        </w:rPr>
        <w:t>深入泰嘉</w:t>
      </w:r>
      <w:r>
        <w:rPr>
          <w:rFonts w:hint="eastAsia" w:ascii="仿宋" w:hAnsi="仿宋" w:eastAsia="仿宋" w:cs="仿宋"/>
          <w:sz w:val="32"/>
          <w:szCs w:val="32"/>
          <w:lang w:eastAsia="zh-CN"/>
        </w:rPr>
        <w:t>新材、</w:t>
      </w:r>
      <w:r>
        <w:rPr>
          <w:rFonts w:hint="eastAsia" w:ascii="仿宋" w:hAnsi="仿宋" w:eastAsia="仿宋" w:cs="仿宋"/>
          <w:sz w:val="32"/>
          <w:szCs w:val="32"/>
        </w:rPr>
        <w:t>黑金刚</w:t>
      </w:r>
      <w:r>
        <w:rPr>
          <w:rFonts w:hint="eastAsia" w:ascii="仿宋" w:hAnsi="仿宋" w:eastAsia="仿宋" w:cs="仿宋"/>
          <w:sz w:val="32"/>
          <w:szCs w:val="32"/>
          <w:lang w:eastAsia="zh-CN"/>
        </w:rPr>
        <w:t>、</w:t>
      </w:r>
      <w:r>
        <w:rPr>
          <w:rFonts w:hint="eastAsia" w:ascii="仿宋" w:hAnsi="仿宋" w:eastAsia="仿宋" w:cs="仿宋"/>
          <w:sz w:val="32"/>
          <w:szCs w:val="32"/>
        </w:rPr>
        <w:t>乌山贡茶</w:t>
      </w:r>
      <w:r>
        <w:rPr>
          <w:rFonts w:hint="eastAsia" w:ascii="仿宋" w:hAnsi="仿宋" w:eastAsia="仿宋" w:cs="仿宋"/>
          <w:sz w:val="32"/>
          <w:szCs w:val="32"/>
          <w:lang w:eastAsia="zh-CN"/>
        </w:rPr>
        <w:t>进行企业帮扶，</w:t>
      </w:r>
      <w:r>
        <w:rPr>
          <w:rFonts w:hint="eastAsia" w:ascii="仿宋" w:hAnsi="仿宋" w:eastAsia="仿宋" w:cs="仿宋"/>
          <w:sz w:val="32"/>
          <w:szCs w:val="32"/>
        </w:rPr>
        <w:t>解决问题诉求5件</w:t>
      </w:r>
      <w:r>
        <w:rPr>
          <w:rFonts w:hint="eastAsia" w:ascii="仿宋" w:hAnsi="仿宋" w:eastAsia="仿宋" w:cs="仿宋"/>
          <w:sz w:val="32"/>
          <w:szCs w:val="32"/>
          <w:lang w:eastAsia="zh-CN"/>
        </w:rPr>
        <w:t>，深受企业好评；突出民生</w:t>
      </w:r>
      <w:r>
        <w:rPr>
          <w:rFonts w:hint="eastAsia" w:ascii="仿宋" w:hAnsi="仿宋" w:eastAsia="仿宋" w:cs="仿宋"/>
          <w:sz w:val="32"/>
          <w:szCs w:val="32"/>
        </w:rPr>
        <w:t>设施</w:t>
      </w:r>
      <w:r>
        <w:rPr>
          <w:rFonts w:hint="eastAsia" w:ascii="仿宋" w:hAnsi="仿宋" w:eastAsia="仿宋" w:cs="仿宋"/>
          <w:sz w:val="32"/>
          <w:szCs w:val="32"/>
          <w:lang w:eastAsia="zh-CN"/>
        </w:rPr>
        <w:t>建设</w:t>
      </w:r>
      <w:r>
        <w:rPr>
          <w:rFonts w:hint="eastAsia" w:ascii="仿宋" w:hAnsi="仿宋" w:eastAsia="仿宋" w:cs="仿宋"/>
          <w:sz w:val="32"/>
          <w:szCs w:val="32"/>
        </w:rPr>
        <w:t>，打造15分钟生活圈19个，实施项目39个</w:t>
      </w:r>
      <w:r>
        <w:rPr>
          <w:rFonts w:hint="eastAsia" w:ascii="仿宋" w:hAnsi="仿宋" w:eastAsia="仿宋" w:cs="仿宋"/>
          <w:sz w:val="32"/>
          <w:szCs w:val="32"/>
          <w:lang w:eastAsia="zh-CN"/>
        </w:rPr>
        <w:t>，居民幸福感获得感增强；</w:t>
      </w:r>
      <w:r>
        <w:rPr>
          <w:rFonts w:hint="eastAsia" w:ascii="仿宋" w:hAnsi="仿宋" w:eastAsia="仿宋" w:cs="仿宋"/>
          <w:sz w:val="32"/>
          <w:szCs w:val="32"/>
          <w:lang w:val="en-US" w:eastAsia="zh-CN"/>
        </w:rPr>
        <w:t>积极做好信访、诉讼工作，办理复议、诉讼案件108件，受理来信来访来电2366批次，件件有回复，答复率、办结率均为100%，洪海滨、刘兴龙等一系列信访积案问题妥善化解；成功举办贺大田油画展和昆虫标本展，全年接待参观人数4万余人，展示望城形象；核实</w:t>
      </w:r>
      <w:r>
        <w:rPr>
          <w:rFonts w:hint="eastAsia" w:ascii="仿宋" w:hAnsi="仿宋" w:eastAsia="仿宋" w:cs="仿宋"/>
          <w:sz w:val="32"/>
          <w:szCs w:val="32"/>
        </w:rPr>
        <w:t>地灾隐患</w:t>
      </w:r>
      <w:r>
        <w:rPr>
          <w:rFonts w:hint="eastAsia" w:ascii="仿宋" w:hAnsi="仿宋" w:eastAsia="仿宋" w:cs="仿宋"/>
          <w:sz w:val="32"/>
          <w:szCs w:val="32"/>
          <w:lang w:eastAsia="zh-CN"/>
        </w:rPr>
        <w:t>点</w:t>
      </w:r>
      <w:r>
        <w:rPr>
          <w:rFonts w:hint="eastAsia" w:ascii="仿宋" w:hAnsi="仿宋" w:eastAsia="仿宋" w:cs="仿宋"/>
          <w:sz w:val="32"/>
          <w:szCs w:val="32"/>
        </w:rPr>
        <w:t>71处</w:t>
      </w:r>
      <w:r>
        <w:rPr>
          <w:rFonts w:hint="eastAsia" w:ascii="仿宋" w:hAnsi="仿宋" w:eastAsia="仿宋" w:cs="仿宋"/>
          <w:sz w:val="32"/>
          <w:szCs w:val="32"/>
          <w:lang w:eastAsia="zh-CN"/>
        </w:rPr>
        <w:t>，开展地灾点</w:t>
      </w:r>
      <w:r>
        <w:rPr>
          <w:rFonts w:hint="eastAsia" w:ascii="仿宋" w:hAnsi="仿宋" w:eastAsia="仿宋" w:cs="仿宋"/>
          <w:sz w:val="32"/>
          <w:szCs w:val="32"/>
        </w:rPr>
        <w:t>巡查</w:t>
      </w:r>
      <w:r>
        <w:rPr>
          <w:rFonts w:hint="eastAsia" w:ascii="仿宋" w:hAnsi="仿宋" w:eastAsia="仿宋" w:cs="仿宋"/>
          <w:sz w:val="32"/>
          <w:szCs w:val="32"/>
          <w:lang w:val="en-US" w:eastAsia="zh-CN"/>
        </w:rPr>
        <w:t>82</w:t>
      </w:r>
      <w:r>
        <w:rPr>
          <w:rFonts w:hint="eastAsia" w:ascii="仿宋" w:hAnsi="仿宋" w:eastAsia="仿宋" w:cs="仿宋"/>
          <w:sz w:val="32"/>
          <w:szCs w:val="32"/>
        </w:rPr>
        <w:t>次</w:t>
      </w:r>
      <w:r>
        <w:rPr>
          <w:rFonts w:hint="eastAsia" w:ascii="仿宋" w:hAnsi="仿宋" w:eastAsia="仿宋" w:cs="仿宋"/>
          <w:sz w:val="32"/>
          <w:szCs w:val="32"/>
          <w:lang w:eastAsia="zh-CN"/>
        </w:rPr>
        <w:t>，</w:t>
      </w:r>
      <w:r>
        <w:rPr>
          <w:rFonts w:hint="eastAsia" w:ascii="仿宋" w:hAnsi="仿宋" w:eastAsia="仿宋" w:cs="仿宋"/>
          <w:sz w:val="32"/>
          <w:szCs w:val="32"/>
        </w:rPr>
        <w:t>铜官老街集镇袁家湖</w:t>
      </w:r>
      <w:r>
        <w:rPr>
          <w:rFonts w:hint="eastAsia" w:ascii="仿宋" w:hAnsi="仿宋" w:eastAsia="仿宋" w:cs="仿宋"/>
          <w:sz w:val="32"/>
          <w:szCs w:val="32"/>
          <w:lang w:eastAsia="zh-CN"/>
        </w:rPr>
        <w:t>、</w:t>
      </w:r>
      <w:r>
        <w:rPr>
          <w:rFonts w:hint="eastAsia" w:ascii="仿宋" w:hAnsi="仿宋" w:eastAsia="仿宋" w:cs="仿宋"/>
          <w:sz w:val="32"/>
          <w:szCs w:val="32"/>
        </w:rPr>
        <w:t>石诸湖社区地灾治理</w:t>
      </w:r>
      <w:r>
        <w:rPr>
          <w:rFonts w:hint="eastAsia" w:ascii="仿宋" w:hAnsi="仿宋" w:eastAsia="仿宋" w:cs="仿宋"/>
          <w:sz w:val="32"/>
          <w:szCs w:val="32"/>
          <w:lang w:eastAsia="zh-CN"/>
        </w:rPr>
        <w:t>全面启动，全年未发生一起地灾事故，确保了人民群众生命财产安全。</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eastAsia" w:ascii="仿宋_GB2312" w:hAnsi="仿宋_GB2312" w:eastAsia="仿宋_GB2312" w:cs="仿宋_GB2312"/>
          <w:b w:val="0"/>
          <w:bCs w:val="0"/>
          <w:color w:val="auto"/>
          <w:sz w:val="32"/>
          <w:szCs w:val="32"/>
          <w:lang w:val="en-US" w:eastAsia="zh-CN"/>
        </w:rPr>
      </w:pPr>
      <w:r>
        <w:rPr>
          <w:rFonts w:hint="eastAsia" w:ascii="仿宋" w:hAnsi="仿宋" w:eastAsia="仿宋" w:cs="仿宋"/>
          <w:b/>
          <w:bCs/>
          <w:sz w:val="32"/>
          <w:szCs w:val="32"/>
          <w:lang w:eastAsia="zh-CN"/>
        </w:rPr>
        <w:t>（六）</w:t>
      </w:r>
      <w:r>
        <w:rPr>
          <w:rFonts w:hint="eastAsia" w:ascii="仿宋" w:hAnsi="仿宋" w:eastAsia="仿宋" w:cs="仿宋"/>
          <w:b w:val="0"/>
          <w:bCs w:val="0"/>
          <w:sz w:val="32"/>
          <w:szCs w:val="32"/>
          <w:lang w:val="en-US" w:eastAsia="zh-CN"/>
        </w:rPr>
        <w:t>局党组</w:t>
      </w:r>
      <w:r>
        <w:rPr>
          <w:rFonts w:hint="eastAsia" w:ascii="仿宋" w:hAnsi="仿宋" w:eastAsia="仿宋" w:cs="仿宋"/>
          <w:sz w:val="32"/>
          <w:szCs w:val="32"/>
          <w:lang w:eastAsia="zh-CN"/>
        </w:rPr>
        <w:t>全年召开党组（扩大）会</w:t>
      </w:r>
      <w:r>
        <w:rPr>
          <w:rFonts w:hint="eastAsia" w:ascii="仿宋" w:hAnsi="仿宋" w:eastAsia="仿宋" w:cs="仿宋"/>
          <w:sz w:val="32"/>
          <w:szCs w:val="32"/>
          <w:lang w:val="en-US" w:eastAsia="zh-CN"/>
        </w:rPr>
        <w:t>34次，</w:t>
      </w:r>
      <w:r>
        <w:rPr>
          <w:rFonts w:hint="eastAsia" w:ascii="仿宋" w:hAnsi="仿宋" w:eastAsia="仿宋" w:cs="仿宋"/>
          <w:b w:val="0"/>
          <w:bCs w:val="0"/>
          <w:sz w:val="32"/>
          <w:szCs w:val="32"/>
          <w:lang w:val="en-US" w:eastAsia="zh-CN"/>
        </w:rPr>
        <w:t>“书记工程”建设成效明显，</w:t>
      </w:r>
      <w:r>
        <w:rPr>
          <w:rFonts w:hint="eastAsia" w:ascii="仿宋" w:hAnsi="仿宋" w:eastAsia="仿宋" w:cs="仿宋"/>
          <w:sz w:val="32"/>
          <w:szCs w:val="32"/>
          <w:lang w:eastAsia="zh-CN"/>
        </w:rPr>
        <w:t>领导班子大事要事讲奉献，急事难事敢担当，</w:t>
      </w:r>
      <w:r>
        <w:rPr>
          <w:rFonts w:hint="eastAsia" w:ascii="仿宋" w:hAnsi="仿宋" w:eastAsia="仿宋" w:cs="仿宋"/>
          <w:b w:val="0"/>
          <w:bCs w:val="0"/>
          <w:sz w:val="32"/>
          <w:szCs w:val="32"/>
          <w:lang w:val="en-US" w:eastAsia="zh-CN"/>
        </w:rPr>
        <w:t>机构改革后人心齐、作风硬、业务精，1+1＞2的效应逐渐放大；</w:t>
      </w:r>
      <w:r>
        <w:rPr>
          <w:rFonts w:hint="eastAsia" w:ascii="仿宋" w:hAnsi="仿宋" w:eastAsia="仿宋" w:cs="仿宋"/>
          <w:b w:val="0"/>
          <w:bCs w:val="0"/>
          <w:color w:val="auto"/>
          <w:sz w:val="32"/>
          <w:szCs w:val="32"/>
          <w:lang w:val="en-US" w:eastAsia="zh-CN"/>
        </w:rPr>
        <w:t>优化设置党支部15个，</w:t>
      </w:r>
      <w:r>
        <w:rPr>
          <w:rFonts w:hint="eastAsia" w:ascii="仿宋" w:hAnsi="仿宋" w:eastAsia="仿宋" w:cs="仿宋"/>
          <w:b w:val="0"/>
          <w:bCs w:val="0"/>
          <w:sz w:val="32"/>
          <w:szCs w:val="32"/>
          <w:lang w:val="en-US" w:eastAsia="zh-CN"/>
        </w:rPr>
        <w:t>开展党建活动26次，志愿服务活动16次，党员先锋旗帜高高飘扬在</w:t>
      </w:r>
      <w:r>
        <w:rPr>
          <w:rFonts w:hint="eastAsia" w:ascii="仿宋_GB2312" w:hAnsi="仿宋_GB2312" w:eastAsia="仿宋_GB2312" w:cs="仿宋_GB2312"/>
          <w:b w:val="0"/>
          <w:bCs w:val="0"/>
          <w:color w:val="auto"/>
          <w:sz w:val="32"/>
          <w:szCs w:val="32"/>
          <w:lang w:eastAsia="zh-CN"/>
        </w:rPr>
        <w:t>疫情防控、文明创建、扶贫帮困一线，继续保持市级文明单位荣誉称号，联点扶贫的淑一、东马193名贫困户全部脱贫摘帽，获评</w:t>
      </w:r>
      <w:r>
        <w:rPr>
          <w:rFonts w:hint="eastAsia" w:ascii="仿宋" w:hAnsi="仿宋" w:eastAsia="仿宋" w:cs="仿宋"/>
          <w:b w:val="0"/>
          <w:bCs w:val="0"/>
          <w:sz w:val="32"/>
          <w:szCs w:val="32"/>
          <w:lang w:val="en-US" w:eastAsia="zh-CN"/>
        </w:rPr>
        <w:t>2020年全市离退休干部“五化”党支部示范点；涉及</w:t>
      </w:r>
      <w:r>
        <w:rPr>
          <w:rFonts w:hint="eastAsia" w:ascii="仿宋_GB2312" w:hAnsi="仿宋_GB2312" w:eastAsia="仿宋_GB2312" w:cs="仿宋_GB2312"/>
          <w:b w:val="0"/>
          <w:bCs w:val="0"/>
          <w:color w:val="auto"/>
          <w:sz w:val="32"/>
          <w:szCs w:val="32"/>
          <w:lang w:eastAsia="zh-CN"/>
        </w:rPr>
        <w:t>球类、文艺、户外的</w:t>
      </w:r>
      <w:r>
        <w:rPr>
          <w:rFonts w:hint="eastAsia" w:ascii="仿宋_GB2312" w:hAnsi="仿宋_GB2312" w:eastAsia="仿宋_GB2312" w:cs="仿宋_GB2312"/>
          <w:b w:val="0"/>
          <w:bCs w:val="0"/>
          <w:color w:val="auto"/>
          <w:sz w:val="32"/>
          <w:szCs w:val="32"/>
          <w:lang w:val="en-US" w:eastAsia="zh-CN"/>
        </w:rPr>
        <w:t>9个兴趣小组活动纷呈，</w:t>
      </w:r>
      <w:r>
        <w:rPr>
          <w:rFonts w:hint="eastAsia" w:ascii="仿宋_GB2312" w:hAnsi="仿宋_GB2312" w:eastAsia="仿宋_GB2312" w:cs="仿宋_GB2312"/>
          <w:b w:val="0"/>
          <w:bCs w:val="0"/>
          <w:color w:val="auto"/>
          <w:sz w:val="32"/>
          <w:szCs w:val="32"/>
          <w:lang w:eastAsia="zh-CN"/>
        </w:rPr>
        <w:t>队伍凝聚力向心力不断增强，</w:t>
      </w:r>
      <w:r>
        <w:rPr>
          <w:rFonts w:hint="eastAsia" w:ascii="仿宋_GB2312" w:hAnsi="仿宋_GB2312" w:eastAsia="仿宋_GB2312" w:cs="仿宋_GB2312"/>
          <w:b w:val="0"/>
          <w:bCs w:val="0"/>
          <w:color w:val="auto"/>
          <w:sz w:val="32"/>
          <w:szCs w:val="32"/>
          <w:lang w:val="en-US" w:eastAsia="zh-CN"/>
        </w:rPr>
        <w:t>多项竞技比赛斩获市、区冠军</w:t>
      </w:r>
      <w:r>
        <w:rPr>
          <w:rFonts w:hint="eastAsia" w:ascii="仿宋_GB2312" w:hAnsi="仿宋_GB2312" w:eastAsia="仿宋_GB2312" w:cs="仿宋_GB2312"/>
          <w:b w:val="0"/>
          <w:bCs w:val="0"/>
          <w:color w:val="auto"/>
          <w:sz w:val="32"/>
          <w:szCs w:val="32"/>
          <w:lang w:eastAsia="zh-CN"/>
        </w:rPr>
        <w:t>；</w:t>
      </w:r>
      <w:r>
        <w:rPr>
          <w:rFonts w:hint="eastAsia" w:ascii="仿宋_GB2312" w:hAnsi="仿宋_GB2312" w:eastAsia="仿宋_GB2312" w:cs="仿宋_GB2312"/>
          <w:b w:val="0"/>
          <w:bCs w:val="0"/>
          <w:color w:val="auto"/>
          <w:sz w:val="32"/>
          <w:szCs w:val="32"/>
          <w:lang w:val="en-US" w:eastAsia="zh-CN"/>
        </w:rPr>
        <w:t>“创新、担当、敬业”的20名</w:t>
      </w:r>
      <w:r>
        <w:rPr>
          <w:rFonts w:hint="eastAsia" w:ascii="仿宋_GB2312" w:hAnsi="仿宋_GB2312" w:eastAsia="仿宋_GB2312" w:cs="仿宋_GB2312"/>
          <w:b w:val="0"/>
          <w:bCs w:val="0"/>
          <w:color w:val="auto"/>
          <w:sz w:val="32"/>
          <w:szCs w:val="32"/>
          <w:lang w:eastAsia="zh-CN"/>
        </w:rPr>
        <w:t>“资规之星”弘扬了资规正能量，</w:t>
      </w:r>
      <w:r>
        <w:rPr>
          <w:rFonts w:hint="eastAsia" w:ascii="仿宋_GB2312" w:hAnsi="仿宋_GB2312" w:eastAsia="仿宋_GB2312" w:cs="仿宋_GB2312"/>
          <w:b w:val="0"/>
          <w:bCs w:val="0"/>
          <w:color w:val="auto"/>
          <w:sz w:val="32"/>
          <w:szCs w:val="32"/>
          <w:lang w:val="en-US" w:eastAsia="zh-CN"/>
        </w:rPr>
        <w:t>见贤思齐，比学赶超氛围蔚然成风</w:t>
      </w:r>
      <w:r>
        <w:rPr>
          <w:rFonts w:hint="eastAsia" w:ascii="仿宋_GB2312" w:hAnsi="仿宋_GB2312" w:eastAsia="仿宋_GB2312" w:cs="仿宋_GB2312"/>
          <w:b w:val="0"/>
          <w:bCs w:val="0"/>
          <w:color w:val="auto"/>
          <w:sz w:val="32"/>
          <w:szCs w:val="32"/>
          <w:lang w:eastAsia="zh-CN"/>
        </w:rPr>
        <w:t>；以赛促学、以查促改、以案说法、以问建制，不断强化党风廉政建设，</w:t>
      </w:r>
      <w:r>
        <w:rPr>
          <w:rFonts w:hint="eastAsia" w:ascii="仿宋" w:hAnsi="仿宋" w:eastAsia="仿宋" w:cs="仿宋"/>
          <w:sz w:val="32"/>
          <w:szCs w:val="32"/>
          <w:lang w:eastAsia="zh-CN"/>
        </w:rPr>
        <w:t>“勤勉奋进、务实担当、清廉高效”的班子队伍建设不断加强。</w:t>
      </w:r>
    </w:p>
    <w:p>
      <w:pPr>
        <w:spacing w:line="600" w:lineRule="exact"/>
        <w:ind w:firstLine="600" w:firstLineChars="200"/>
        <w:rPr>
          <w:rFonts w:hint="default" w:ascii="Times New Roman" w:hAnsi="Times New Roman" w:eastAsia="黑体" w:cs="Times New Roman"/>
          <w:sz w:val="30"/>
        </w:rPr>
      </w:pPr>
      <w:r>
        <w:rPr>
          <w:rFonts w:hint="eastAsia" w:ascii="Times New Roman" w:hAnsi="Times New Roman" w:eastAsia="黑体" w:cs="Times New Roman"/>
          <w:sz w:val="30"/>
          <w:lang w:eastAsia="zh-CN"/>
        </w:rPr>
        <w:t>六</w:t>
      </w:r>
      <w:r>
        <w:rPr>
          <w:rFonts w:hint="default" w:ascii="Times New Roman" w:hAnsi="Times New Roman" w:eastAsia="黑体" w:cs="Times New Roman"/>
          <w:sz w:val="30"/>
        </w:rPr>
        <w:t>、部门（单位）整体支出绩效中存在问题及改进措施</w:t>
      </w:r>
    </w:p>
    <w:p>
      <w:pPr>
        <w:spacing w:line="600" w:lineRule="exact"/>
        <w:ind w:firstLine="600" w:firstLineChars="200"/>
        <w:rPr>
          <w:rFonts w:hint="default" w:ascii="Times New Roman" w:hAnsi="Times New Roman" w:eastAsia="仿宋_GB2312" w:cs="Times New Roman"/>
          <w:sz w:val="30"/>
        </w:rPr>
      </w:pPr>
      <w:r>
        <w:rPr>
          <w:rFonts w:hint="default" w:ascii="Times New Roman" w:hAnsi="Times New Roman" w:eastAsia="仿宋_GB2312" w:cs="Times New Roman"/>
          <w:sz w:val="30"/>
        </w:rPr>
        <w:t>（一）主要问题及原因分析</w:t>
      </w:r>
    </w:p>
    <w:p>
      <w:pPr>
        <w:spacing w:line="600" w:lineRule="exact"/>
        <w:ind w:firstLine="600" w:firstLineChars="200"/>
        <w:rPr>
          <w:rFonts w:hint="default" w:ascii="Times New Roman" w:hAnsi="Times New Roman" w:eastAsia="仿宋_GB2312" w:cs="Times New Roman"/>
          <w:sz w:val="30"/>
        </w:rPr>
      </w:pPr>
      <w:r>
        <w:rPr>
          <w:rFonts w:hint="default" w:ascii="Times New Roman" w:hAnsi="Times New Roman" w:eastAsia="仿宋_GB2312" w:cs="Times New Roman"/>
          <w:sz w:val="30"/>
        </w:rPr>
        <w:t>（二）改进的方向和具体措施</w:t>
      </w:r>
    </w:p>
    <w:p>
      <w:pPr>
        <w:spacing w:line="600" w:lineRule="exact"/>
        <w:ind w:firstLine="600" w:firstLineChars="200"/>
        <w:rPr>
          <w:rFonts w:hint="default" w:ascii="Times New Roman" w:hAnsi="Times New Roman" w:eastAsia="仿宋_GB2312" w:cs="Times New Roman"/>
          <w:sz w:val="30"/>
        </w:rPr>
      </w:pPr>
      <w:r>
        <w:rPr>
          <w:rFonts w:hint="default" w:ascii="Times New Roman" w:hAnsi="Times New Roman" w:eastAsia="黑体" w:cs="Times New Roman"/>
          <w:sz w:val="30"/>
        </w:rPr>
        <w:t>七、其它需要说明的情况</w:t>
      </w:r>
    </w:p>
    <w:p>
      <w:pPr>
        <w:adjustRightInd w:val="0"/>
        <w:snapToGrid w:val="0"/>
        <w:spacing w:line="600" w:lineRule="exact"/>
        <w:jc w:val="left"/>
      </w:pPr>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D6E830E0-4B03-41E6-864F-F7CBF2A2955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embedRegular r:id="rId2" w:fontKey="{72B64DF0-05EB-4795-83CE-2835CF3BCCF1}"/>
  </w:font>
  <w:font w:name="仿宋">
    <w:panose1 w:val="02010609060101010101"/>
    <w:charset w:val="86"/>
    <w:family w:val="auto"/>
    <w:pitch w:val="default"/>
    <w:sig w:usb0="800002BF" w:usb1="38CF7CFA" w:usb2="00000016" w:usb3="00000000" w:csb0="00040001" w:csb1="00000000"/>
    <w:embedRegular r:id="rId3" w:fontKey="{149CBDEB-F16C-4914-AF9D-DA10A1E93EF6}"/>
  </w:font>
  <w:font w:name="方正小标宋简体">
    <w:altName w:val="黑体"/>
    <w:panose1 w:val="03000509000000000000"/>
    <w:charset w:val="86"/>
    <w:family w:val="script"/>
    <w:pitch w:val="default"/>
    <w:sig w:usb0="00000000" w:usb1="00000000" w:usb2="00000000" w:usb3="00000000" w:csb0="00040000" w:csb1="00000000"/>
    <w:embedRegular r:id="rId4" w:fontKey="{057118E7-6418-411A-9DE7-416E0FD5D7F8}"/>
  </w:font>
  <w:font w:name="方正小标宋_GBK">
    <w:panose1 w:val="02000000000000000000"/>
    <w:charset w:val="86"/>
    <w:family w:val="script"/>
    <w:pitch w:val="default"/>
    <w:sig w:usb0="A00002BF" w:usb1="38CF7CFA" w:usb2="00082016" w:usb3="00000000" w:csb0="00040001" w:csb1="00000000"/>
    <w:embedRegular r:id="rId5" w:fontKey="{C30B4E6D-5C05-4302-94CB-4627FBE51DA9}"/>
  </w:font>
  <w:font w:name="楷体_GB2312">
    <w:altName w:val="楷体"/>
    <w:panose1 w:val="02010609030101010101"/>
    <w:charset w:val="86"/>
    <w:family w:val="modern"/>
    <w:pitch w:val="default"/>
    <w:sig w:usb0="00000000" w:usb1="00000000" w:usb2="00000000" w:usb3="00000000" w:csb0="00040000" w:csb1="00000000"/>
    <w:embedRegular r:id="rId6" w:fontKey="{999EAF63-0AED-4DCC-8791-FB9E1A46F9D0}"/>
  </w:font>
  <w:font w:name="楷体">
    <w:panose1 w:val="02010609060101010101"/>
    <w:charset w:val="86"/>
    <w:family w:val="auto"/>
    <w:pitch w:val="default"/>
    <w:sig w:usb0="800002BF" w:usb1="38CF7CFA" w:usb2="00000016"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029D540"/>
    <w:multiLevelType w:val="singleLevel"/>
    <w:tmpl w:val="1029D540"/>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k1YzMxNjNiOGUyNDMwY2YxZmYyOTcwYWExZmNiOWUifQ=="/>
  </w:docVars>
  <w:rsids>
    <w:rsidRoot w:val="46A91A93"/>
    <w:rsid w:val="131746A8"/>
    <w:rsid w:val="14422BF5"/>
    <w:rsid w:val="16631BA1"/>
    <w:rsid w:val="1FA7147C"/>
    <w:rsid w:val="24451C65"/>
    <w:rsid w:val="2714014B"/>
    <w:rsid w:val="2FC105EE"/>
    <w:rsid w:val="3DC2023B"/>
    <w:rsid w:val="44BC68A4"/>
    <w:rsid w:val="46A91A93"/>
    <w:rsid w:val="4AA43048"/>
    <w:rsid w:val="51B93C49"/>
    <w:rsid w:val="604F7A86"/>
    <w:rsid w:val="6CD65396"/>
    <w:rsid w:val="78B644D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580" w:lineRule="exact"/>
      <w:jc w:val="both"/>
    </w:pPr>
    <w:rPr>
      <w:rFonts w:ascii="仿宋_GB2312" w:hAnsi="Calibri" w:eastAsia="仿宋_GB2312" w:cs="Times New Roman"/>
      <w:kern w:val="2"/>
      <w:sz w:val="32"/>
      <w:szCs w:val="32"/>
      <w:lang w:val="en-US" w:eastAsia="zh-CN" w:bidi="ar-SA"/>
    </w:rPr>
  </w:style>
  <w:style w:type="paragraph" w:styleId="2">
    <w:name w:val="heading 2"/>
    <w:basedOn w:val="1"/>
    <w:next w:val="1"/>
    <w:qFormat/>
    <w:uiPriority w:val="0"/>
    <w:pPr>
      <w:keepNext/>
      <w:keepLines/>
      <w:spacing w:before="260" w:after="260" w:line="416" w:lineRule="auto"/>
      <w:outlineLvl w:val="1"/>
    </w:pPr>
    <w:rPr>
      <w:rFonts w:ascii="Arial" w:hAnsi="Arial"/>
      <w:bCs/>
      <w:spacing w:val="11"/>
      <w:sz w:val="32"/>
      <w:szCs w:val="32"/>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character" w:styleId="5">
    <w:name w:val="Strong"/>
    <w:basedOn w:val="4"/>
    <w:qFormat/>
    <w:uiPriority w:val="22"/>
    <w:rPr>
      <w:b/>
      <w:bCs/>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9</Pages>
  <Words>4749</Words>
  <Characters>5149</Characters>
  <Lines>0</Lines>
  <Paragraphs>0</Paragraphs>
  <TotalTime>1</TotalTime>
  <ScaleCrop>false</ScaleCrop>
  <LinksUpToDate>false</LinksUpToDate>
  <CharactersWithSpaces>5183</CharactersWithSpaces>
  <Application>WPS Office_11.1.0.12313_F1E327BC-269C-435d-A152-05C5408002CA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2020-06-01T01:39:00Z</dcterms:created>
  <dc:creator>ZZANDYZ</dc:creator>
  <cp:lastModifiedBy>张聃桢</cp:lastModifiedBy>
  <dcterms:modified xsi:type="dcterms:W3CDTF">2022-08-30T03:15:53Z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2052-11.1.0.12313</vt:lpwstr>
  </property>
  <property fmtid="{D5CDD505-2E9C-101B-9397-08002B2CF9AE}" pid="3" name="ICV">
    <vt:lpwstr>3D22A4500F494D629E117F08C3A1BFC1</vt:lpwstr>
  </property>
</Properties>
</file>