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20"/>
        </w:rPr>
      </w:pPr>
      <w:bookmarkStart w:id="0" w:name="EB9a8ee9d69ed8461daef322c4246813af"/>
      <w:r>
        <w:rPr>
          <w:rFonts w:hint="eastAsia" w:ascii="黑体" w:hAnsi="华文中宋" w:eastAsia="黑体"/>
          <w:b/>
          <w:sz w:val="32"/>
          <w:szCs w:val="32"/>
        </w:rPr>
        <w:t>采购需求</w:t>
      </w:r>
    </w:p>
    <w:p>
      <w:pPr>
        <w:widowControl/>
        <w:spacing w:line="500" w:lineRule="exact"/>
        <w:ind w:firstLine="422" w:firstLineChars="200"/>
        <w:rPr>
          <w:rFonts w:hint="eastAsia" w:ascii="宋体" w:hAnsi="宋体" w:cs="宋体"/>
          <w:b/>
          <w:szCs w:val="21"/>
          <w:lang w:val="zh-CN"/>
        </w:rPr>
      </w:pPr>
      <w:r>
        <w:rPr>
          <w:rFonts w:hint="eastAsia" w:ascii="宋体" w:hAnsi="宋体" w:cs="宋体"/>
          <w:b/>
          <w:kern w:val="0"/>
          <w:szCs w:val="21"/>
        </w:rPr>
        <w:t>一、采购项目名称 ：《望城区实施&lt;长沙市集体土地征收补偿安置办法&gt;细则》制定及社会稳定风险评估项目</w:t>
      </w:r>
      <w:bookmarkStart w:id="7" w:name="_GoBack"/>
      <w:bookmarkEnd w:id="7"/>
    </w:p>
    <w:p>
      <w:pPr>
        <w:widowControl/>
        <w:spacing w:line="500" w:lineRule="exact"/>
        <w:ind w:firstLine="422" w:firstLineChars="200"/>
        <w:rPr>
          <w:rFonts w:hint="eastAsia" w:ascii="宋体" w:hAnsi="宋体" w:cs="宋体"/>
          <w:b/>
          <w:kern w:val="0"/>
          <w:szCs w:val="21"/>
        </w:rPr>
      </w:pPr>
      <w:r>
        <w:rPr>
          <w:rFonts w:hint="eastAsia" w:ascii="宋体" w:hAnsi="宋体" w:cs="宋体"/>
          <w:b/>
          <w:kern w:val="0"/>
          <w:szCs w:val="21"/>
        </w:rPr>
        <w:t>二、项目预算：</w:t>
      </w:r>
      <w:r>
        <w:rPr>
          <w:rFonts w:hint="eastAsia" w:ascii="宋体" w:hAnsi="宋体" w:cs="宋体"/>
          <w:b/>
          <w:kern w:val="0"/>
          <w:szCs w:val="21"/>
          <w:lang w:val="en-US" w:eastAsia="zh-CN"/>
        </w:rPr>
        <w:t>16</w:t>
      </w:r>
      <w:r>
        <w:rPr>
          <w:rFonts w:hint="eastAsia" w:ascii="宋体" w:hAnsi="宋体" w:cs="宋体"/>
          <w:b/>
          <w:kern w:val="0"/>
          <w:szCs w:val="21"/>
        </w:rPr>
        <w:t>0000元（含税）</w:t>
      </w:r>
    </w:p>
    <w:p>
      <w:pPr>
        <w:widowControl/>
        <w:spacing w:line="500" w:lineRule="exact"/>
        <w:ind w:firstLine="422" w:firstLineChars="200"/>
        <w:rPr>
          <w:rFonts w:hint="eastAsia" w:ascii="宋体" w:hAnsi="宋体" w:cs="宋体"/>
          <w:b/>
          <w:kern w:val="0"/>
          <w:szCs w:val="21"/>
        </w:rPr>
      </w:pPr>
      <w:r>
        <w:rPr>
          <w:rFonts w:hint="eastAsia" w:ascii="宋体" w:hAnsi="宋体" w:cs="宋体"/>
          <w:b/>
          <w:kern w:val="0"/>
          <w:szCs w:val="21"/>
        </w:rPr>
        <w:t>三、项目概况</w:t>
      </w:r>
    </w:p>
    <w:p>
      <w:pPr>
        <w:widowControl/>
        <w:spacing w:line="5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长沙市征地补偿安置若干规定》已于2026年1月1日起施行，《长沙市集体土地征收补偿安置办法》（长政发〔2026〕3号）于2026年1月22日正式施行。《长沙市集体土地征收补偿安置办法》（长政发〔2026〕3号）第四十四条提出：“区县（市）人民政府，可以依照职责和法律法规授权制定有关集体土地征收补偿安置的实施细则或者补充规定，并按规定报市人民政府批准或备案。” 我区原有配套政策需严格对照上位法规进行全面更新完善，确保全区征拆政策体系合法合规、上下统一、衔接顺畅。</w:t>
      </w:r>
    </w:p>
    <w:p>
      <w:pPr>
        <w:widowControl/>
        <w:spacing w:line="500" w:lineRule="exact"/>
        <w:ind w:firstLine="420" w:firstLineChars="200"/>
        <w:rPr>
          <w:rFonts w:hint="eastAsia" w:ascii="宋体" w:hAnsi="宋体" w:cs="宋体"/>
          <w:bCs/>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为了落实上级政策，规范我区农民集体所有土地征收补偿安置工作，维护被征地的农村集体经济组织及其成员和其他利害关系人的合法权益，根据《中华人民共和国土地管理法》《中华人民共和国农村集体经济组织法》《长沙市征地补偿安置若干规定》《长沙市集体土地征收补偿安置办法》（长政发〔2026〕3号）等规定，结合望城区实际，我区需制定出台《望城区实施&lt;长沙市集体土地征收补偿安置办法&gt;细则》（以下简称《实施细则》），</w:t>
      </w:r>
      <w:r>
        <w:rPr>
          <w:rFonts w:hint="eastAsia" w:ascii="宋体" w:hAnsi="宋体" w:cs="宋体"/>
          <w:bCs/>
          <w:color w:val="000000" w:themeColor="text1"/>
          <w:kern w:val="0"/>
          <w:szCs w:val="21"/>
          <w14:textFill>
            <w14:solidFill>
              <w14:schemeClr w14:val="tx1"/>
            </w14:solidFill>
          </w14:textFill>
        </w:rPr>
        <w:t>开展实施细则制定的社会稳定风险评估工作。</w:t>
      </w:r>
    </w:p>
    <w:p>
      <w:pPr>
        <w:widowControl/>
        <w:spacing w:line="500" w:lineRule="exact"/>
        <w:ind w:firstLine="422" w:firstLineChars="200"/>
        <w:rPr>
          <w:rFonts w:hint="eastAsia" w:ascii="宋体" w:hAnsi="宋体" w:cs="宋体"/>
          <w:b/>
          <w:color w:val="000000" w:themeColor="text1"/>
          <w:kern w:val="0"/>
          <w:szCs w:val="21"/>
          <w14:textFill>
            <w14:solidFill>
              <w14:schemeClr w14:val="tx1"/>
            </w14:solidFill>
          </w14:textFill>
        </w:rPr>
      </w:pPr>
      <w:r>
        <w:rPr>
          <w:rFonts w:hint="eastAsia" w:ascii="宋体" w:hAnsi="宋体" w:cs="宋体"/>
          <w:b/>
          <w:color w:val="000000" w:themeColor="text1"/>
          <w:kern w:val="0"/>
          <w:szCs w:val="21"/>
          <w14:textFill>
            <w14:solidFill>
              <w14:schemeClr w14:val="tx1"/>
            </w14:solidFill>
          </w14:textFill>
        </w:rPr>
        <w:t>四、相关法律、标准和依据</w:t>
      </w:r>
    </w:p>
    <w:p>
      <w:pPr>
        <w:widowControl/>
        <w:spacing w:line="5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1.《中华人民共和国土地管理法》（2019年修正）；</w:t>
      </w:r>
    </w:p>
    <w:p>
      <w:pPr>
        <w:widowControl/>
        <w:spacing w:line="5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2.《中华人民共和国土地管理法实施条例》（2021年修订）；</w:t>
      </w:r>
    </w:p>
    <w:p>
      <w:pPr>
        <w:widowControl/>
        <w:spacing w:line="5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3.《中华人民共和国农村集体经济组织法》；</w:t>
      </w:r>
    </w:p>
    <w:p>
      <w:pPr>
        <w:widowControl/>
        <w:spacing w:line="500" w:lineRule="exact"/>
        <w:ind w:firstLine="420" w:firstLineChars="200"/>
      </w:pPr>
      <w:r>
        <w:rPr>
          <w:rFonts w:hint="eastAsia"/>
        </w:rPr>
        <w:t>4.</w:t>
      </w:r>
      <w:r>
        <w:t>《关于加强新形势下重大决策社会稳定风险评估机制建设的意见》（中办发</w:t>
      </w:r>
      <w:r>
        <w:rPr>
          <w:rFonts w:ascii="Times New Roman" w:hAnsi="Times New Roman"/>
        </w:rPr>
        <w:t>〔2021〕11</w:t>
      </w:r>
      <w:r>
        <w:t>号）</w:t>
      </w:r>
      <w:r>
        <w:rPr>
          <w:rFonts w:hint="eastAsia"/>
        </w:rPr>
        <w:t>；</w:t>
      </w:r>
    </w:p>
    <w:p>
      <w:pPr>
        <w:widowControl/>
        <w:spacing w:line="5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5.《湖南省规范性文件管理办法》（湖南省人民政府令第3</w:t>
      </w:r>
      <w:r>
        <w:rPr>
          <w:rFonts w:hint="eastAsia" w:ascii="宋体" w:hAnsi="宋体" w:cs="宋体"/>
          <w:color w:val="000000" w:themeColor="text1"/>
          <w:szCs w:val="21"/>
          <w:lang w:val="en-US" w:eastAsia="zh-CN"/>
          <w14:textFill>
            <w14:solidFill>
              <w14:schemeClr w14:val="tx1"/>
            </w14:solidFill>
          </w14:textFill>
        </w:rPr>
        <w:t>27</w:t>
      </w:r>
      <w:r>
        <w:rPr>
          <w:rFonts w:hint="eastAsia" w:ascii="宋体" w:hAnsi="宋体" w:cs="宋体"/>
          <w:color w:val="000000" w:themeColor="text1"/>
          <w:szCs w:val="21"/>
          <w14:textFill>
            <w14:solidFill>
              <w14:schemeClr w14:val="tx1"/>
            </w14:solidFill>
          </w14:textFill>
        </w:rPr>
        <w:t>号）；</w:t>
      </w:r>
    </w:p>
    <w:p>
      <w:pPr>
        <w:widowControl/>
        <w:spacing w:line="5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6.《长沙市征地补偿安置若干规定》；</w:t>
      </w:r>
    </w:p>
    <w:p>
      <w:pPr>
        <w:widowControl/>
        <w:spacing w:line="5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7.《长沙市集体土地征收补偿安置办法》（长政发〔2026〕3号）；</w:t>
      </w:r>
    </w:p>
    <w:p>
      <w:pPr>
        <w:widowControl/>
        <w:spacing w:line="500" w:lineRule="exact"/>
        <w:ind w:firstLine="420" w:firstLineChars="200"/>
      </w:pPr>
      <w:r>
        <w:rPr>
          <w:rFonts w:hint="eastAsia"/>
        </w:rPr>
        <w:t>8.</w:t>
      </w:r>
      <w:r>
        <w:t>《关于加强新形势下重大决策社会稳定风险评估工作的实施意见》（湘办发〔</w:t>
      </w:r>
      <w:r>
        <w:rPr>
          <w:rFonts w:ascii="Times New Roman" w:hAnsi="Times New Roman"/>
        </w:rPr>
        <w:t>2021〕27</w:t>
      </w:r>
      <w:r>
        <w:t>号）</w:t>
      </w:r>
      <w:r>
        <w:rPr>
          <w:rFonts w:hint="eastAsia"/>
        </w:rPr>
        <w:t>；</w:t>
      </w:r>
    </w:p>
    <w:p>
      <w:pPr>
        <w:widowControl/>
        <w:spacing w:line="500" w:lineRule="exact"/>
        <w:ind w:firstLine="420" w:firstLineChars="200"/>
      </w:pPr>
      <w:r>
        <w:rPr>
          <w:rFonts w:hint="eastAsia"/>
        </w:rPr>
        <w:t>9.《长沙市人民政府关于印发长沙市人民政府重大行政决策程序实施办法的通知》（长政发〔2021〕11号）；</w:t>
      </w:r>
    </w:p>
    <w:p>
      <w:pPr>
        <w:widowControl/>
        <w:spacing w:line="5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rPr>
        <w:t>10.</w:t>
      </w:r>
      <w:r>
        <w:t>《长沙市重大决策社会稳定风险评估工作实施细则》（长办发</w:t>
      </w:r>
      <w:r>
        <w:rPr>
          <w:rFonts w:ascii="Times New Roman" w:hAnsi="Times New Roman"/>
        </w:rPr>
        <w:t>〔2022〕11</w:t>
      </w:r>
      <w:r>
        <w:t>号）</w:t>
      </w:r>
      <w:r>
        <w:rPr>
          <w:rFonts w:hint="eastAsia"/>
        </w:rPr>
        <w:t>；</w:t>
      </w:r>
    </w:p>
    <w:p>
      <w:pPr>
        <w:widowControl/>
        <w:spacing w:line="5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11.其他法律法规、政策文件及技术标准依据。</w:t>
      </w:r>
    </w:p>
    <w:p>
      <w:pPr>
        <w:tabs>
          <w:tab w:val="left" w:pos="1380"/>
        </w:tabs>
        <w:adjustRightInd w:val="0"/>
        <w:snapToGrid w:val="0"/>
        <w:spacing w:line="500" w:lineRule="exact"/>
        <w:ind w:firstLine="422" w:firstLineChars="200"/>
        <w:rPr>
          <w:rFonts w:hint="eastAsia" w:ascii="宋体" w:hAnsi="宋体" w:cs="宋体"/>
          <w:b/>
          <w:bCs/>
          <w:color w:val="000000" w:themeColor="text1"/>
          <w:kern w:val="32"/>
          <w:szCs w:val="21"/>
          <w14:textFill>
            <w14:solidFill>
              <w14:schemeClr w14:val="tx1"/>
            </w14:solidFill>
          </w14:textFill>
        </w:rPr>
      </w:pPr>
      <w:r>
        <w:rPr>
          <w:rFonts w:hint="eastAsia" w:ascii="宋体" w:hAnsi="宋体" w:cs="宋体"/>
          <w:b/>
          <w:bCs/>
          <w:color w:val="000000" w:themeColor="text1"/>
          <w:kern w:val="32"/>
          <w:szCs w:val="21"/>
          <w14:textFill>
            <w14:solidFill>
              <w14:schemeClr w14:val="tx1"/>
            </w14:solidFill>
          </w14:textFill>
        </w:rPr>
        <w:t>五、技术服务工作内容</w:t>
      </w:r>
    </w:p>
    <w:p>
      <w:pPr>
        <w:widowControl/>
        <w:spacing w:line="500" w:lineRule="exact"/>
        <w:ind w:firstLine="420" w:firstLineChars="200"/>
        <w:rPr>
          <w:rFonts w:hint="eastAsia" w:ascii="宋体" w:hAnsi="宋体" w:cs="宋体"/>
          <w:color w:val="000000" w:themeColor="text1"/>
          <w:kern w:val="32"/>
          <w:szCs w:val="21"/>
          <w14:textFill>
            <w14:solidFill>
              <w14:schemeClr w14:val="tx1"/>
            </w14:solidFill>
          </w14:textFill>
        </w:rPr>
      </w:pPr>
      <w:r>
        <w:rPr>
          <w:rFonts w:hint="eastAsia" w:ascii="宋体" w:hAnsi="宋体" w:cs="宋体"/>
          <w:color w:val="000000" w:themeColor="text1"/>
          <w:kern w:val="32"/>
          <w:szCs w:val="21"/>
          <w14:textFill>
            <w14:solidFill>
              <w14:schemeClr w14:val="tx1"/>
            </w14:solidFill>
          </w14:textFill>
        </w:rPr>
        <w:t>本项目技术服务工作内容包括但不限于以下内容：</w:t>
      </w:r>
    </w:p>
    <w:p>
      <w:pPr>
        <w:tabs>
          <w:tab w:val="left" w:pos="1380"/>
        </w:tabs>
        <w:adjustRightInd w:val="0"/>
        <w:snapToGrid w:val="0"/>
        <w:spacing w:line="500" w:lineRule="exact"/>
        <w:ind w:firstLine="420" w:firstLineChars="200"/>
        <w:rPr>
          <w:rFonts w:hint="eastAsia" w:ascii="宋体" w:hAnsi="宋体" w:cs="宋体"/>
          <w:color w:val="000000" w:themeColor="text1"/>
          <w:kern w:val="32"/>
          <w:szCs w:val="21"/>
          <w14:textFill>
            <w14:solidFill>
              <w14:schemeClr w14:val="tx1"/>
            </w14:solidFill>
          </w14:textFill>
        </w:rPr>
      </w:pPr>
      <w:r>
        <w:rPr>
          <w:rFonts w:hint="eastAsia" w:ascii="宋体" w:hAnsi="宋体" w:cs="宋体"/>
          <w:color w:val="000000" w:themeColor="text1"/>
          <w:kern w:val="32"/>
          <w:szCs w:val="21"/>
          <w14:textFill>
            <w14:solidFill>
              <w14:schemeClr w14:val="tx1"/>
            </w14:solidFill>
          </w14:textFill>
        </w:rPr>
        <w:t>1.协助完成《望城区实施&lt;长沙市集体土地征收补偿安置办法&gt;细则》制定工作；</w:t>
      </w:r>
    </w:p>
    <w:p>
      <w:pPr>
        <w:tabs>
          <w:tab w:val="left" w:pos="1380"/>
        </w:tabs>
        <w:adjustRightInd w:val="0"/>
        <w:snapToGrid w:val="0"/>
        <w:spacing w:line="500" w:lineRule="exact"/>
        <w:ind w:firstLine="420" w:firstLineChars="200"/>
        <w:rPr>
          <w:rFonts w:hint="eastAsia" w:ascii="宋体" w:hAnsi="宋体" w:cs="宋体"/>
          <w:color w:val="000000" w:themeColor="text1"/>
          <w:kern w:val="32"/>
          <w:szCs w:val="21"/>
          <w14:textFill>
            <w14:solidFill>
              <w14:schemeClr w14:val="tx1"/>
            </w14:solidFill>
          </w14:textFill>
        </w:rPr>
      </w:pPr>
      <w:r>
        <w:rPr>
          <w:rFonts w:hint="eastAsia" w:ascii="宋体" w:hAnsi="宋体" w:cs="宋体"/>
          <w:color w:val="000000" w:themeColor="text1"/>
          <w:kern w:val="32"/>
          <w:szCs w:val="21"/>
          <w14:textFill>
            <w14:solidFill>
              <w14:schemeClr w14:val="tx1"/>
            </w14:solidFill>
          </w14:textFill>
        </w:rPr>
        <w:t>2.通过问卷调查等方式，完成《望城区实施&lt;长沙市集体土地征收补偿安置办法&gt;细则》社会稳定风险评估报告编制工作；</w:t>
      </w:r>
    </w:p>
    <w:p>
      <w:pPr>
        <w:tabs>
          <w:tab w:val="left" w:pos="1380"/>
        </w:tabs>
        <w:adjustRightInd w:val="0"/>
        <w:snapToGrid w:val="0"/>
        <w:spacing w:line="500" w:lineRule="exact"/>
        <w:ind w:firstLine="420" w:firstLineChars="200"/>
        <w:rPr>
          <w:rFonts w:hint="eastAsia" w:ascii="宋体" w:hAnsi="宋体" w:cs="宋体"/>
          <w:color w:val="000000" w:themeColor="text1"/>
          <w:kern w:val="32"/>
          <w:szCs w:val="21"/>
          <w14:textFill>
            <w14:solidFill>
              <w14:schemeClr w14:val="tx1"/>
            </w14:solidFill>
          </w14:textFill>
        </w:rPr>
      </w:pPr>
      <w:r>
        <w:rPr>
          <w:rFonts w:hint="eastAsia" w:ascii="宋体" w:hAnsi="宋体" w:cs="宋体"/>
          <w:color w:val="000000" w:themeColor="text1"/>
          <w:kern w:val="32"/>
          <w:szCs w:val="21"/>
          <w14:textFill>
            <w14:solidFill>
              <w14:schemeClr w14:val="tx1"/>
            </w14:solidFill>
          </w14:textFill>
        </w:rPr>
        <w:t>3.根据实施细则制定计划表跟进政策出台做好服务工作。</w:t>
      </w:r>
    </w:p>
    <w:p>
      <w:pPr>
        <w:tabs>
          <w:tab w:val="left" w:pos="1380"/>
        </w:tabs>
        <w:adjustRightInd w:val="0"/>
        <w:snapToGrid w:val="0"/>
        <w:spacing w:line="500" w:lineRule="exact"/>
        <w:ind w:firstLine="422" w:firstLineChars="200"/>
        <w:rPr>
          <w:rFonts w:hint="eastAsia" w:ascii="宋体" w:hAnsi="宋体" w:cs="宋体"/>
          <w:b/>
          <w:bCs/>
          <w:color w:val="000000" w:themeColor="text1"/>
          <w:kern w:val="32"/>
          <w:szCs w:val="21"/>
          <w14:textFill>
            <w14:solidFill>
              <w14:schemeClr w14:val="tx1"/>
            </w14:solidFill>
          </w14:textFill>
        </w:rPr>
      </w:pPr>
      <w:r>
        <w:rPr>
          <w:rFonts w:hint="eastAsia" w:ascii="宋体" w:hAnsi="宋体" w:cs="宋体"/>
          <w:b/>
          <w:bCs/>
          <w:color w:val="000000" w:themeColor="text1"/>
          <w:kern w:val="32"/>
          <w:szCs w:val="21"/>
          <w14:textFill>
            <w14:solidFill>
              <w14:schemeClr w14:val="tx1"/>
            </w14:solidFill>
          </w14:textFill>
        </w:rPr>
        <w:t>六、成果资料</w:t>
      </w:r>
    </w:p>
    <w:p>
      <w:pPr>
        <w:tabs>
          <w:tab w:val="left" w:pos="1380"/>
        </w:tabs>
        <w:adjustRightInd w:val="0"/>
        <w:snapToGrid w:val="0"/>
        <w:spacing w:line="500" w:lineRule="exact"/>
        <w:ind w:firstLine="420" w:firstLineChars="200"/>
        <w:rPr>
          <w:rFonts w:hint="eastAsia" w:ascii="宋体" w:hAnsi="宋体" w:cs="宋体"/>
          <w:color w:val="000000" w:themeColor="text1"/>
          <w:kern w:val="32"/>
          <w:szCs w:val="21"/>
          <w14:textFill>
            <w14:solidFill>
              <w14:schemeClr w14:val="tx1"/>
            </w14:solidFill>
          </w14:textFill>
        </w:rPr>
      </w:pPr>
      <w:r>
        <w:rPr>
          <w:rFonts w:hint="eastAsia" w:ascii="宋体" w:hAnsi="宋体" w:cs="宋体"/>
          <w:color w:val="000000" w:themeColor="text1"/>
          <w:kern w:val="32"/>
          <w:szCs w:val="21"/>
          <w14:textFill>
            <w14:solidFill>
              <w14:schemeClr w14:val="tx1"/>
            </w14:solidFill>
          </w14:textFill>
        </w:rPr>
        <w:t>1.《望城区实施&lt;长沙市集体土地征收补偿安置办法&gt;细则》，纸质文件1套，电子文档1套；</w:t>
      </w:r>
    </w:p>
    <w:p>
      <w:pPr>
        <w:tabs>
          <w:tab w:val="left" w:pos="1380"/>
        </w:tabs>
        <w:adjustRightInd w:val="0"/>
        <w:snapToGrid w:val="0"/>
        <w:spacing w:line="500" w:lineRule="exact"/>
        <w:ind w:firstLine="420" w:firstLineChars="200"/>
        <w:rPr>
          <w:rFonts w:hint="eastAsia" w:ascii="宋体" w:hAnsi="宋体" w:cs="宋体"/>
          <w:color w:val="000000" w:themeColor="text1"/>
          <w:kern w:val="32"/>
          <w:szCs w:val="21"/>
          <w14:textFill>
            <w14:solidFill>
              <w14:schemeClr w14:val="tx1"/>
            </w14:solidFill>
          </w14:textFill>
        </w:rPr>
      </w:pPr>
      <w:r>
        <w:rPr>
          <w:rFonts w:hint="eastAsia" w:ascii="宋体" w:hAnsi="宋体" w:cs="宋体"/>
          <w:color w:val="000000" w:themeColor="text1"/>
          <w:kern w:val="32"/>
          <w:szCs w:val="21"/>
          <w14:textFill>
            <w14:solidFill>
              <w14:schemeClr w14:val="tx1"/>
            </w14:solidFill>
          </w14:textFill>
        </w:rPr>
        <w:t>2.《望城区实施&lt;长沙市集体土地征收补偿安置办法&gt;细则》制定社会稳定风险评估报告，纸质文件1套，电子文档1套；</w:t>
      </w:r>
    </w:p>
    <w:p>
      <w:pPr>
        <w:tabs>
          <w:tab w:val="left" w:pos="1380"/>
        </w:tabs>
        <w:adjustRightInd w:val="0"/>
        <w:snapToGrid w:val="0"/>
        <w:spacing w:line="500" w:lineRule="exact"/>
        <w:ind w:firstLine="422" w:firstLineChars="200"/>
        <w:rPr>
          <w:rFonts w:hint="eastAsia" w:ascii="宋体" w:hAnsi="宋体" w:cs="宋体"/>
          <w:b/>
          <w:bCs/>
          <w:color w:val="000000" w:themeColor="text1"/>
          <w:kern w:val="32"/>
          <w:szCs w:val="21"/>
          <w14:textFill>
            <w14:solidFill>
              <w14:schemeClr w14:val="tx1"/>
            </w14:solidFill>
          </w14:textFill>
        </w:rPr>
      </w:pPr>
      <w:r>
        <w:rPr>
          <w:rFonts w:hint="eastAsia" w:ascii="宋体" w:hAnsi="宋体" w:cs="宋体"/>
          <w:b/>
          <w:bCs/>
          <w:color w:val="000000" w:themeColor="text1"/>
          <w:kern w:val="32"/>
          <w:szCs w:val="21"/>
          <w14:textFill>
            <w14:solidFill>
              <w14:schemeClr w14:val="tx1"/>
            </w14:solidFill>
          </w14:textFill>
        </w:rPr>
        <w:t>七、验收要求</w:t>
      </w:r>
    </w:p>
    <w:p>
      <w:pPr>
        <w:pStyle w:val="16"/>
        <w:spacing w:line="500" w:lineRule="exact"/>
        <w:ind w:firstLine="420" w:firstLineChars="20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1.本项目依据长沙市自然资源和规划局望城分局印发的《采购管理内部控制和履约验收制度》（2024修订版）（望资规政发〔2024〕10号）按程序进行验收</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2"/>
          <w:szCs w:val="22"/>
        </w:rPr>
        <w:t>验收报告作为申请付款的凭证之一</w:t>
      </w:r>
      <w:r>
        <w:rPr>
          <w:rFonts w:hint="eastAsia" w:ascii="宋体" w:hAnsi="宋体" w:eastAsia="宋体" w:cs="宋体"/>
          <w:color w:val="000000" w:themeColor="text1"/>
          <w14:textFill>
            <w14:solidFill>
              <w14:schemeClr w14:val="tx1"/>
            </w14:solidFill>
          </w14:textFill>
        </w:rPr>
        <w:t>。</w:t>
      </w:r>
    </w:p>
    <w:p>
      <w:pPr>
        <w:pStyle w:val="16"/>
        <w:spacing w:line="500" w:lineRule="exact"/>
        <w:ind w:firstLine="420" w:firstLineChars="20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2.技术服务质量要求满足现行国家技术标准、规范的要求，达到长沙市自然资源和规划局望城分局验收要求。</w:t>
      </w:r>
    </w:p>
    <w:p>
      <w:pPr>
        <w:pStyle w:val="16"/>
        <w:spacing w:line="500" w:lineRule="exact"/>
        <w:ind w:firstLine="420" w:firstLineChars="20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3.项目验收不合格，由</w:t>
      </w:r>
      <w:r>
        <w:rPr>
          <w:rFonts w:hint="eastAsia" w:ascii="宋体" w:hAnsi="宋体" w:eastAsia="宋体" w:cs="宋体"/>
          <w:color w:val="000000" w:themeColor="text1"/>
          <w:sz w:val="21"/>
          <w:szCs w:val="21"/>
          <w:lang w:eastAsia="zh-CN"/>
          <w14:textFill>
            <w14:solidFill>
              <w14:schemeClr w14:val="tx1"/>
            </w14:solidFill>
          </w14:textFill>
        </w:rPr>
        <w:t>成交供应商</w:t>
      </w:r>
      <w:r>
        <w:rPr>
          <w:rFonts w:hint="eastAsia" w:ascii="宋体" w:hAnsi="宋体" w:eastAsia="宋体" w:cs="宋体"/>
          <w:color w:val="000000" w:themeColor="text1"/>
          <w:sz w:val="21"/>
          <w:szCs w:val="21"/>
          <w14:textFill>
            <w14:solidFill>
              <w14:schemeClr w14:val="tx1"/>
            </w14:solidFill>
          </w14:textFill>
        </w:rPr>
        <w:t>返工直至合格，有关返工、再行验收，以及给采购人造成的损失等费用由</w:t>
      </w:r>
      <w:r>
        <w:rPr>
          <w:rFonts w:hint="eastAsia" w:ascii="宋体" w:hAnsi="宋体" w:eastAsia="宋体" w:cs="宋体"/>
          <w:color w:val="000000" w:themeColor="text1"/>
          <w:sz w:val="21"/>
          <w:szCs w:val="21"/>
          <w:lang w:eastAsia="zh-CN"/>
          <w14:textFill>
            <w14:solidFill>
              <w14:schemeClr w14:val="tx1"/>
            </w14:solidFill>
          </w14:textFill>
        </w:rPr>
        <w:t>成交供应商</w:t>
      </w:r>
      <w:r>
        <w:rPr>
          <w:rFonts w:hint="eastAsia" w:ascii="宋体" w:hAnsi="宋体" w:eastAsia="宋体" w:cs="宋体"/>
          <w:color w:val="000000" w:themeColor="text1"/>
          <w:sz w:val="21"/>
          <w:szCs w:val="21"/>
          <w14:textFill>
            <w14:solidFill>
              <w14:schemeClr w14:val="tx1"/>
            </w14:solidFill>
          </w14:textFill>
        </w:rPr>
        <w:t>承担。验收不合格的，成交供应商应在10个工作日内完成整改并申请复验；逾期未整改的，采购人有权扣减合同总价款的10％；连续三次验收不合格的，采购人有权不支付尾款。</w:t>
      </w:r>
    </w:p>
    <w:p>
      <w:pPr>
        <w:widowControl/>
        <w:spacing w:line="500" w:lineRule="exact"/>
        <w:ind w:firstLine="420" w:firstLineChars="200"/>
        <w:rPr>
          <w:rFonts w:hint="eastAsia" w:ascii="宋体" w:hAnsi="宋体" w:cs="宋体"/>
          <w:color w:val="000000" w:themeColor="text1"/>
          <w:szCs w:val="21"/>
          <w14:textFill>
            <w14:solidFill>
              <w14:schemeClr w14:val="tx1"/>
            </w14:solidFill>
          </w14:textFill>
        </w:rPr>
      </w:pPr>
      <w:bookmarkStart w:id="1" w:name="_Toc354742745"/>
      <w:bookmarkStart w:id="2" w:name="OLE_LINK32"/>
      <w:bookmarkStart w:id="3" w:name="_Toc257382245"/>
      <w:bookmarkStart w:id="4" w:name="_Toc352258689"/>
      <w:r>
        <w:rPr>
          <w:rFonts w:hint="eastAsia" w:ascii="宋体" w:hAnsi="宋体" w:cs="宋体"/>
          <w:color w:val="000000" w:themeColor="text1"/>
          <w:szCs w:val="21"/>
          <w14:textFill>
            <w14:solidFill>
              <w14:schemeClr w14:val="tx1"/>
            </w14:solidFill>
          </w14:textFill>
        </w:rPr>
        <w:t>4.保密期限为永久。供应商应遵守保密要求，不得将项目执行过程中获取的信息泄露给第三方人员，否则采购人有权强制解除合同，并按相关规定追究责任、赔偿损失。</w:t>
      </w:r>
    </w:p>
    <w:p>
      <w:pPr>
        <w:widowControl/>
        <w:spacing w:line="500" w:lineRule="exact"/>
        <w:ind w:firstLine="422" w:firstLineChars="200"/>
        <w:rPr>
          <w:rFonts w:hint="eastAsia" w:ascii="宋体" w:hAnsi="宋体" w:cs="宋体"/>
          <w:b/>
          <w:color w:val="000000" w:themeColor="text1"/>
          <w:kern w:val="0"/>
          <w:szCs w:val="21"/>
          <w14:textFill>
            <w14:solidFill>
              <w14:schemeClr w14:val="tx1"/>
            </w14:solidFill>
          </w14:textFill>
        </w:rPr>
      </w:pPr>
      <w:r>
        <w:rPr>
          <w:rFonts w:hint="eastAsia" w:ascii="宋体" w:hAnsi="宋体" w:cs="宋体"/>
          <w:b/>
          <w:color w:val="000000" w:themeColor="text1"/>
          <w:kern w:val="0"/>
          <w:szCs w:val="21"/>
          <w14:textFill>
            <w14:solidFill>
              <w14:schemeClr w14:val="tx1"/>
            </w14:solidFill>
          </w14:textFill>
        </w:rPr>
        <w:t>八、其他要求及说明</w:t>
      </w:r>
    </w:p>
    <w:bookmarkEnd w:id="1"/>
    <w:bookmarkEnd w:id="2"/>
    <w:bookmarkEnd w:id="3"/>
    <w:bookmarkEnd w:id="4"/>
    <w:p>
      <w:pPr>
        <w:tabs>
          <w:tab w:val="left" w:pos="1380"/>
        </w:tabs>
        <w:adjustRightInd w:val="0"/>
        <w:snapToGrid w:val="0"/>
        <w:spacing w:line="500" w:lineRule="exact"/>
        <w:ind w:firstLine="420" w:firstLineChars="200"/>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1.服务期限：从合同签订之日起，至望城区人民政府发布实施《望城区实施&lt;长沙市集体土地征收补偿安置办法&gt;细则》时止。</w:t>
      </w:r>
    </w:p>
    <w:p>
      <w:pPr>
        <w:tabs>
          <w:tab w:val="left" w:pos="1380"/>
        </w:tabs>
        <w:adjustRightInd w:val="0"/>
        <w:snapToGrid w:val="0"/>
        <w:spacing w:line="500" w:lineRule="exact"/>
        <w:ind w:firstLine="420" w:firstLineChars="200"/>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2.服务地点：采购人指定地点</w:t>
      </w:r>
    </w:p>
    <w:p>
      <w:pPr>
        <w:pStyle w:val="16"/>
        <w:spacing w:line="500" w:lineRule="exact"/>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 xml:space="preserve">    3.履行方式：</w:t>
      </w:r>
      <w:r>
        <w:rPr>
          <w:rFonts w:hint="eastAsia" w:ascii="宋体" w:hAnsi="宋体" w:eastAsia="宋体" w:cs="宋体"/>
          <w:color w:val="000000" w:themeColor="text1"/>
          <w:kern w:val="32"/>
          <w:sz w:val="21"/>
          <w:szCs w:val="21"/>
          <w14:textFill>
            <w14:solidFill>
              <w14:schemeClr w14:val="tx1"/>
            </w14:solidFill>
          </w14:textFill>
        </w:rPr>
        <w:t>按采购人要求，并出具相应报告及资料。</w:t>
      </w:r>
    </w:p>
    <w:p>
      <w:pPr>
        <w:tabs>
          <w:tab w:val="left" w:pos="1380"/>
        </w:tabs>
        <w:adjustRightInd w:val="0"/>
        <w:snapToGrid w:val="0"/>
        <w:spacing w:line="500" w:lineRule="exact"/>
        <w:ind w:firstLine="420" w:firstLineChars="200"/>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4.付款人：长沙市自然资源和规划局望城分局（国库集中支付）</w:t>
      </w:r>
    </w:p>
    <w:p>
      <w:pPr>
        <w:widowControl/>
        <w:spacing w:line="500" w:lineRule="exact"/>
        <w:ind w:firstLine="420" w:firstLineChars="200"/>
        <w:jc w:val="left"/>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5.支付方式：签订合同后</w:t>
      </w:r>
      <w:bookmarkStart w:id="5" w:name="OLE_LINK1"/>
      <w:r>
        <w:rPr>
          <w:rFonts w:hint="eastAsia" w:ascii="宋体" w:hAnsi="宋体" w:cs="宋体"/>
          <w:color w:val="000000" w:themeColor="text1"/>
          <w:kern w:val="0"/>
          <w:szCs w:val="21"/>
          <w14:textFill>
            <w14:solidFill>
              <w14:schemeClr w14:val="tx1"/>
            </w14:solidFill>
          </w14:textFill>
        </w:rPr>
        <w:t>按供应商开具的正式发票</w:t>
      </w:r>
      <w:bookmarkEnd w:id="5"/>
      <w:r>
        <w:rPr>
          <w:rFonts w:hint="eastAsia" w:ascii="宋体" w:hAnsi="宋体" w:cs="宋体"/>
          <w:color w:val="000000" w:themeColor="text1"/>
          <w:kern w:val="0"/>
          <w:szCs w:val="21"/>
          <w14:textFill>
            <w14:solidFill>
              <w14:schemeClr w14:val="tx1"/>
            </w14:solidFill>
          </w14:textFill>
        </w:rPr>
        <w:t>支付合同金额的30%，完成项目验收后凭供应商开具的正式发票和验收报告支付合同金额的70%。</w:t>
      </w:r>
    </w:p>
    <w:p>
      <w:pPr>
        <w:widowControl/>
        <w:spacing w:line="500" w:lineRule="exact"/>
        <w:ind w:firstLine="420" w:firstLineChars="200"/>
        <w:rPr>
          <w:rFonts w:hint="eastAsia" w:ascii="宋体" w:hAnsi="宋体" w:cs="宋体"/>
          <w:bCs/>
          <w:szCs w:val="21"/>
        </w:rPr>
      </w:pPr>
      <w:r>
        <w:rPr>
          <w:rFonts w:hint="eastAsia" w:ascii="宋体" w:hAnsi="宋体" w:cs="宋体"/>
          <w:bCs/>
          <w:kern w:val="0"/>
          <w:szCs w:val="21"/>
        </w:rPr>
        <w:t>6.本项目全部及部分采购内容严禁转包，若采购人在合同履行阶段发现</w:t>
      </w:r>
      <w:r>
        <w:rPr>
          <w:rFonts w:hint="eastAsia" w:ascii="宋体" w:hAnsi="宋体" w:cs="宋体"/>
          <w:bCs/>
          <w:kern w:val="0"/>
          <w:szCs w:val="21"/>
          <w:lang w:eastAsia="zh-CN"/>
        </w:rPr>
        <w:t>成交供应商</w:t>
      </w:r>
      <w:r>
        <w:rPr>
          <w:rFonts w:hint="eastAsia" w:ascii="宋体" w:hAnsi="宋体" w:cs="宋体"/>
          <w:bCs/>
          <w:kern w:val="0"/>
          <w:szCs w:val="21"/>
        </w:rPr>
        <w:t>存在转包的情形，采购人有权终止合同并追究其相应损失。</w:t>
      </w:r>
    </w:p>
    <w:p>
      <w:pPr>
        <w:spacing w:line="500" w:lineRule="exact"/>
        <w:ind w:firstLine="420" w:firstLineChars="200"/>
        <w:rPr>
          <w:rFonts w:hint="eastAsia" w:ascii="宋体" w:hAnsi="宋体" w:cs="宋体"/>
          <w:szCs w:val="21"/>
        </w:rPr>
      </w:pPr>
      <w:r>
        <w:rPr>
          <w:rFonts w:hint="eastAsia" w:ascii="宋体" w:hAnsi="宋体" w:cs="宋体"/>
          <w:szCs w:val="21"/>
        </w:rPr>
        <w:t>7.本项目采用费用包干方式，供应商应根据项目要求和现场情况报价，报价包含但不限于项目所需的设备及材料购置，以及差旅、食宿、培训、人工、管理、财务等所有费用，如一旦成交，在项目实施中出现任何遗漏，均由</w:t>
      </w:r>
      <w:r>
        <w:rPr>
          <w:rFonts w:hint="eastAsia" w:ascii="宋体" w:hAnsi="宋体" w:cs="宋体"/>
          <w:szCs w:val="21"/>
          <w:lang w:eastAsia="zh-CN"/>
        </w:rPr>
        <w:t>成交供应商</w:t>
      </w:r>
      <w:r>
        <w:rPr>
          <w:rFonts w:hint="eastAsia" w:ascii="宋体" w:hAnsi="宋体" w:cs="宋体"/>
          <w:szCs w:val="21"/>
        </w:rPr>
        <w:t>免费提供，采购人不再支付任何费用。</w:t>
      </w:r>
    </w:p>
    <w:p>
      <w:pPr>
        <w:spacing w:line="500" w:lineRule="exact"/>
        <w:ind w:firstLine="420" w:firstLineChars="200"/>
        <w:rPr>
          <w:rFonts w:hint="eastAsia" w:ascii="宋体" w:hAnsi="宋体" w:cs="宋体"/>
          <w:szCs w:val="21"/>
        </w:rPr>
      </w:pPr>
      <w:r>
        <w:rPr>
          <w:rFonts w:hint="eastAsia" w:ascii="宋体" w:hAnsi="宋体" w:cs="宋体"/>
          <w:szCs w:val="21"/>
        </w:rPr>
        <w:t>8.供应商在本合同服务期间需要承担全部的安全责任。若发生工伤、意外伤害或财产损失，由供应商负责处理且承担全部责任，采购人不承担任何责任。因供应商人员工作不当所造成的安全事故、引发的侵权纠纷、知识产权纠纷等相关责任与损失（包括直接经济损失、间接经济损失等）的，由供应商善后处理并承担全部责任。</w:t>
      </w:r>
    </w:p>
    <w:p>
      <w:pPr>
        <w:spacing w:line="500" w:lineRule="exact"/>
        <w:ind w:firstLine="420" w:firstLineChars="200"/>
        <w:rPr>
          <w:rFonts w:hint="eastAsia" w:ascii="宋体" w:hAnsi="宋体" w:cs="宋体"/>
          <w:szCs w:val="21"/>
        </w:rPr>
      </w:pPr>
      <w:r>
        <w:rPr>
          <w:rFonts w:hint="eastAsia" w:ascii="宋体" w:hAnsi="宋体" w:cs="宋体"/>
          <w:szCs w:val="21"/>
        </w:rPr>
        <w:t>9.本项目实施过程中产生的知识成果及知识产权归采购人所有，供应商保证其提交的成果不侵犯任何第三方知识产权，如发生侵权纠纷，由供应商承担全部赔偿责任及维权费用；若因此给采购人造成损失的，供应商应全额赔偿。</w:t>
      </w:r>
    </w:p>
    <w:p>
      <w:pPr>
        <w:spacing w:line="500" w:lineRule="exact"/>
        <w:ind w:firstLine="420" w:firstLineChars="200"/>
        <w:rPr>
          <w:rFonts w:hint="eastAsia" w:ascii="宋体" w:hAnsi="宋体" w:cs="宋体"/>
          <w:szCs w:val="21"/>
        </w:rPr>
      </w:pPr>
      <w:r>
        <w:rPr>
          <w:rFonts w:hint="eastAsia" w:ascii="宋体" w:hAnsi="宋体" w:cs="宋体"/>
          <w:szCs w:val="21"/>
        </w:rPr>
        <w:t>10.供应商在投标前，如需踏勘现场，有关费用自理，踏勘期间发生的意外自负。</w:t>
      </w:r>
    </w:p>
    <w:p>
      <w:pPr>
        <w:spacing w:line="500" w:lineRule="exact"/>
        <w:ind w:firstLine="422" w:firstLineChars="200"/>
        <w:rPr>
          <w:rFonts w:hint="eastAsia" w:ascii="宋体" w:hAnsi="宋体" w:cs="宋体"/>
          <w:b/>
          <w:bCs/>
          <w:szCs w:val="21"/>
        </w:rPr>
      </w:pPr>
      <w:r>
        <w:rPr>
          <w:rFonts w:hint="eastAsia" w:ascii="宋体" w:hAnsi="宋体" w:cs="宋体"/>
          <w:b/>
          <w:bCs/>
          <w:szCs w:val="21"/>
        </w:rPr>
        <w:t>对于上述项目要求供应商应在投标文件中进行响应。</w:t>
      </w:r>
    </w:p>
    <w:p>
      <w:pPr>
        <w:rPr>
          <w:sz w:val="20"/>
        </w:rPr>
      </w:pPr>
      <w:r>
        <w:rPr>
          <w:rFonts w:hint="eastAsia"/>
          <w:sz w:val="20"/>
        </w:rPr>
        <w:t xml:space="preserve"> </w:t>
      </w:r>
      <w:bookmarkEnd w:id="0"/>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adjustRightInd w:val="0"/>
        <w:snapToGrid w:val="0"/>
        <w:jc w:val="center"/>
        <w:rPr>
          <w:rFonts w:hint="eastAsia" w:ascii="宋体" w:hAnsi="宋体"/>
          <w:b/>
          <w:sz w:val="28"/>
          <w:szCs w:val="28"/>
        </w:rPr>
      </w:pPr>
      <w:r>
        <w:rPr>
          <w:rFonts w:hint="eastAsia" w:ascii="宋体" w:hAnsi="宋体"/>
          <w:b/>
          <w:sz w:val="28"/>
          <w:szCs w:val="28"/>
        </w:rPr>
        <w:t>评审因素和标准</w:t>
      </w:r>
    </w:p>
    <w:tbl>
      <w:tblPr>
        <w:tblStyle w:val="10"/>
        <w:tblW w:w="9526" w:type="dxa"/>
        <w:tblInd w:w="108"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643"/>
        <w:gridCol w:w="1070"/>
        <w:gridCol w:w="1152"/>
        <w:gridCol w:w="6661"/>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643" w:type="dxa"/>
            <w:vAlign w:val="center"/>
          </w:tcPr>
          <w:p>
            <w:pPr>
              <w:adjustRightInd w:val="0"/>
              <w:snapToGrid w:val="0"/>
              <w:spacing w:line="360" w:lineRule="auto"/>
              <w:ind w:left="628" w:leftChars="1" w:hanging="626" w:hangingChars="297"/>
              <w:jc w:val="center"/>
              <w:rPr>
                <w:rFonts w:hint="eastAsia" w:ascii="宋体" w:hAnsi="宋体"/>
                <w:b/>
                <w:szCs w:val="21"/>
              </w:rPr>
            </w:pPr>
            <w:r>
              <w:rPr>
                <w:rFonts w:hint="eastAsia" w:ascii="宋体" w:hAnsi="宋体"/>
                <w:b/>
                <w:szCs w:val="21"/>
              </w:rPr>
              <w:t>序号</w:t>
            </w:r>
          </w:p>
        </w:tc>
        <w:tc>
          <w:tcPr>
            <w:tcW w:w="1070" w:type="dxa"/>
            <w:vAlign w:val="center"/>
          </w:tcPr>
          <w:p>
            <w:pPr>
              <w:adjustRightInd w:val="0"/>
              <w:snapToGrid w:val="0"/>
              <w:spacing w:line="240" w:lineRule="atLeast"/>
              <w:ind w:left="628" w:leftChars="1" w:hanging="626" w:hangingChars="297"/>
              <w:jc w:val="center"/>
              <w:rPr>
                <w:rFonts w:hint="eastAsia" w:ascii="宋体" w:hAnsi="宋体"/>
                <w:b/>
                <w:szCs w:val="21"/>
              </w:rPr>
            </w:pPr>
            <w:r>
              <w:rPr>
                <w:rFonts w:hint="eastAsia" w:ascii="宋体" w:hAnsi="宋体"/>
                <w:b/>
                <w:szCs w:val="21"/>
              </w:rPr>
              <w:t>评审因素</w:t>
            </w:r>
          </w:p>
        </w:tc>
        <w:tc>
          <w:tcPr>
            <w:tcW w:w="7813" w:type="dxa"/>
            <w:gridSpan w:val="2"/>
            <w:vAlign w:val="center"/>
          </w:tcPr>
          <w:p>
            <w:pPr>
              <w:adjustRightInd w:val="0"/>
              <w:snapToGrid w:val="0"/>
              <w:spacing w:line="360" w:lineRule="auto"/>
              <w:jc w:val="center"/>
              <w:rPr>
                <w:rFonts w:hint="eastAsia" w:ascii="宋体" w:hAnsi="宋体"/>
                <w:szCs w:val="21"/>
              </w:rPr>
            </w:pPr>
            <w:r>
              <w:rPr>
                <w:rFonts w:hint="eastAsia" w:ascii="宋体" w:hAnsi="宋体"/>
                <w:b/>
                <w:szCs w:val="21"/>
              </w:rPr>
              <w:t>评分标准</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18" w:hRule="atLeast"/>
        </w:trPr>
        <w:tc>
          <w:tcPr>
            <w:tcW w:w="643" w:type="dxa"/>
            <w:vAlign w:val="center"/>
          </w:tcPr>
          <w:p>
            <w:pPr>
              <w:adjustRightInd w:val="0"/>
              <w:snapToGrid w:val="0"/>
              <w:spacing w:line="360" w:lineRule="auto"/>
              <w:jc w:val="center"/>
              <w:rPr>
                <w:rFonts w:hint="eastAsia" w:ascii="宋体" w:hAnsi="宋体"/>
                <w:szCs w:val="21"/>
              </w:rPr>
            </w:pPr>
            <w:r>
              <w:rPr>
                <w:rFonts w:hint="eastAsia" w:ascii="宋体" w:hAnsi="宋体"/>
                <w:szCs w:val="21"/>
              </w:rPr>
              <w:t>1</w:t>
            </w:r>
          </w:p>
        </w:tc>
        <w:tc>
          <w:tcPr>
            <w:tcW w:w="1070" w:type="dxa"/>
            <w:vAlign w:val="center"/>
          </w:tcPr>
          <w:p>
            <w:pPr>
              <w:rPr>
                <w:rFonts w:hint="eastAsia" w:ascii="宋体" w:hAnsi="宋体"/>
                <w:szCs w:val="21"/>
              </w:rPr>
            </w:pPr>
            <w:r>
              <w:rPr>
                <w:rFonts w:hint="eastAsia" w:ascii="宋体" w:hAnsi="宋体"/>
                <w:szCs w:val="21"/>
              </w:rPr>
              <w:t>磋商报价</w:t>
            </w:r>
          </w:p>
          <w:p>
            <w:pPr>
              <w:rPr>
                <w:rFonts w:hint="eastAsia" w:ascii="宋体" w:hAnsi="宋体"/>
                <w:szCs w:val="21"/>
              </w:rPr>
            </w:pPr>
            <w:r>
              <w:rPr>
                <w:rFonts w:hint="eastAsia" w:ascii="宋体" w:hAnsi="宋体"/>
                <w:szCs w:val="21"/>
              </w:rPr>
              <w:t>（30分）</w:t>
            </w:r>
          </w:p>
        </w:tc>
        <w:tc>
          <w:tcPr>
            <w:tcW w:w="7813" w:type="dxa"/>
            <w:gridSpan w:val="2"/>
            <w:vAlign w:val="center"/>
          </w:tcPr>
          <w:p>
            <w:pPr>
              <w:rPr>
                <w:rFonts w:hint="eastAsia" w:ascii="宋体" w:hAnsi="宋体"/>
                <w:szCs w:val="21"/>
              </w:rPr>
            </w:pPr>
            <w:r>
              <w:rPr>
                <w:rFonts w:hint="eastAsia" w:ascii="宋体" w:hAnsi="宋体"/>
                <w:szCs w:val="21"/>
              </w:rPr>
              <w:t>1、满足磋商文件要求且最后报价最低的供应商的价格为磋商基准价，其价格分为满分。其他供应商的价格分统一按照下列公式计算：</w:t>
            </w:r>
          </w:p>
          <w:p>
            <w:pPr>
              <w:rPr>
                <w:rFonts w:hint="eastAsia" w:ascii="宋体" w:hAnsi="宋体"/>
                <w:szCs w:val="21"/>
              </w:rPr>
            </w:pPr>
            <w:r>
              <w:rPr>
                <w:rFonts w:hint="eastAsia" w:ascii="宋体" w:hAnsi="宋体"/>
                <w:szCs w:val="21"/>
              </w:rPr>
              <w:t>磋商报价得分=（磋商基准价/最后磋商报价）×30</w:t>
            </w:r>
          </w:p>
          <w:p>
            <w:pPr>
              <w:rPr>
                <w:rFonts w:hint="eastAsia" w:ascii="宋体" w:hAnsi="宋体"/>
                <w:szCs w:val="21"/>
              </w:rPr>
            </w:pPr>
            <w:r>
              <w:rPr>
                <w:rFonts w:hint="eastAsia" w:ascii="宋体" w:hAnsi="宋体"/>
                <w:szCs w:val="21"/>
              </w:rPr>
              <w:t>2、供应商符合《政府采购促进中小企业发展暂行办法》规定的，用扣除后的价格参与评审。</w:t>
            </w:r>
          </w:p>
          <w:p>
            <w:pPr>
              <w:rPr>
                <w:rFonts w:hint="eastAsia" w:ascii="宋体" w:hAnsi="宋体"/>
                <w:szCs w:val="21"/>
              </w:rPr>
            </w:pPr>
            <w:r>
              <w:rPr>
                <w:rFonts w:hint="eastAsia" w:ascii="宋体" w:hAnsi="宋体"/>
                <w:szCs w:val="21"/>
              </w:rPr>
              <w:t>3、价格评审过程中，不得去掉最后报价中的最高报价和最低报价。</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546" w:hRule="atLeast"/>
        </w:trPr>
        <w:tc>
          <w:tcPr>
            <w:tcW w:w="643" w:type="dxa"/>
            <w:vMerge w:val="restart"/>
            <w:vAlign w:val="center"/>
          </w:tcPr>
          <w:p>
            <w:pPr>
              <w:adjustRightInd w:val="0"/>
              <w:snapToGrid w:val="0"/>
              <w:spacing w:line="360" w:lineRule="auto"/>
              <w:jc w:val="center"/>
              <w:rPr>
                <w:rFonts w:hint="eastAsia" w:ascii="宋体" w:hAnsi="宋体"/>
                <w:szCs w:val="21"/>
              </w:rPr>
            </w:pPr>
            <w:r>
              <w:rPr>
                <w:rFonts w:hint="eastAsia" w:ascii="宋体" w:hAnsi="宋体"/>
                <w:szCs w:val="21"/>
              </w:rPr>
              <w:t>2</w:t>
            </w:r>
          </w:p>
        </w:tc>
        <w:tc>
          <w:tcPr>
            <w:tcW w:w="1070" w:type="dxa"/>
            <w:vMerge w:val="restart"/>
            <w:tcBorders>
              <w:right w:val="single" w:color="auto" w:sz="4" w:space="0"/>
            </w:tcBorders>
            <w:vAlign w:val="center"/>
          </w:tcPr>
          <w:p>
            <w:pPr>
              <w:jc w:val="center"/>
              <w:rPr>
                <w:rFonts w:hint="eastAsia" w:ascii="宋体" w:hAnsi="宋体"/>
                <w:szCs w:val="21"/>
              </w:rPr>
            </w:pPr>
            <w:r>
              <w:rPr>
                <w:rFonts w:hint="eastAsia" w:ascii="宋体" w:hAnsi="宋体"/>
                <w:szCs w:val="21"/>
              </w:rPr>
              <w:t>技术</w:t>
            </w:r>
          </w:p>
          <w:p>
            <w:pPr>
              <w:rPr>
                <w:rFonts w:hint="eastAsia" w:ascii="宋体" w:hAnsi="宋体"/>
                <w:color w:val="C00000"/>
                <w:szCs w:val="21"/>
              </w:rPr>
            </w:pPr>
            <w:r>
              <w:rPr>
                <w:rFonts w:hint="eastAsia" w:ascii="宋体" w:hAnsi="宋体"/>
                <w:szCs w:val="21"/>
              </w:rPr>
              <w:t>（50分）</w:t>
            </w:r>
          </w:p>
        </w:tc>
        <w:tc>
          <w:tcPr>
            <w:tcW w:w="1152" w:type="dxa"/>
            <w:tcBorders>
              <w:left w:val="single" w:color="auto" w:sz="4" w:space="0"/>
              <w:bottom w:val="single" w:color="auto" w:sz="4" w:space="0"/>
              <w:right w:val="single" w:color="auto" w:sz="4" w:space="0"/>
            </w:tcBorders>
            <w:vAlign w:val="center"/>
          </w:tcPr>
          <w:p>
            <w:pPr>
              <w:jc w:val="center"/>
              <w:rPr>
                <w:rFonts w:hint="eastAsia" w:ascii="宋体" w:hAnsi="宋体"/>
                <w:szCs w:val="21"/>
              </w:rPr>
            </w:pPr>
            <w:r>
              <w:rPr>
                <w:rFonts w:hint="eastAsia" w:ascii="宋体" w:hAnsi="宋体"/>
                <w:szCs w:val="21"/>
              </w:rPr>
              <w:t>项目的理解</w:t>
            </w:r>
          </w:p>
          <w:p>
            <w:pPr>
              <w:jc w:val="center"/>
              <w:rPr>
                <w:rFonts w:hint="eastAsia" w:ascii="宋体" w:hAnsi="宋体"/>
                <w:color w:val="C00000"/>
                <w:szCs w:val="21"/>
              </w:rPr>
            </w:pPr>
            <w:r>
              <w:rPr>
                <w:rFonts w:hint="eastAsia" w:ascii="宋体" w:hAnsi="宋体"/>
                <w:szCs w:val="21"/>
              </w:rPr>
              <w:t>（</w:t>
            </w:r>
            <w:r>
              <w:rPr>
                <w:rFonts w:ascii="宋体" w:hAnsi="宋体"/>
                <w:szCs w:val="21"/>
              </w:rPr>
              <w:t>15</w:t>
            </w:r>
            <w:r>
              <w:rPr>
                <w:rFonts w:hint="eastAsia" w:ascii="宋体" w:hAnsi="宋体"/>
                <w:szCs w:val="21"/>
              </w:rPr>
              <w:t>分）</w:t>
            </w:r>
          </w:p>
        </w:tc>
        <w:tc>
          <w:tcPr>
            <w:tcW w:w="6661" w:type="dxa"/>
            <w:tcBorders>
              <w:left w:val="single" w:color="auto" w:sz="4" w:space="0"/>
              <w:bottom w:val="single" w:color="auto" w:sz="4" w:space="0"/>
            </w:tcBorders>
            <w:vAlign w:val="center"/>
          </w:tcPr>
          <w:p>
            <w:pPr>
              <w:rPr>
                <w:rFonts w:hint="eastAsia" w:ascii="宋体" w:hAnsi="宋体"/>
                <w:szCs w:val="21"/>
              </w:rPr>
            </w:pPr>
            <w:r>
              <w:rPr>
                <w:rFonts w:hint="eastAsia" w:ascii="宋体" w:hAnsi="宋体"/>
                <w:szCs w:val="21"/>
              </w:rPr>
              <w:t>投标人针对本项目提供的项目理解，包括但不限于：</w:t>
            </w:r>
          </w:p>
          <w:p>
            <w:pPr>
              <w:rPr>
                <w:rFonts w:hint="eastAsia" w:ascii="宋体" w:hAnsi="宋体"/>
                <w:szCs w:val="21"/>
              </w:rPr>
            </w:pPr>
            <w:r>
              <w:rPr>
                <w:rFonts w:hint="eastAsia" w:ascii="宋体" w:hAnsi="宋体"/>
                <w:szCs w:val="21"/>
              </w:rPr>
              <w:t>①</w:t>
            </w:r>
            <w:r>
              <w:t>项目背景解读与理解</w:t>
            </w:r>
            <w:r>
              <w:rPr>
                <w:rFonts w:hint="eastAsia" w:ascii="宋体" w:hAnsi="宋体"/>
                <w:szCs w:val="21"/>
              </w:rPr>
              <w:t>；</w:t>
            </w:r>
          </w:p>
          <w:p>
            <w:pPr>
              <w:rPr>
                <w:rFonts w:hint="eastAsia" w:ascii="宋体" w:hAnsi="宋体"/>
                <w:szCs w:val="21"/>
              </w:rPr>
            </w:pPr>
            <w:r>
              <w:rPr>
                <w:rFonts w:hint="eastAsia" w:ascii="宋体" w:hAnsi="宋体"/>
                <w:szCs w:val="21"/>
              </w:rPr>
              <w:t>②项目意图认识；</w:t>
            </w:r>
          </w:p>
          <w:p>
            <w:pPr>
              <w:rPr>
                <w:rFonts w:hint="eastAsia" w:ascii="宋体" w:hAnsi="宋体" w:cs="宋体"/>
                <w:szCs w:val="21"/>
              </w:rPr>
            </w:pPr>
            <w:r>
              <w:rPr>
                <w:rFonts w:hint="eastAsia" w:ascii="宋体" w:hAnsi="宋体" w:cs="宋体"/>
                <w:szCs w:val="21"/>
              </w:rPr>
              <w:t>③现状基本情况分析；</w:t>
            </w:r>
          </w:p>
          <w:p>
            <w:pPr>
              <w:rPr>
                <w:rFonts w:hint="eastAsia" w:ascii="宋体" w:hAnsi="宋体"/>
                <w:szCs w:val="21"/>
                <w:lang w:val="zh-CN"/>
              </w:rPr>
            </w:pPr>
            <w:r>
              <w:rPr>
                <w:rFonts w:hint="eastAsia" w:ascii="宋体" w:hAnsi="宋体" w:cs="宋体"/>
              </w:rPr>
              <w:t>能充分理解本项目的意义和要求，能针对项目对现状实际情况进行系统分析、归纳，对项目解读与分析完全符合项目要求的</w:t>
            </w:r>
            <w:r>
              <w:t>，</w:t>
            </w:r>
            <w:r>
              <w:rPr>
                <w:rFonts w:hint="eastAsia"/>
              </w:rPr>
              <w:t>计</w:t>
            </w:r>
            <w:r>
              <w:t>15分</w:t>
            </w:r>
            <w:r>
              <w:rPr>
                <w:rFonts w:hint="eastAsia"/>
              </w:rPr>
              <w:t>。</w:t>
            </w:r>
            <w:r>
              <w:rPr>
                <w:rFonts w:hint="eastAsia" w:ascii="宋体" w:hAnsi="宋体"/>
                <w:szCs w:val="21"/>
              </w:rPr>
              <w:t>每缺少一项内容的，扣</w:t>
            </w:r>
            <w:r>
              <w:rPr>
                <w:rFonts w:ascii="宋体" w:hAnsi="宋体"/>
                <w:szCs w:val="21"/>
              </w:rPr>
              <w:t>5</w:t>
            </w:r>
            <w:r>
              <w:rPr>
                <w:rFonts w:hint="eastAsia" w:ascii="宋体" w:hAnsi="宋体"/>
                <w:szCs w:val="21"/>
              </w:rPr>
              <w:t>分；</w:t>
            </w:r>
            <w:r>
              <w:rPr>
                <w:rFonts w:hint="eastAsia" w:ascii="宋体" w:hAnsi="宋体"/>
                <w:szCs w:val="21"/>
                <w:lang w:val="zh-CN"/>
              </w:rPr>
              <w:t>每有一处内容</w:t>
            </w:r>
            <w:r>
              <w:rPr>
                <w:rFonts w:hint="eastAsia" w:ascii="宋体" w:hAnsi="宋体"/>
                <w:szCs w:val="21"/>
              </w:rPr>
              <w:t>欠完善</w:t>
            </w:r>
            <w:r>
              <w:rPr>
                <w:rFonts w:hint="eastAsia" w:ascii="宋体" w:hAnsi="宋体"/>
                <w:szCs w:val="21"/>
                <w:lang w:val="zh-CN"/>
              </w:rPr>
              <w:t>的，扣</w:t>
            </w:r>
            <w:r>
              <w:rPr>
                <w:rFonts w:hint="eastAsia" w:ascii="宋体" w:hAnsi="宋体"/>
                <w:szCs w:val="21"/>
              </w:rPr>
              <w:t>2</w:t>
            </w:r>
            <w:r>
              <w:rPr>
                <w:rFonts w:hint="eastAsia" w:ascii="宋体" w:hAnsi="宋体"/>
                <w:szCs w:val="21"/>
                <w:lang w:val="zh-CN"/>
              </w:rPr>
              <w:t>分，扣完为止。</w:t>
            </w:r>
            <w:r>
              <w:rPr>
                <w:rFonts w:hint="eastAsia" w:ascii="宋体" w:hAnsi="宋体"/>
                <w:szCs w:val="21"/>
              </w:rPr>
              <w:t>未提供的不计分。</w:t>
            </w:r>
          </w:p>
          <w:p>
            <w:pPr>
              <w:rPr>
                <w:rFonts w:hint="eastAsia" w:ascii="宋体" w:hAnsi="宋体"/>
                <w:color w:val="C00000"/>
                <w:szCs w:val="21"/>
              </w:rPr>
            </w:pPr>
            <w:r>
              <w:rPr>
                <w:rFonts w:hint="eastAsia" w:ascii="宋体" w:hAnsi="宋体"/>
                <w:szCs w:val="21"/>
                <w:lang w:val="zh-CN"/>
              </w:rPr>
              <w:t>【</w:t>
            </w:r>
            <w:r>
              <w:rPr>
                <w:rFonts w:hint="eastAsia" w:ascii="宋体" w:hAnsi="宋体"/>
                <w:szCs w:val="21"/>
              </w:rPr>
              <w:t>欠完善是指</w:t>
            </w:r>
            <w:r>
              <w:rPr>
                <w:rFonts w:hint="eastAsia"/>
                <w:szCs w:val="21"/>
              </w:rPr>
              <w:t>每项方案内容中有与项目需求不一致或无关联性的、与实际实施存在差异性、内容空洞、语义表述不清，或前后矛盾、存在歧义、错别字、混乱，内容不充实等的。</w:t>
            </w:r>
            <w:r>
              <w:rPr>
                <w:rFonts w:hint="eastAsia" w:ascii="宋体" w:hAnsi="宋体"/>
                <w:szCs w:val="21"/>
                <w:lang w:val="zh-CN"/>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825" w:hRule="atLeast"/>
        </w:trPr>
        <w:tc>
          <w:tcPr>
            <w:tcW w:w="643" w:type="dxa"/>
            <w:vMerge w:val="continue"/>
            <w:vAlign w:val="center"/>
          </w:tcPr>
          <w:p>
            <w:pPr>
              <w:adjustRightInd w:val="0"/>
              <w:snapToGrid w:val="0"/>
              <w:spacing w:line="360" w:lineRule="auto"/>
              <w:jc w:val="center"/>
              <w:rPr>
                <w:rFonts w:hint="eastAsia" w:ascii="宋体" w:hAnsi="宋体"/>
                <w:szCs w:val="21"/>
              </w:rPr>
            </w:pPr>
          </w:p>
        </w:tc>
        <w:tc>
          <w:tcPr>
            <w:tcW w:w="1070" w:type="dxa"/>
            <w:vMerge w:val="continue"/>
            <w:tcBorders>
              <w:right w:val="single" w:color="auto" w:sz="4" w:space="0"/>
            </w:tcBorders>
            <w:vAlign w:val="center"/>
          </w:tcPr>
          <w:p>
            <w:pPr>
              <w:rPr>
                <w:rFonts w:hint="eastAsia" w:ascii="宋体" w:hAnsi="宋体"/>
                <w:color w:val="C00000"/>
                <w:szCs w:val="21"/>
              </w:rPr>
            </w:pPr>
          </w:p>
        </w:tc>
        <w:tc>
          <w:tcPr>
            <w:tcW w:w="1152"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color w:val="C00000"/>
                <w:szCs w:val="21"/>
              </w:rPr>
            </w:pPr>
            <w:r>
              <w:t>重难点问题分析与工作思路</w:t>
            </w:r>
            <w:r>
              <w:rPr>
                <w:rFonts w:hint="eastAsia" w:ascii="宋体" w:hAnsi="宋体"/>
                <w:szCs w:val="21"/>
              </w:rPr>
              <w:t>（15分）</w:t>
            </w:r>
          </w:p>
        </w:tc>
        <w:tc>
          <w:tcPr>
            <w:tcW w:w="6661" w:type="dxa"/>
            <w:tcBorders>
              <w:top w:val="single" w:color="auto" w:sz="4" w:space="0"/>
              <w:left w:val="single" w:color="auto" w:sz="4" w:space="0"/>
              <w:bottom w:val="single" w:color="auto" w:sz="4" w:space="0"/>
            </w:tcBorders>
            <w:vAlign w:val="center"/>
          </w:tcPr>
          <w:p>
            <w:pPr>
              <w:rPr>
                <w:rFonts w:hint="eastAsia" w:ascii="宋体" w:hAnsi="宋体"/>
                <w:szCs w:val="21"/>
              </w:rPr>
            </w:pPr>
            <w:r>
              <w:rPr>
                <w:rFonts w:hint="eastAsia" w:ascii="宋体" w:hAnsi="宋体"/>
                <w:szCs w:val="21"/>
              </w:rPr>
              <w:t>投标人针对本项目提供的</w:t>
            </w:r>
            <w:r>
              <w:rPr>
                <w:rFonts w:ascii="宋体" w:hAnsi="宋体"/>
                <w:szCs w:val="21"/>
              </w:rPr>
              <w:t>重难点问题分析与工作思路</w:t>
            </w:r>
            <w:r>
              <w:rPr>
                <w:rFonts w:hint="eastAsia" w:ascii="宋体" w:hAnsi="宋体"/>
                <w:szCs w:val="21"/>
              </w:rPr>
              <w:t>，包括但不限于：</w:t>
            </w:r>
          </w:p>
          <w:p>
            <w:pPr>
              <w:rPr>
                <w:rFonts w:hint="eastAsia" w:ascii="宋体" w:hAnsi="宋体"/>
                <w:szCs w:val="21"/>
              </w:rPr>
            </w:pPr>
            <w:r>
              <w:rPr>
                <w:rFonts w:hint="eastAsia" w:ascii="宋体" w:hAnsi="宋体"/>
                <w:szCs w:val="21"/>
              </w:rPr>
              <w:t>①重难点分析；</w:t>
            </w:r>
            <w:r>
              <w:rPr>
                <w:rFonts w:ascii="宋体" w:hAnsi="宋体"/>
                <w:szCs w:val="21"/>
              </w:rPr>
              <w:t xml:space="preserve"> </w:t>
            </w:r>
          </w:p>
          <w:p>
            <w:pPr>
              <w:rPr>
                <w:rFonts w:hint="eastAsia" w:ascii="宋体" w:hAnsi="宋体"/>
                <w:szCs w:val="21"/>
              </w:rPr>
            </w:pPr>
            <w:r>
              <w:rPr>
                <w:rFonts w:hint="eastAsia" w:ascii="宋体" w:hAnsi="宋体"/>
                <w:szCs w:val="21"/>
              </w:rPr>
              <w:t>②解决思路；</w:t>
            </w:r>
          </w:p>
          <w:p>
            <w:pPr>
              <w:rPr>
                <w:rFonts w:hint="eastAsia" w:ascii="宋体" w:hAnsi="宋体"/>
                <w:szCs w:val="21"/>
              </w:rPr>
            </w:pPr>
            <w:r>
              <w:rPr>
                <w:rFonts w:hint="eastAsia" w:ascii="宋体" w:hAnsi="宋体" w:cs="宋体"/>
                <w:szCs w:val="21"/>
              </w:rPr>
              <w:t>③</w:t>
            </w:r>
            <w:r>
              <w:rPr>
                <w:rFonts w:hint="eastAsia" w:ascii="宋体" w:hAnsi="宋体"/>
                <w:szCs w:val="21"/>
              </w:rPr>
              <w:t>技术路线；</w:t>
            </w:r>
          </w:p>
          <w:p>
            <w:pPr>
              <w:rPr>
                <w:rFonts w:hint="eastAsia" w:ascii="宋体" w:hAnsi="宋体"/>
                <w:szCs w:val="21"/>
                <w:lang w:val="zh-CN"/>
              </w:rPr>
            </w:pPr>
            <w:r>
              <w:t>对重难点问题分析和采购人的需求</w:t>
            </w:r>
            <w:r>
              <w:rPr>
                <w:rFonts w:hint="eastAsia"/>
              </w:rPr>
              <w:t>分析</w:t>
            </w:r>
            <w:r>
              <w:t>全面具体透彻，工作思路与技术路线合理、可行的</w:t>
            </w:r>
            <w:r>
              <w:rPr>
                <w:rFonts w:hint="eastAsia" w:ascii="宋体" w:hAnsi="宋体"/>
                <w:szCs w:val="21"/>
              </w:rPr>
              <w:t>，计15分，每缺少一项内容或内容明显错误的每一项扣5分；</w:t>
            </w:r>
            <w:r>
              <w:rPr>
                <w:rFonts w:hint="eastAsia" w:ascii="宋体" w:hAnsi="宋体"/>
                <w:szCs w:val="21"/>
                <w:lang w:val="zh-CN"/>
              </w:rPr>
              <w:t>每有一处内容</w:t>
            </w:r>
            <w:r>
              <w:rPr>
                <w:rFonts w:hint="eastAsia" w:ascii="宋体" w:hAnsi="宋体"/>
                <w:szCs w:val="21"/>
              </w:rPr>
              <w:t>欠完善</w:t>
            </w:r>
            <w:r>
              <w:rPr>
                <w:rFonts w:hint="eastAsia" w:ascii="宋体" w:hAnsi="宋体"/>
                <w:szCs w:val="21"/>
                <w:lang w:val="zh-CN"/>
              </w:rPr>
              <w:t>的，扣</w:t>
            </w:r>
            <w:r>
              <w:rPr>
                <w:rFonts w:hint="eastAsia" w:ascii="宋体" w:hAnsi="宋体"/>
                <w:szCs w:val="21"/>
              </w:rPr>
              <w:t>2</w:t>
            </w:r>
            <w:r>
              <w:rPr>
                <w:rFonts w:hint="eastAsia" w:ascii="宋体" w:hAnsi="宋体"/>
                <w:szCs w:val="21"/>
                <w:lang w:val="zh-CN"/>
              </w:rPr>
              <w:t>分，扣完为止。</w:t>
            </w:r>
            <w:r>
              <w:rPr>
                <w:rFonts w:hint="eastAsia" w:ascii="宋体" w:hAnsi="宋体"/>
                <w:szCs w:val="21"/>
              </w:rPr>
              <w:t>未提供的不计分。</w:t>
            </w:r>
          </w:p>
          <w:p>
            <w:pPr>
              <w:rPr>
                <w:rFonts w:hint="eastAsia" w:ascii="宋体" w:hAnsi="宋体"/>
                <w:color w:val="C00000"/>
                <w:szCs w:val="21"/>
              </w:rPr>
            </w:pPr>
            <w:r>
              <w:rPr>
                <w:rFonts w:hint="eastAsia" w:ascii="宋体" w:hAnsi="宋体"/>
                <w:szCs w:val="21"/>
              </w:rPr>
              <w:t>【欠完善是指</w:t>
            </w:r>
            <w:r>
              <w:rPr>
                <w:rFonts w:hint="eastAsia"/>
                <w:szCs w:val="21"/>
              </w:rPr>
              <w:t>每项方案内容中有与项目需求不一致或无关联性的、与实际实施存在差异性、内容空洞、语义表述不清，或前后矛盾、存在歧义、错别字、混乱，内容不充实等的。</w:t>
            </w:r>
            <w:r>
              <w:rPr>
                <w:rFonts w:hint="eastAsia" w:ascii="宋体" w:hAnsi="宋体"/>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952" w:hRule="atLeast"/>
        </w:trPr>
        <w:tc>
          <w:tcPr>
            <w:tcW w:w="643" w:type="dxa"/>
            <w:vMerge w:val="continue"/>
            <w:vAlign w:val="center"/>
          </w:tcPr>
          <w:p>
            <w:pPr>
              <w:adjustRightInd w:val="0"/>
              <w:snapToGrid w:val="0"/>
              <w:spacing w:line="360" w:lineRule="auto"/>
              <w:jc w:val="center"/>
              <w:rPr>
                <w:rFonts w:hint="eastAsia" w:ascii="宋体" w:hAnsi="宋体"/>
                <w:szCs w:val="21"/>
              </w:rPr>
            </w:pPr>
          </w:p>
        </w:tc>
        <w:tc>
          <w:tcPr>
            <w:tcW w:w="1070" w:type="dxa"/>
            <w:vMerge w:val="continue"/>
            <w:tcBorders>
              <w:right w:val="single" w:color="auto" w:sz="4" w:space="0"/>
            </w:tcBorders>
            <w:vAlign w:val="center"/>
          </w:tcPr>
          <w:p>
            <w:pPr>
              <w:rPr>
                <w:rFonts w:hint="eastAsia" w:ascii="宋体" w:hAnsi="宋体"/>
                <w:color w:val="C00000"/>
                <w:szCs w:val="21"/>
              </w:rPr>
            </w:pPr>
          </w:p>
        </w:tc>
        <w:tc>
          <w:tcPr>
            <w:tcW w:w="1152" w:type="dxa"/>
            <w:tcBorders>
              <w:top w:val="single" w:color="auto" w:sz="4" w:space="0"/>
              <w:left w:val="single" w:color="auto" w:sz="4" w:space="0"/>
              <w:bottom w:val="single" w:color="auto" w:sz="4" w:space="0"/>
              <w:right w:val="single" w:color="auto" w:sz="4" w:space="0"/>
            </w:tcBorders>
            <w:vAlign w:val="center"/>
          </w:tcPr>
          <w:p>
            <w:pPr>
              <w:spacing w:after="120"/>
              <w:jc w:val="center"/>
              <w:rPr>
                <w:color w:val="C00000"/>
              </w:rPr>
            </w:pPr>
            <w:r>
              <w:rPr>
                <w:rFonts w:hint="eastAsia" w:ascii="宋体" w:hAnsi="宋体"/>
                <w:szCs w:val="21"/>
              </w:rPr>
              <w:t>保障措施方案（10分）</w:t>
            </w:r>
          </w:p>
        </w:tc>
        <w:tc>
          <w:tcPr>
            <w:tcW w:w="6661" w:type="dxa"/>
            <w:tcBorders>
              <w:top w:val="single" w:color="auto" w:sz="4" w:space="0"/>
              <w:left w:val="single" w:color="auto" w:sz="4" w:space="0"/>
              <w:bottom w:val="single" w:color="auto" w:sz="4" w:space="0"/>
            </w:tcBorders>
            <w:vAlign w:val="center"/>
          </w:tcPr>
          <w:p>
            <w:pPr>
              <w:rPr>
                <w:rFonts w:hint="eastAsia" w:ascii="宋体" w:hAnsi="宋体"/>
                <w:szCs w:val="21"/>
              </w:rPr>
            </w:pPr>
            <w:r>
              <w:rPr>
                <w:rFonts w:hint="eastAsia" w:ascii="宋体" w:hAnsi="宋体"/>
                <w:szCs w:val="21"/>
              </w:rPr>
              <w:t xml:space="preserve">供应商针对项目实际情况提供保障措施方案，方案内容包括但不限于： ①项目实施流程管理； </w:t>
            </w:r>
          </w:p>
          <w:p>
            <w:pPr>
              <w:rPr>
                <w:rFonts w:hint="eastAsia" w:ascii="宋体" w:hAnsi="宋体"/>
                <w:szCs w:val="21"/>
              </w:rPr>
            </w:pPr>
            <w:r>
              <w:rPr>
                <w:rFonts w:hint="eastAsia" w:ascii="宋体" w:hAnsi="宋体"/>
                <w:szCs w:val="21"/>
              </w:rPr>
              <w:t>②项目进度管理；</w:t>
            </w:r>
          </w:p>
          <w:p>
            <w:pPr>
              <w:rPr>
                <w:rFonts w:hint="eastAsia" w:ascii="宋体" w:hAnsi="宋体"/>
                <w:szCs w:val="21"/>
              </w:rPr>
            </w:pPr>
            <w:r>
              <w:rPr>
                <w:rFonts w:hint="eastAsia" w:ascii="宋体" w:hAnsi="宋体"/>
                <w:szCs w:val="21"/>
              </w:rPr>
              <w:t>③项目服务团队；</w:t>
            </w:r>
          </w:p>
          <w:p>
            <w:pPr>
              <w:rPr>
                <w:rFonts w:hint="eastAsia" w:ascii="宋体" w:hAnsi="宋体"/>
                <w:szCs w:val="21"/>
              </w:rPr>
            </w:pPr>
            <w:r>
              <w:rPr>
                <w:rFonts w:hint="eastAsia" w:ascii="宋体" w:hAnsi="宋体" w:cs="宋体"/>
                <w:szCs w:val="21"/>
              </w:rPr>
              <w:t>④</w:t>
            </w:r>
            <w:r>
              <w:rPr>
                <w:rFonts w:hint="eastAsia" w:ascii="宋体" w:hAnsi="宋体"/>
                <w:szCs w:val="21"/>
              </w:rPr>
              <w:t>项目实施涉及的保障措施安排。</w:t>
            </w:r>
          </w:p>
          <w:p>
            <w:pPr>
              <w:rPr>
                <w:rFonts w:hint="eastAsia" w:ascii="宋体" w:hAnsi="宋体"/>
                <w:szCs w:val="21"/>
              </w:rPr>
            </w:pPr>
            <w:r>
              <w:rPr>
                <w:rFonts w:hint="eastAsia" w:ascii="宋体" w:hAnsi="宋体"/>
                <w:szCs w:val="21"/>
              </w:rPr>
              <w:t>针对投标文件中提供的保障措施方案内容进行评审，方案内容完善、思路清晰、具体措施完整可行、有明确的针对性的计10分。每缺少一项内容或内容明显错误的每一项扣2.5分；</w:t>
            </w:r>
            <w:r>
              <w:rPr>
                <w:rFonts w:hint="eastAsia" w:ascii="宋体" w:hAnsi="宋体"/>
                <w:szCs w:val="21"/>
                <w:lang w:val="zh-CN"/>
              </w:rPr>
              <w:t>每有一处内容</w:t>
            </w:r>
            <w:r>
              <w:rPr>
                <w:rFonts w:hint="eastAsia" w:ascii="宋体" w:hAnsi="宋体"/>
                <w:szCs w:val="21"/>
              </w:rPr>
              <w:t>欠完善</w:t>
            </w:r>
            <w:r>
              <w:rPr>
                <w:rFonts w:hint="eastAsia" w:ascii="宋体" w:hAnsi="宋体"/>
                <w:szCs w:val="21"/>
                <w:lang w:val="zh-CN"/>
              </w:rPr>
              <w:t>的，扣</w:t>
            </w:r>
            <w:r>
              <w:rPr>
                <w:rFonts w:hint="eastAsia" w:ascii="宋体" w:hAnsi="宋体"/>
                <w:szCs w:val="21"/>
              </w:rPr>
              <w:t>1</w:t>
            </w:r>
            <w:r>
              <w:rPr>
                <w:rFonts w:hint="eastAsia" w:ascii="宋体" w:hAnsi="宋体"/>
                <w:szCs w:val="21"/>
                <w:lang w:val="zh-CN"/>
              </w:rPr>
              <w:t>分，扣完为止。</w:t>
            </w:r>
            <w:r>
              <w:rPr>
                <w:rFonts w:hint="eastAsia" w:ascii="宋体" w:hAnsi="宋体"/>
                <w:szCs w:val="21"/>
              </w:rPr>
              <w:t>未提供的不计分。</w:t>
            </w:r>
          </w:p>
          <w:p>
            <w:pPr>
              <w:adjustRightInd w:val="0"/>
              <w:snapToGrid w:val="0"/>
              <w:rPr>
                <w:rFonts w:hint="eastAsia" w:ascii="宋体" w:hAnsi="宋体"/>
                <w:color w:val="C00000"/>
                <w:szCs w:val="21"/>
              </w:rPr>
            </w:pPr>
            <w:r>
              <w:rPr>
                <w:rFonts w:hint="eastAsia" w:ascii="宋体" w:hAnsi="宋体"/>
                <w:szCs w:val="21"/>
              </w:rPr>
              <w:t>【欠完善是指每项方案内容中有与项目需求不一致或无关联性的、与实际实施存在差异性、内容空洞、语义表述不清，或前后矛盾、存在歧义、错别字、混乱，内容不充实等的。】</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952" w:hRule="atLeast"/>
        </w:trPr>
        <w:tc>
          <w:tcPr>
            <w:tcW w:w="643" w:type="dxa"/>
            <w:vMerge w:val="continue"/>
            <w:vAlign w:val="center"/>
          </w:tcPr>
          <w:p>
            <w:pPr>
              <w:adjustRightInd w:val="0"/>
              <w:snapToGrid w:val="0"/>
              <w:spacing w:line="360" w:lineRule="auto"/>
              <w:jc w:val="center"/>
              <w:rPr>
                <w:rFonts w:hint="eastAsia" w:ascii="宋体" w:hAnsi="宋体"/>
                <w:szCs w:val="21"/>
              </w:rPr>
            </w:pPr>
            <w:r>
              <w:rPr>
                <w:rFonts w:hint="eastAsia" w:ascii="宋体" w:hAnsi="宋体"/>
                <w:szCs w:val="21"/>
              </w:rPr>
              <w:t>、</w:t>
            </w:r>
          </w:p>
        </w:tc>
        <w:tc>
          <w:tcPr>
            <w:tcW w:w="1070" w:type="dxa"/>
            <w:vMerge w:val="continue"/>
            <w:tcBorders>
              <w:right w:val="single" w:color="auto" w:sz="4" w:space="0"/>
            </w:tcBorders>
            <w:vAlign w:val="center"/>
          </w:tcPr>
          <w:p>
            <w:pPr>
              <w:rPr>
                <w:rFonts w:hint="eastAsia" w:ascii="宋体" w:hAnsi="宋体"/>
                <w:color w:val="C00000"/>
                <w:szCs w:val="21"/>
              </w:rPr>
            </w:pPr>
          </w:p>
        </w:tc>
        <w:tc>
          <w:tcPr>
            <w:tcW w:w="1152" w:type="dxa"/>
            <w:tcBorders>
              <w:top w:val="single" w:color="auto" w:sz="4" w:space="0"/>
              <w:left w:val="single" w:color="auto" w:sz="4" w:space="0"/>
              <w:bottom w:val="single" w:color="auto" w:sz="4" w:space="0"/>
              <w:right w:val="single" w:color="auto" w:sz="4" w:space="0"/>
            </w:tcBorders>
            <w:vAlign w:val="center"/>
          </w:tcPr>
          <w:p>
            <w:pPr>
              <w:pStyle w:val="5"/>
              <w:spacing w:after="0"/>
              <w:jc w:val="center"/>
              <w:rPr>
                <w:rFonts w:hint="eastAsia" w:ascii="宋体" w:hAnsi="宋体"/>
                <w:szCs w:val="21"/>
              </w:rPr>
            </w:pPr>
            <w:r>
              <w:rPr>
                <w:rFonts w:hint="eastAsia" w:ascii="宋体" w:hAnsi="宋体"/>
                <w:szCs w:val="21"/>
              </w:rPr>
              <w:t>合理化建议</w:t>
            </w:r>
          </w:p>
          <w:p>
            <w:pPr>
              <w:rPr>
                <w:rFonts w:hint="eastAsia" w:ascii="宋体" w:hAnsi="宋体"/>
                <w:color w:val="C00000"/>
                <w:szCs w:val="21"/>
              </w:rPr>
            </w:pPr>
            <w:r>
              <w:rPr>
                <w:rFonts w:hint="eastAsia" w:ascii="宋体" w:hAnsi="宋体"/>
                <w:szCs w:val="21"/>
              </w:rPr>
              <w:t>（10分）</w:t>
            </w:r>
          </w:p>
        </w:tc>
        <w:tc>
          <w:tcPr>
            <w:tcW w:w="6661" w:type="dxa"/>
            <w:tcBorders>
              <w:top w:val="single" w:color="auto" w:sz="4" w:space="0"/>
              <w:left w:val="single" w:color="auto" w:sz="4" w:space="0"/>
              <w:bottom w:val="single" w:color="auto" w:sz="4" w:space="0"/>
            </w:tcBorders>
            <w:vAlign w:val="center"/>
          </w:tcPr>
          <w:p>
            <w:pPr>
              <w:rPr>
                <w:rFonts w:hint="eastAsia" w:ascii="宋体" w:hAnsi="宋体"/>
                <w:color w:val="C00000"/>
                <w:szCs w:val="21"/>
              </w:rPr>
            </w:pPr>
            <w:r>
              <w:rPr>
                <w:rFonts w:hint="eastAsia" w:ascii="宋体" w:hAnsi="宋体"/>
                <w:kern w:val="0"/>
                <w:szCs w:val="21"/>
              </w:rPr>
              <w:t>供应商根据本项目特点结合供应商经验提供合理化建议进行综合评审：每提出一处思路明晰合理、方案完整、科学、合理、针对性强的建议，计</w:t>
            </w:r>
            <w:r>
              <w:rPr>
                <w:rFonts w:hint="eastAsia"/>
                <w:kern w:val="0"/>
                <w:szCs w:val="21"/>
              </w:rPr>
              <w:t>5</w:t>
            </w:r>
            <w:r>
              <w:rPr>
                <w:rFonts w:hint="eastAsia" w:ascii="宋体" w:hAnsi="宋体"/>
                <w:kern w:val="0"/>
                <w:szCs w:val="21"/>
              </w:rPr>
              <w:t>分，本项最高计</w:t>
            </w:r>
            <w:r>
              <w:rPr>
                <w:rFonts w:hint="eastAsia"/>
                <w:kern w:val="0"/>
                <w:szCs w:val="21"/>
              </w:rPr>
              <w:t>10</w:t>
            </w:r>
            <w:r>
              <w:rPr>
                <w:rFonts w:hint="eastAsia" w:ascii="宋体" w:hAnsi="宋体"/>
                <w:kern w:val="0"/>
                <w:szCs w:val="21"/>
              </w:rPr>
              <w:t>分。未提供方案不计分。</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324" w:hRule="atLeast"/>
        </w:trPr>
        <w:tc>
          <w:tcPr>
            <w:tcW w:w="643" w:type="dxa"/>
            <w:vMerge w:val="restart"/>
            <w:vAlign w:val="center"/>
          </w:tcPr>
          <w:p>
            <w:pPr>
              <w:adjustRightInd w:val="0"/>
              <w:snapToGrid w:val="0"/>
              <w:spacing w:line="360" w:lineRule="auto"/>
              <w:jc w:val="center"/>
              <w:rPr>
                <w:rFonts w:hint="eastAsia" w:ascii="宋体" w:hAnsi="宋体"/>
                <w:szCs w:val="21"/>
              </w:rPr>
            </w:pPr>
            <w:r>
              <w:rPr>
                <w:rFonts w:hint="eastAsia" w:ascii="宋体" w:hAnsi="宋体"/>
                <w:szCs w:val="21"/>
              </w:rPr>
              <w:t>3</w:t>
            </w:r>
          </w:p>
        </w:tc>
        <w:tc>
          <w:tcPr>
            <w:tcW w:w="1070" w:type="dxa"/>
            <w:vMerge w:val="restart"/>
            <w:vAlign w:val="center"/>
          </w:tcPr>
          <w:p>
            <w:pPr>
              <w:jc w:val="center"/>
              <w:rPr>
                <w:rFonts w:hint="eastAsia" w:ascii="宋体" w:hAnsi="宋体"/>
                <w:szCs w:val="21"/>
              </w:rPr>
            </w:pPr>
            <w:r>
              <w:rPr>
                <w:rFonts w:hint="eastAsia" w:ascii="宋体" w:hAnsi="宋体"/>
                <w:szCs w:val="21"/>
              </w:rPr>
              <w:t>商务</w:t>
            </w:r>
          </w:p>
          <w:p>
            <w:pPr>
              <w:rPr>
                <w:rFonts w:hint="eastAsia" w:ascii="宋体" w:hAnsi="宋体"/>
                <w:szCs w:val="21"/>
              </w:rPr>
            </w:pPr>
            <w:r>
              <w:rPr>
                <w:rFonts w:hint="eastAsia" w:ascii="宋体" w:hAnsi="宋体"/>
                <w:szCs w:val="21"/>
              </w:rPr>
              <w:t>（20分）</w:t>
            </w:r>
          </w:p>
        </w:tc>
        <w:tc>
          <w:tcPr>
            <w:tcW w:w="1152" w:type="dxa"/>
            <w:tcBorders>
              <w:right w:val="single" w:color="auto" w:sz="4" w:space="0"/>
            </w:tcBorders>
            <w:vAlign w:val="center"/>
          </w:tcPr>
          <w:p>
            <w:pPr>
              <w:rPr>
                <w:rFonts w:hint="eastAsia" w:ascii="宋体" w:hAnsi="宋体"/>
                <w:szCs w:val="21"/>
              </w:rPr>
            </w:pPr>
            <w:r>
              <w:rPr>
                <w:rFonts w:hint="eastAsia" w:ascii="宋体" w:hAnsi="宋体"/>
                <w:szCs w:val="21"/>
              </w:rPr>
              <w:t>类似业绩</w:t>
            </w:r>
          </w:p>
          <w:p>
            <w:pPr>
              <w:rPr>
                <w:rFonts w:hint="eastAsia" w:ascii="宋体" w:hAnsi="宋体"/>
                <w:szCs w:val="21"/>
              </w:rPr>
            </w:pPr>
            <w:r>
              <w:rPr>
                <w:rFonts w:hint="eastAsia" w:ascii="宋体" w:hAnsi="宋体"/>
                <w:szCs w:val="21"/>
              </w:rPr>
              <w:t>8分）</w:t>
            </w:r>
          </w:p>
        </w:tc>
        <w:tc>
          <w:tcPr>
            <w:tcW w:w="6661" w:type="dxa"/>
            <w:tcBorders>
              <w:left w:val="single" w:color="auto" w:sz="4" w:space="0"/>
            </w:tcBorders>
            <w:vAlign w:val="center"/>
          </w:tcPr>
          <w:p>
            <w:pPr>
              <w:rPr>
                <w:rFonts w:hint="eastAsia" w:ascii="宋体" w:hAnsi="宋体"/>
                <w:szCs w:val="21"/>
              </w:rPr>
            </w:pPr>
            <w:r>
              <w:rPr>
                <w:rFonts w:hint="eastAsia" w:ascii="宋体" w:hAnsi="宋体"/>
                <w:szCs w:val="21"/>
                <w:lang w:val="en-US" w:eastAsia="zh-CN"/>
              </w:rPr>
              <w:t>开标时间前36个月内</w:t>
            </w:r>
            <w:r>
              <w:rPr>
                <w:rFonts w:hint="eastAsia" w:ascii="宋体" w:hAnsi="宋体"/>
                <w:szCs w:val="21"/>
              </w:rPr>
              <w:t>投标人承担过类似业绩（至少包含集体土地征收补偿安置办法制订类项目或社会稳定风险评估类项目），每个业绩计4分，最多计8分。</w:t>
            </w:r>
          </w:p>
          <w:p>
            <w:pPr>
              <w:rPr>
                <w:rFonts w:hint="eastAsia" w:ascii="宋体" w:hAnsi="宋体"/>
                <w:szCs w:val="21"/>
              </w:rPr>
            </w:pPr>
            <w:r>
              <w:rPr>
                <w:rFonts w:hint="eastAsia" w:ascii="宋体" w:hAnsi="宋体"/>
                <w:szCs w:val="21"/>
              </w:rPr>
              <w:t>【说明：以合同签订时间（或中标通知书时间）为准，投标单位提供相应的业绩合同或中标通知书复印件并加盖投标单位公章，未提供不计分。】</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063" w:hRule="atLeast"/>
        </w:trPr>
        <w:tc>
          <w:tcPr>
            <w:tcW w:w="643" w:type="dxa"/>
            <w:vMerge w:val="continue"/>
            <w:vAlign w:val="center"/>
          </w:tcPr>
          <w:p>
            <w:pPr>
              <w:adjustRightInd w:val="0"/>
              <w:snapToGrid w:val="0"/>
              <w:spacing w:line="360" w:lineRule="auto"/>
              <w:jc w:val="center"/>
              <w:rPr>
                <w:rFonts w:hint="eastAsia" w:ascii="宋体" w:hAnsi="宋体"/>
                <w:szCs w:val="21"/>
              </w:rPr>
            </w:pPr>
          </w:p>
        </w:tc>
        <w:tc>
          <w:tcPr>
            <w:tcW w:w="1070" w:type="dxa"/>
            <w:vMerge w:val="continue"/>
            <w:vAlign w:val="center"/>
          </w:tcPr>
          <w:p>
            <w:pPr>
              <w:rPr>
                <w:rFonts w:hint="eastAsia" w:ascii="宋体" w:hAnsi="宋体"/>
                <w:szCs w:val="21"/>
              </w:rPr>
            </w:pPr>
          </w:p>
        </w:tc>
        <w:tc>
          <w:tcPr>
            <w:tcW w:w="1152" w:type="dxa"/>
            <w:tcBorders>
              <w:top w:val="single" w:color="auto" w:sz="4" w:space="0"/>
              <w:right w:val="single" w:color="auto" w:sz="4" w:space="0"/>
            </w:tcBorders>
            <w:vAlign w:val="center"/>
          </w:tcPr>
          <w:p>
            <w:pPr>
              <w:rPr>
                <w:rFonts w:hint="eastAsia" w:ascii="宋体" w:hAnsi="宋体"/>
                <w:szCs w:val="21"/>
              </w:rPr>
            </w:pPr>
            <w:r>
              <w:rPr>
                <w:rFonts w:hint="eastAsia" w:ascii="宋体" w:hAnsi="宋体"/>
                <w:szCs w:val="21"/>
              </w:rPr>
              <w:t>技术力量</w:t>
            </w:r>
          </w:p>
          <w:p>
            <w:pPr>
              <w:rPr>
                <w:rFonts w:hint="eastAsia" w:ascii="宋体" w:hAnsi="宋体"/>
                <w:szCs w:val="21"/>
              </w:rPr>
            </w:pPr>
            <w:r>
              <w:rPr>
                <w:rFonts w:hint="eastAsia" w:ascii="宋体" w:hAnsi="宋体"/>
                <w:szCs w:val="21"/>
              </w:rPr>
              <w:t>（12分）</w:t>
            </w:r>
          </w:p>
        </w:tc>
        <w:tc>
          <w:tcPr>
            <w:tcW w:w="6661" w:type="dxa"/>
            <w:tcBorders>
              <w:top w:val="single" w:color="auto" w:sz="4" w:space="0"/>
              <w:left w:val="single" w:color="auto" w:sz="4" w:space="0"/>
            </w:tcBorders>
            <w:vAlign w:val="center"/>
          </w:tcPr>
          <w:p>
            <w:pPr>
              <w:jc w:val="left"/>
            </w:pPr>
            <w:r>
              <w:rPr>
                <w:rFonts w:hint="eastAsia"/>
              </w:rPr>
              <w:t>1、拟任项目负责人具备土地工程或城乡规划副高级及以上技术职称及注册城乡规划师的，计2分；</w:t>
            </w:r>
          </w:p>
          <w:p>
            <w:pPr>
              <w:jc w:val="left"/>
            </w:pPr>
            <w:r>
              <w:rPr>
                <w:rFonts w:hint="eastAsia"/>
              </w:rPr>
              <w:t>2、除项目负责人外，项目团队每提供一名具备土地工程或城乡规划副高级及以上技术职称的，每个计2分；每提供一名</w:t>
            </w:r>
            <w:bookmarkStart w:id="6" w:name="OLE_LINK2"/>
            <w:r>
              <w:rPr>
                <w:rFonts w:hint="eastAsia"/>
              </w:rPr>
              <w:t>土地工程或城乡规划</w:t>
            </w:r>
            <w:bookmarkEnd w:id="6"/>
            <w:r>
              <w:rPr>
                <w:rFonts w:hint="eastAsia"/>
              </w:rPr>
              <w:t>中级技术职称，每个计1分，本项最多计10分。</w:t>
            </w:r>
          </w:p>
          <w:p>
            <w:pPr>
              <w:rPr>
                <w:rFonts w:hint="eastAsia" w:ascii="宋体" w:hAnsi="宋体"/>
                <w:szCs w:val="21"/>
              </w:rPr>
            </w:pPr>
            <w:r>
              <w:rPr>
                <w:rFonts w:hint="eastAsia" w:ascii="宋体" w:hAnsi="宋体"/>
                <w:szCs w:val="21"/>
              </w:rPr>
              <w:t>注：以上人员不重复计分，须提供团队成员的职称证书复印件及投标截止前近三个月中任意一个月（依据采购需求发布日前计算）投标人为其缴纳社保的证明，否则不计分。</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42" w:hRule="atLeast"/>
        </w:trPr>
        <w:tc>
          <w:tcPr>
            <w:tcW w:w="643" w:type="dxa"/>
            <w:vAlign w:val="center"/>
          </w:tcPr>
          <w:p>
            <w:pPr>
              <w:adjustRightInd w:val="0"/>
              <w:snapToGrid w:val="0"/>
              <w:spacing w:line="360" w:lineRule="auto"/>
              <w:jc w:val="center"/>
              <w:rPr>
                <w:rFonts w:hint="eastAsia" w:ascii="宋体" w:hAnsi="宋体"/>
                <w:szCs w:val="21"/>
              </w:rPr>
            </w:pPr>
          </w:p>
        </w:tc>
        <w:tc>
          <w:tcPr>
            <w:tcW w:w="1070" w:type="dxa"/>
            <w:vAlign w:val="center"/>
          </w:tcPr>
          <w:p>
            <w:pPr>
              <w:adjustRightInd w:val="0"/>
              <w:snapToGrid w:val="0"/>
              <w:jc w:val="center"/>
              <w:rPr>
                <w:rFonts w:hint="eastAsia" w:ascii="宋体" w:hAnsi="宋体"/>
                <w:szCs w:val="21"/>
              </w:rPr>
            </w:pPr>
            <w:r>
              <w:rPr>
                <w:rFonts w:hint="eastAsia" w:ascii="宋体" w:hAnsi="宋体"/>
                <w:szCs w:val="21"/>
              </w:rPr>
              <w:t>合计</w:t>
            </w:r>
          </w:p>
        </w:tc>
        <w:tc>
          <w:tcPr>
            <w:tcW w:w="1152" w:type="dxa"/>
            <w:tcBorders>
              <w:top w:val="single" w:color="auto" w:sz="4" w:space="0"/>
              <w:right w:val="single" w:color="auto" w:sz="4" w:space="0"/>
            </w:tcBorders>
            <w:vAlign w:val="center"/>
          </w:tcPr>
          <w:p>
            <w:pPr>
              <w:adjustRightInd w:val="0"/>
              <w:snapToGrid w:val="0"/>
              <w:spacing w:line="240" w:lineRule="atLeast"/>
              <w:jc w:val="center"/>
              <w:rPr>
                <w:rFonts w:hint="eastAsia" w:ascii="宋体" w:hAnsi="宋体" w:cs="宋体"/>
                <w:kern w:val="0"/>
                <w:szCs w:val="21"/>
              </w:rPr>
            </w:pPr>
            <w:r>
              <w:rPr>
                <w:rFonts w:hint="eastAsia" w:ascii="宋体" w:hAnsi="宋体" w:cs="宋体"/>
                <w:kern w:val="0"/>
                <w:szCs w:val="21"/>
              </w:rPr>
              <w:t>100分</w:t>
            </w:r>
          </w:p>
        </w:tc>
        <w:tc>
          <w:tcPr>
            <w:tcW w:w="6661" w:type="dxa"/>
            <w:tcBorders>
              <w:top w:val="single" w:color="auto" w:sz="4" w:space="0"/>
              <w:left w:val="single" w:color="auto" w:sz="4" w:space="0"/>
            </w:tcBorders>
            <w:vAlign w:val="center"/>
          </w:tcPr>
          <w:p>
            <w:pPr>
              <w:adjustRightInd w:val="0"/>
              <w:snapToGrid w:val="0"/>
              <w:spacing w:line="240" w:lineRule="atLeast"/>
              <w:jc w:val="left"/>
              <w:rPr>
                <w:rFonts w:hint="eastAsia" w:ascii="宋体" w:hAnsi="宋体" w:cs="宋体"/>
                <w:kern w:val="0"/>
                <w:szCs w:val="21"/>
              </w:rPr>
            </w:pPr>
          </w:p>
        </w:tc>
      </w:tr>
    </w:tbl>
    <w:p>
      <w:pPr>
        <w:rPr>
          <w:sz w:val="20"/>
        </w:rPr>
      </w:pPr>
    </w:p>
    <w:sectPr>
      <w:pgSz w:w="11906" w:h="16838"/>
      <w:pgMar w:top="1440" w:right="1418" w:bottom="1440" w:left="1418" w:header="851" w:footer="850" w:gutter="0"/>
      <w:pgNumType w:start="46"/>
      <w:cols w:space="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2526210-C5C9-404E-B5E6-0BA7430C1A1B}"/>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F7955166-6FF1-4080-B7BA-9117B4AD8C5D}"/>
  </w:font>
  <w:font w:name="华文中宋">
    <w:altName w:val="宋体"/>
    <w:panose1 w:val="02010600040101010101"/>
    <w:charset w:val="86"/>
    <w:family w:val="auto"/>
    <w:pitch w:val="default"/>
    <w:sig w:usb0="00000000" w:usb1="00000000" w:usb2="00000010" w:usb3="00000000" w:csb0="0004009F" w:csb1="00000000"/>
    <w:embedRegular r:id="rId3" w:fontKey="{8E9A44D3-DE57-4F6E-BEEA-6A7ADCB7E118}"/>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UxYTZjZWQ1NzU4ZmYwNzkyYTdiNDVmYzM1YzVjMGEifQ=="/>
    <w:docVar w:name="KSO_WPS_MARK_KEY" w:val="19caeacb-f730-4179-a25d-d30b2bdef30a"/>
  </w:docVars>
  <w:rsids>
    <w:rsidRoot w:val="29D13B77"/>
    <w:rsid w:val="0002113D"/>
    <w:rsid w:val="00131E5D"/>
    <w:rsid w:val="001C10FE"/>
    <w:rsid w:val="001D22FE"/>
    <w:rsid w:val="001E7539"/>
    <w:rsid w:val="00206842"/>
    <w:rsid w:val="00235D00"/>
    <w:rsid w:val="002A73F1"/>
    <w:rsid w:val="002F380D"/>
    <w:rsid w:val="00307A30"/>
    <w:rsid w:val="00363D4F"/>
    <w:rsid w:val="003969FD"/>
    <w:rsid w:val="003F429A"/>
    <w:rsid w:val="004104A9"/>
    <w:rsid w:val="005946DE"/>
    <w:rsid w:val="005D6841"/>
    <w:rsid w:val="005E708A"/>
    <w:rsid w:val="00617A73"/>
    <w:rsid w:val="00621D0C"/>
    <w:rsid w:val="006F323A"/>
    <w:rsid w:val="007B2399"/>
    <w:rsid w:val="008F5578"/>
    <w:rsid w:val="009F2E7F"/>
    <w:rsid w:val="00A12A41"/>
    <w:rsid w:val="00AD77C9"/>
    <w:rsid w:val="00B55275"/>
    <w:rsid w:val="00C60B6A"/>
    <w:rsid w:val="00CA7EFE"/>
    <w:rsid w:val="00CB156E"/>
    <w:rsid w:val="00D64445"/>
    <w:rsid w:val="00DE51C8"/>
    <w:rsid w:val="00E44F23"/>
    <w:rsid w:val="00E94535"/>
    <w:rsid w:val="00EB61E7"/>
    <w:rsid w:val="00EC1AFC"/>
    <w:rsid w:val="04142A0F"/>
    <w:rsid w:val="06EB3B3D"/>
    <w:rsid w:val="08A52F7F"/>
    <w:rsid w:val="093D1027"/>
    <w:rsid w:val="094873D0"/>
    <w:rsid w:val="0A154888"/>
    <w:rsid w:val="0FED5910"/>
    <w:rsid w:val="12FE1894"/>
    <w:rsid w:val="13FC0804"/>
    <w:rsid w:val="14067CFE"/>
    <w:rsid w:val="15121F7C"/>
    <w:rsid w:val="18502904"/>
    <w:rsid w:val="1B4F2557"/>
    <w:rsid w:val="1E6E78DF"/>
    <w:rsid w:val="1E8148DE"/>
    <w:rsid w:val="21511A18"/>
    <w:rsid w:val="221E45B2"/>
    <w:rsid w:val="24A37D49"/>
    <w:rsid w:val="29B55D74"/>
    <w:rsid w:val="29D13B77"/>
    <w:rsid w:val="2B726F5A"/>
    <w:rsid w:val="2D55028C"/>
    <w:rsid w:val="2DC754FC"/>
    <w:rsid w:val="32D536D6"/>
    <w:rsid w:val="35F61625"/>
    <w:rsid w:val="3E5426CD"/>
    <w:rsid w:val="4A6E05AD"/>
    <w:rsid w:val="4ADC62AC"/>
    <w:rsid w:val="4AED74A2"/>
    <w:rsid w:val="4B282FF6"/>
    <w:rsid w:val="4C976C94"/>
    <w:rsid w:val="520916B4"/>
    <w:rsid w:val="54326BD1"/>
    <w:rsid w:val="56734A18"/>
    <w:rsid w:val="57B332BC"/>
    <w:rsid w:val="591D4FFC"/>
    <w:rsid w:val="5A0E6FD9"/>
    <w:rsid w:val="5EC60297"/>
    <w:rsid w:val="613A7067"/>
    <w:rsid w:val="64260859"/>
    <w:rsid w:val="68DE7D79"/>
    <w:rsid w:val="6CA36690"/>
    <w:rsid w:val="71C20D23"/>
    <w:rsid w:val="7A6A0EE1"/>
    <w:rsid w:val="7BF0090E"/>
    <w:rsid w:val="7D5104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3"/>
    <w:autoRedefine/>
    <w:qFormat/>
    <w:uiPriority w:val="0"/>
    <w:pPr>
      <w:keepNext/>
      <w:keepLines/>
      <w:spacing w:line="480" w:lineRule="auto"/>
      <w:jc w:val="center"/>
      <w:outlineLvl w:val="0"/>
    </w:pPr>
    <w:rPr>
      <w:rFonts w:ascii="Arial" w:hAnsi="Arial" w:cs="Arial"/>
      <w:b/>
      <w:bCs/>
      <w:snapToGrid w:val="0"/>
      <w:color w:val="000000"/>
      <w:kern w:val="44"/>
      <w:sz w:val="28"/>
      <w:szCs w:val="44"/>
    </w:rPr>
  </w:style>
  <w:style w:type="paragraph" w:styleId="3">
    <w:name w:val="heading 2"/>
    <w:basedOn w:val="1"/>
    <w:next w:val="1"/>
    <w:link w:val="14"/>
    <w:autoRedefine/>
    <w:semiHidden/>
    <w:unhideWhenUsed/>
    <w:qFormat/>
    <w:uiPriority w:val="0"/>
    <w:pPr>
      <w:keepNext/>
      <w:keepLines/>
      <w:spacing w:line="480" w:lineRule="auto"/>
      <w:jc w:val="center"/>
      <w:outlineLvl w:val="1"/>
    </w:pPr>
    <w:rPr>
      <w:rFonts w:ascii="Arial" w:hAnsi="Arial"/>
      <w:sz w:val="28"/>
      <w:szCs w:val="21"/>
    </w:rPr>
  </w:style>
  <w:style w:type="paragraph" w:styleId="4">
    <w:name w:val="heading 3"/>
    <w:basedOn w:val="1"/>
    <w:next w:val="1"/>
    <w:autoRedefine/>
    <w:semiHidden/>
    <w:unhideWhenUsed/>
    <w:qFormat/>
    <w:uiPriority w:val="0"/>
    <w:pPr>
      <w:keepNext/>
      <w:keepLines/>
      <w:spacing w:line="360" w:lineRule="auto"/>
      <w:jc w:val="center"/>
      <w:outlineLvl w:val="2"/>
    </w:pPr>
    <w:rPr>
      <w:rFonts w:ascii="Times New Roman" w:hAnsi="Times New Roman"/>
      <w:sz w:val="24"/>
      <w:szCs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5">
    <w:name w:val="Body Text"/>
    <w:basedOn w:val="1"/>
    <w:link w:val="19"/>
    <w:qFormat/>
    <w:uiPriority w:val="0"/>
    <w:pPr>
      <w:spacing w:after="120" w:line="278" w:lineRule="auto"/>
    </w:pPr>
    <w:rPr>
      <w:rFonts w:ascii="Times New Roman" w:hAnsi="Times New Roman"/>
      <w:szCs w:val="24"/>
    </w:rPr>
  </w:style>
  <w:style w:type="paragraph" w:styleId="6">
    <w:name w:val="Plain Text"/>
    <w:basedOn w:val="1"/>
    <w:qFormat/>
    <w:uiPriority w:val="0"/>
    <w:rPr>
      <w:rFonts w:ascii="宋体" w:hAnsi="Courier New" w:cs="Courier New"/>
      <w:szCs w:val="21"/>
    </w:rPr>
  </w:style>
  <w:style w:type="paragraph" w:styleId="7">
    <w:name w:val="footer"/>
    <w:basedOn w:val="1"/>
    <w:link w:val="21"/>
    <w:uiPriority w:val="0"/>
    <w:pPr>
      <w:tabs>
        <w:tab w:val="center" w:pos="4153"/>
        <w:tab w:val="right" w:pos="8306"/>
      </w:tabs>
      <w:snapToGrid w:val="0"/>
      <w:jc w:val="left"/>
    </w:pPr>
    <w:rPr>
      <w:sz w:val="18"/>
      <w:szCs w:val="18"/>
    </w:rPr>
  </w:style>
  <w:style w:type="paragraph" w:styleId="8">
    <w:name w:val="header"/>
    <w:basedOn w:val="1"/>
    <w:link w:val="20"/>
    <w:qFormat/>
    <w:uiPriority w:val="0"/>
    <w:pPr>
      <w:tabs>
        <w:tab w:val="center" w:pos="4153"/>
        <w:tab w:val="right" w:pos="8306"/>
      </w:tabs>
      <w:snapToGrid w:val="0"/>
      <w:jc w:val="center"/>
    </w:pPr>
    <w:rPr>
      <w:sz w:val="18"/>
      <w:szCs w:val="18"/>
    </w:rPr>
  </w:style>
  <w:style w:type="paragraph" w:styleId="9">
    <w:name w:val="Normal (Web)"/>
    <w:basedOn w:val="1"/>
    <w:autoRedefine/>
    <w:qFormat/>
    <w:uiPriority w:val="0"/>
    <w:pPr>
      <w:spacing w:beforeAutospacing="1" w:afterAutospacing="1"/>
      <w:jc w:val="left"/>
    </w:pPr>
    <w:rPr>
      <w:kern w:val="0"/>
      <w:sz w:val="24"/>
    </w:rPr>
  </w:style>
  <w:style w:type="table" w:styleId="11">
    <w:name w:val="Table Grid"/>
    <w:basedOn w:val="1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
    <w:name w:val="标题 1 字符"/>
    <w:basedOn w:val="12"/>
    <w:link w:val="2"/>
    <w:qFormat/>
    <w:uiPriority w:val="9"/>
    <w:rPr>
      <w:rFonts w:ascii="Arial" w:hAnsi="Arial" w:eastAsia="宋体" w:cs="Arial"/>
      <w:b/>
      <w:bCs/>
      <w:snapToGrid w:val="0"/>
      <w:color w:val="000000"/>
      <w:kern w:val="44"/>
      <w:sz w:val="28"/>
      <w:szCs w:val="44"/>
    </w:rPr>
  </w:style>
  <w:style w:type="character" w:customStyle="1" w:styleId="14">
    <w:name w:val="标题 2 字符"/>
    <w:link w:val="3"/>
    <w:autoRedefine/>
    <w:qFormat/>
    <w:uiPriority w:val="0"/>
    <w:rPr>
      <w:rFonts w:ascii="Arial" w:hAnsi="Arial" w:eastAsia="宋体" w:cs="Times New Roman"/>
      <w:sz w:val="28"/>
      <w:szCs w:val="21"/>
    </w:rPr>
  </w:style>
  <w:style w:type="character" w:customStyle="1" w:styleId="15">
    <w:name w:val="NormalCharacter"/>
    <w:autoRedefine/>
    <w:qFormat/>
    <w:uiPriority w:val="0"/>
    <w:rPr>
      <w:rFonts w:ascii="Times New Roman" w:hAnsi="Times New Roman" w:eastAsia="宋体" w:cs="Times New Roman"/>
      <w:kern w:val="2"/>
      <w:sz w:val="21"/>
      <w:szCs w:val="24"/>
      <w:lang w:val="en-US" w:eastAsia="zh-CN" w:bidi="ar-SA"/>
    </w:rPr>
  </w:style>
  <w:style w:type="paragraph" w:customStyle="1" w:styleId="16">
    <w:name w:val="Default"/>
    <w:autoRedefine/>
    <w:qFormat/>
    <w:uiPriority w:val="0"/>
    <w:pPr>
      <w:widowControl w:val="0"/>
      <w:autoSpaceDE w:val="0"/>
      <w:autoSpaceDN w:val="0"/>
      <w:adjustRightInd w:val="0"/>
    </w:pPr>
    <w:rPr>
      <w:rFonts w:ascii="黑体" w:hAnsi="Times New Roman" w:eastAsia="黑体" w:cs="Times New Roman"/>
      <w:lang w:val="en-US" w:eastAsia="zh-CN" w:bidi="ar-SA"/>
    </w:rPr>
  </w:style>
  <w:style w:type="paragraph" w:customStyle="1" w:styleId="17">
    <w:name w:val="Normal_1"/>
    <w:autoRedefine/>
    <w:qFormat/>
    <w:uiPriority w:val="0"/>
    <w:rPr>
      <w:rFonts w:ascii="Calibri" w:hAnsi="Calibri" w:eastAsia="宋体" w:cs="Times New Roman"/>
      <w:sz w:val="24"/>
      <w:szCs w:val="24"/>
      <w:lang w:val="en-US" w:eastAsia="zh-CN" w:bidi="ar-SA"/>
    </w:rPr>
  </w:style>
  <w:style w:type="paragraph" w:customStyle="1" w:styleId="18">
    <w:name w:val="Revision"/>
    <w:autoRedefine/>
    <w:hidden/>
    <w:unhideWhenUsed/>
    <w:qFormat/>
    <w:uiPriority w:val="99"/>
    <w:rPr>
      <w:rFonts w:ascii="Calibri" w:hAnsi="Calibri" w:eastAsia="宋体" w:cs="Times New Roman"/>
      <w:kern w:val="2"/>
      <w:sz w:val="21"/>
      <w:szCs w:val="22"/>
      <w:lang w:val="en-US" w:eastAsia="zh-CN" w:bidi="ar-SA"/>
    </w:rPr>
  </w:style>
  <w:style w:type="character" w:customStyle="1" w:styleId="19">
    <w:name w:val="正文文本 字符"/>
    <w:basedOn w:val="12"/>
    <w:link w:val="5"/>
    <w:autoRedefine/>
    <w:qFormat/>
    <w:uiPriority w:val="0"/>
    <w:rPr>
      <w:rFonts w:ascii="Times New Roman" w:hAnsi="Times New Roman" w:eastAsia="宋体" w:cs="Times New Roman"/>
      <w:kern w:val="2"/>
      <w:sz w:val="21"/>
      <w:szCs w:val="24"/>
    </w:rPr>
  </w:style>
  <w:style w:type="character" w:customStyle="1" w:styleId="20">
    <w:name w:val="页眉 字符"/>
    <w:basedOn w:val="12"/>
    <w:link w:val="8"/>
    <w:autoRedefine/>
    <w:qFormat/>
    <w:uiPriority w:val="0"/>
    <w:rPr>
      <w:rFonts w:ascii="Calibri" w:hAnsi="Calibri" w:eastAsia="宋体" w:cs="Times New Roman"/>
      <w:kern w:val="2"/>
      <w:sz w:val="18"/>
      <w:szCs w:val="18"/>
    </w:rPr>
  </w:style>
  <w:style w:type="character" w:customStyle="1" w:styleId="21">
    <w:name w:val="页脚 字符"/>
    <w:basedOn w:val="12"/>
    <w:link w:val="7"/>
    <w:autoRedefine/>
    <w:qFormat/>
    <w:uiPriority w:val="0"/>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3490</Words>
  <Characters>3605</Characters>
  <Lines>100</Lines>
  <Paragraphs>101</Paragraphs>
  <TotalTime>6</TotalTime>
  <ScaleCrop>false</ScaleCrop>
  <LinksUpToDate>false</LinksUpToDate>
  <CharactersWithSpaces>3615</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2023-04-26T00:33:00Z</dcterms:created>
  <dc:creator>Administrator</dc:creator>
  <cp:lastModifiedBy>蔡蔡</cp:lastModifiedBy>
  <cp:lastPrinted>2026-03-18T03:34:07Z</cp:lastPrinted>
  <dcterms:modified xsi:type="dcterms:W3CDTF">2026-03-18T03:43:04Z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1174EB1BF7004D64A914831D070BCDE7_13</vt:lpwstr>
  </property>
</Properties>
</file>