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rPr>
        <w:t>20</w:t>
      </w:r>
      <w:r>
        <w:rPr>
          <w:rFonts w:hint="eastAsia" w:asciiTheme="majorEastAsia" w:hAnsiTheme="majorEastAsia" w:eastAsiaTheme="majorEastAsia" w:cstheme="majorEastAsia"/>
          <w:b/>
          <w:bCs/>
          <w:sz w:val="44"/>
          <w:szCs w:val="44"/>
          <w:lang w:val="en-US" w:eastAsia="zh-CN"/>
        </w:rPr>
        <w:t>23</w:t>
      </w:r>
      <w:r>
        <w:rPr>
          <w:rFonts w:hint="eastAsia" w:asciiTheme="majorEastAsia" w:hAnsiTheme="majorEastAsia" w:eastAsiaTheme="majorEastAsia" w:cstheme="majorEastAsia"/>
          <w:b/>
          <w:bCs/>
          <w:sz w:val="44"/>
          <w:szCs w:val="44"/>
        </w:rPr>
        <w:t xml:space="preserve">年度长沙市望城区工业和信息化局  </w:t>
      </w:r>
      <w:r>
        <w:rPr>
          <w:rFonts w:hint="eastAsia" w:asciiTheme="majorEastAsia" w:hAnsiTheme="majorEastAsia" w:eastAsiaTheme="majorEastAsia" w:cstheme="majorEastAsia"/>
          <w:b/>
          <w:bCs/>
          <w:sz w:val="44"/>
          <w:szCs w:val="44"/>
          <w:lang w:val="en-US" w:eastAsia="zh-CN"/>
        </w:rPr>
        <w:t xml:space="preserve"> </w:t>
      </w:r>
    </w:p>
    <w:p>
      <w:pPr>
        <w:spacing w:line="56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整体支出预算绩效自评报告</w:t>
      </w:r>
      <w:bookmarkStart w:id="1" w:name="_GoBack"/>
      <w:bookmarkEnd w:id="1"/>
    </w:p>
    <w:p>
      <w:pPr>
        <w:pStyle w:val="14"/>
        <w:widowControl/>
        <w:spacing w:line="600" w:lineRule="exact"/>
        <w:ind w:left="640" w:firstLine="0" w:firstLineChars="0"/>
        <w:rPr>
          <w:rFonts w:hint="eastAsia" w:ascii="仿宋_GB2312" w:hAnsi="仿宋_GB2312" w:eastAsia="仿宋_GB2312" w:cs="仿宋_GB2312"/>
          <w:sz w:val="28"/>
          <w:szCs w:val="28"/>
        </w:rPr>
      </w:pP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一、部门基本情况</w:t>
      </w:r>
    </w:p>
    <w:p>
      <w:pP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 xml:space="preserve">   （一）职能职责</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hAnsi="仿宋_GB2312" w:cs="仿宋_GB2312"/>
          <w:kern w:val="2"/>
          <w:sz w:val="28"/>
          <w:szCs w:val="28"/>
          <w:lang w:val="en-US" w:eastAsia="zh-CN" w:bidi="ar-SA"/>
        </w:rPr>
        <w:t>1.</w:t>
      </w:r>
      <w:r>
        <w:rPr>
          <w:rFonts w:hint="eastAsia" w:ascii="仿宋_GB2312" w:hAnsi="仿宋_GB2312" w:eastAsia="仿宋_GB2312" w:cs="仿宋_GB2312"/>
          <w:kern w:val="2"/>
          <w:sz w:val="28"/>
          <w:szCs w:val="28"/>
          <w:lang w:val="en-US" w:eastAsia="zh-CN" w:bidi="ar-SA"/>
        </w:rPr>
        <w:t>拟定全区工业和信息化领域的发展战略、规划和相关政策措施并组织实施，协调解决有关重大问题；承担综合管理全区工业经济责任；推进信息化与工业化深度融合，促进工业企业数字化、网络化、智能化。</w:t>
      </w:r>
      <w:r>
        <w:rPr>
          <w:rFonts w:hint="default" w:ascii="仿宋_GB2312" w:hAnsi="仿宋_GB2312" w:eastAsia="仿宋_GB2312" w:cs="仿宋_GB2312"/>
          <w:kern w:val="2"/>
          <w:sz w:val="28"/>
          <w:szCs w:val="28"/>
          <w:lang w:val="en-US" w:eastAsia="zh-CN" w:bidi="ar-SA"/>
        </w:rPr>
        <w:t> </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w:t>
      </w:r>
      <w:r>
        <w:rPr>
          <w:rFonts w:hint="eastAsia" w:hAnsi="仿宋_GB2312" w:cs="仿宋_GB2312"/>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负责全区工业经济日常运行调节和市场开拓工作；制定并组织实施工业经济运行调控目标、政策和措施；监测分析工业经济运行态势，协调解决经济运行中的突出矛盾和问题并提出政策建议。</w:t>
      </w:r>
      <w:r>
        <w:rPr>
          <w:rFonts w:hint="default" w:ascii="仿宋_GB2312" w:hAnsi="仿宋_GB2312" w:eastAsia="仿宋_GB2312" w:cs="仿宋_GB2312"/>
          <w:kern w:val="2"/>
          <w:sz w:val="28"/>
          <w:szCs w:val="28"/>
          <w:lang w:val="en-US" w:eastAsia="zh-CN" w:bidi="ar-SA"/>
        </w:rPr>
        <w:t> </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3</w:t>
      </w:r>
      <w:r>
        <w:rPr>
          <w:rFonts w:hint="eastAsia" w:hAnsi="仿宋_GB2312" w:cs="仿宋_GB2312"/>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研究提出工业和信息化领域国家、省、长沙市对口部门和本级财政性建设资金安排建议，协调推进项目建设。</w:t>
      </w:r>
      <w:r>
        <w:rPr>
          <w:rFonts w:hint="default" w:ascii="仿宋_GB2312" w:hAnsi="仿宋_GB2312" w:eastAsia="仿宋_GB2312" w:cs="仿宋_GB2312"/>
          <w:kern w:val="2"/>
          <w:sz w:val="28"/>
          <w:szCs w:val="28"/>
          <w:lang w:val="en-US" w:eastAsia="zh-CN" w:bidi="ar-SA"/>
        </w:rPr>
        <w:t> </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4</w:t>
      </w:r>
      <w:r>
        <w:rPr>
          <w:rFonts w:hint="eastAsia" w:hAnsi="仿宋_GB2312" w:cs="仿宋_GB2312"/>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负责全区工业和信息化领域技术创新、技术进步、企业创新体系建设和品牌建设工作。</w:t>
      </w:r>
      <w:r>
        <w:rPr>
          <w:rFonts w:hint="default" w:ascii="仿宋_GB2312" w:hAnsi="仿宋_GB2312" w:eastAsia="仿宋_GB2312" w:cs="仿宋_GB2312"/>
          <w:kern w:val="2"/>
          <w:sz w:val="28"/>
          <w:szCs w:val="28"/>
          <w:lang w:val="en-US" w:eastAsia="zh-CN" w:bidi="ar-SA"/>
        </w:rPr>
        <w:t> </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5</w:t>
      </w:r>
      <w:r>
        <w:rPr>
          <w:rFonts w:hint="eastAsia" w:hAnsi="仿宋_GB2312" w:cs="仿宋_GB2312"/>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推进中小企业服务体系建设；负责小微企业创业相关服务工作。</w:t>
      </w:r>
      <w:r>
        <w:rPr>
          <w:rFonts w:hint="default" w:ascii="仿宋_GB2312" w:hAnsi="仿宋_GB2312" w:eastAsia="仿宋_GB2312" w:cs="仿宋_GB2312"/>
          <w:kern w:val="2"/>
          <w:sz w:val="28"/>
          <w:szCs w:val="28"/>
          <w:lang w:val="en-US" w:eastAsia="zh-CN" w:bidi="ar-SA"/>
        </w:rPr>
        <w:t> </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6</w:t>
      </w:r>
      <w:r>
        <w:rPr>
          <w:rFonts w:hint="eastAsia" w:hAnsi="仿宋_GB2312" w:cs="仿宋_GB2312"/>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负责工业和信息化领域能源资源综合利用和自愿性清洁生产促进工作，参与协调工业环境保护；负责节能环保产业发展的综合协调工作。</w:t>
      </w:r>
      <w:r>
        <w:rPr>
          <w:rFonts w:hint="default" w:ascii="仿宋_GB2312" w:hAnsi="仿宋_GB2312" w:eastAsia="仿宋_GB2312" w:cs="仿宋_GB2312"/>
          <w:kern w:val="2"/>
          <w:sz w:val="28"/>
          <w:szCs w:val="28"/>
          <w:lang w:val="en-US" w:eastAsia="zh-CN" w:bidi="ar-SA"/>
        </w:rPr>
        <w:t> </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7</w:t>
      </w:r>
      <w:r>
        <w:rPr>
          <w:rFonts w:hint="eastAsia" w:hAnsi="仿宋_GB2312" w:cs="仿宋_GB2312"/>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负责工业和信息化领域行业管理相关工作；规划全区工业产业布局，引导产业结构调整，协调推进优势产业、优势产业集群和战略性新兴产业发展，指导淘汰落后产能工作，协调维护行业竞争秩序，依法组织实施相关行业的准入管理。</w:t>
      </w:r>
      <w:r>
        <w:rPr>
          <w:rFonts w:hint="default" w:ascii="仿宋_GB2312" w:hAnsi="仿宋_GB2312" w:eastAsia="仿宋_GB2312" w:cs="仿宋_GB2312"/>
          <w:kern w:val="2"/>
          <w:sz w:val="28"/>
          <w:szCs w:val="28"/>
          <w:lang w:val="en-US" w:eastAsia="zh-CN" w:bidi="ar-SA"/>
        </w:rPr>
        <w:t> </w:t>
      </w:r>
    </w:p>
    <w:p>
      <w:pPr>
        <w:snapToGrid w:val="0"/>
        <w:spacing w:line="520" w:lineRule="exact"/>
        <w:ind w:firstLine="560" w:firstLineChars="200"/>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8</w:t>
      </w:r>
      <w:r>
        <w:rPr>
          <w:rFonts w:hint="eastAsia" w:hAnsi="仿宋_GB2312" w:cs="仿宋_GB2312"/>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负责全区工业领域信息化的统筹规划、指导协调和监督管理工作；组织推进信息产业发展；承担通信安全和应急通信协调工作；协调推进网络基础设施建设；联系中国电信、中国移动、中国联通、中国铁塔等通讯部门驻望机构。</w:t>
      </w:r>
      <w:r>
        <w:rPr>
          <w:rFonts w:hint="default" w:ascii="仿宋_GB2312" w:hAnsi="仿宋_GB2312" w:eastAsia="仿宋_GB2312" w:cs="仿宋_GB2312"/>
          <w:kern w:val="2"/>
          <w:sz w:val="28"/>
          <w:szCs w:val="28"/>
          <w:lang w:val="en-US" w:eastAsia="zh-CN" w:bidi="ar-SA"/>
        </w:rPr>
        <w:t> </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b w:val="0"/>
          <w:bCs w:val="0"/>
          <w:sz w:val="28"/>
          <w:szCs w:val="28"/>
        </w:rPr>
        <w:t>（</w:t>
      </w:r>
      <w:r>
        <w:rPr>
          <w:rFonts w:hint="eastAsia" w:hAnsi="仿宋_GB2312" w:cs="仿宋_GB2312"/>
          <w:b w:val="0"/>
          <w:bCs w:val="0"/>
          <w:sz w:val="28"/>
          <w:szCs w:val="28"/>
          <w:lang w:eastAsia="zh-CN"/>
        </w:rPr>
        <w:t>二</w:t>
      </w:r>
      <w:r>
        <w:rPr>
          <w:rFonts w:hint="eastAsia" w:ascii="仿宋_GB2312" w:hAnsi="仿宋_GB2312" w:eastAsia="仿宋_GB2312" w:cs="仿宋_GB2312"/>
          <w:b w:val="0"/>
          <w:bCs w:val="0"/>
          <w:sz w:val="28"/>
          <w:szCs w:val="28"/>
        </w:rPr>
        <w:t>）</w:t>
      </w:r>
      <w:r>
        <w:rPr>
          <w:rFonts w:hint="eastAsia" w:ascii="仿宋_GB2312" w:hAnsi="仿宋_GB2312" w:eastAsia="仿宋_GB2312" w:cs="仿宋_GB2312"/>
          <w:kern w:val="2"/>
          <w:sz w:val="28"/>
          <w:szCs w:val="28"/>
          <w:lang w:val="en-US" w:eastAsia="zh-CN" w:bidi="ar-SA"/>
        </w:rPr>
        <w:t>机构情况</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长沙市望城区工业和信息化局内设科室5个包括：办公室、运行监测科、产业发展科、信息化科、陶瓷产业科。</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区城镇集体工业联社内设行政办公室、财务科、劳动人事科三个科室。</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b w:val="0"/>
          <w:bCs w:val="0"/>
          <w:sz w:val="28"/>
          <w:szCs w:val="28"/>
        </w:rPr>
        <w:t>（</w:t>
      </w:r>
      <w:r>
        <w:rPr>
          <w:rFonts w:hint="eastAsia" w:hAnsi="仿宋_GB2312" w:cs="仿宋_GB2312"/>
          <w:b w:val="0"/>
          <w:bCs w:val="0"/>
          <w:sz w:val="28"/>
          <w:szCs w:val="28"/>
          <w:lang w:eastAsia="zh-CN"/>
        </w:rPr>
        <w:t>三</w:t>
      </w:r>
      <w:r>
        <w:rPr>
          <w:rFonts w:hint="eastAsia" w:ascii="仿宋_GB2312" w:hAnsi="仿宋_GB2312" w:eastAsia="仿宋_GB2312" w:cs="仿宋_GB2312"/>
          <w:b w:val="0"/>
          <w:bCs w:val="0"/>
          <w:sz w:val="28"/>
          <w:szCs w:val="28"/>
        </w:rPr>
        <w:t>）</w:t>
      </w:r>
      <w:r>
        <w:rPr>
          <w:rFonts w:hint="eastAsia" w:ascii="仿宋_GB2312" w:hAnsi="仿宋_GB2312" w:eastAsia="仿宋_GB2312" w:cs="仿宋_GB2312"/>
          <w:kern w:val="2"/>
          <w:sz w:val="28"/>
          <w:szCs w:val="28"/>
          <w:lang w:val="en-US" w:eastAsia="zh-CN" w:bidi="ar-SA"/>
        </w:rPr>
        <w:t>人员情况</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工信局行政编制15个，工勤编2个；事业编3个。期末实有在职人员14人；政府雇员1人；合同制士官1人。</w:t>
      </w:r>
    </w:p>
    <w:p>
      <w:pPr>
        <w:pStyle w:val="10"/>
        <w:keepNext w:val="0"/>
        <w:keepLines w:val="0"/>
        <w:widowControl/>
        <w:suppressLineNumbers w:val="0"/>
        <w:spacing w:before="0" w:beforeAutospacing="0" w:after="1" w:afterAutospacing="0"/>
        <w:ind w:left="0" w:right="0" w:firstLine="641"/>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工业联社年末在职职工6人，临聘人员2人。本年度新增退休人员一名，一名退休人员死亡，年末实有退休人员22人。</w:t>
      </w:r>
    </w:p>
    <w:p>
      <w:pPr>
        <w:numPr>
          <w:ilvl w:val="0"/>
          <w:numId w:val="1"/>
        </w:numPr>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部门整体预算支出情况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2023年</w:t>
      </w:r>
      <w:r>
        <w:rPr>
          <w:rFonts w:hint="eastAsia" w:hAnsi="仿宋_GB2312" w:cs="仿宋_GB2312"/>
          <w:sz w:val="28"/>
          <w:szCs w:val="28"/>
          <w:lang w:val="en-US" w:eastAsia="zh-CN"/>
        </w:rPr>
        <w:t>本部门整体</w:t>
      </w:r>
      <w:r>
        <w:rPr>
          <w:rFonts w:hint="eastAsia" w:ascii="仿宋_GB2312" w:hAnsi="仿宋_GB2312" w:eastAsia="仿宋_GB2312" w:cs="仿宋_GB2312"/>
          <w:sz w:val="28"/>
          <w:szCs w:val="28"/>
          <w:lang w:val="en-US" w:eastAsia="zh-CN"/>
        </w:rPr>
        <w:t>支出22821.64万元。</w:t>
      </w:r>
      <w:r>
        <w:rPr>
          <w:rFonts w:hint="eastAsia" w:ascii="仿宋_GB2312" w:hAnsi="仿宋_GB2312" w:eastAsia="仿宋_GB2312" w:cs="仿宋_GB2312"/>
          <w:sz w:val="28"/>
          <w:szCs w:val="28"/>
        </w:rPr>
        <w:t>具体安排情况如下:</w:t>
      </w:r>
    </w:p>
    <w:p>
      <w:pPr>
        <w:numPr>
          <w:ilvl w:val="0"/>
          <w:numId w:val="0"/>
        </w:numPr>
        <w:rPr>
          <w:rFonts w:hint="eastAsia" w:ascii="仿宋_GB2312" w:hAnsi="仿宋_GB2312" w:eastAsia="仿宋_GB2312" w:cs="仿宋_GB2312"/>
          <w:sz w:val="28"/>
          <w:szCs w:val="28"/>
        </w:rPr>
      </w:pPr>
      <w:r>
        <w:rPr>
          <w:rFonts w:hint="eastAsia" w:hAnsi="仿宋_GB2312" w:cs="仿宋_GB2312"/>
          <w:sz w:val="28"/>
          <w:szCs w:val="28"/>
          <w:lang w:val="en-US" w:eastAsia="zh-CN"/>
        </w:rPr>
        <w:t xml:space="preserve">    （一）</w:t>
      </w:r>
      <w:r>
        <w:rPr>
          <w:rFonts w:hint="eastAsia" w:ascii="仿宋_GB2312" w:hAnsi="仿宋_GB2312" w:eastAsia="仿宋_GB2312" w:cs="仿宋_GB2312"/>
          <w:sz w:val="28"/>
          <w:szCs w:val="28"/>
        </w:rPr>
        <w:t>基本支出</w:t>
      </w:r>
      <w:r>
        <w:rPr>
          <w:rFonts w:hint="eastAsia" w:ascii="仿宋_GB2312" w:hAnsi="仿宋_GB2312" w:eastAsia="仿宋_GB2312" w:cs="仿宋_GB2312"/>
          <w:sz w:val="28"/>
          <w:szCs w:val="28"/>
          <w:lang w:eastAsia="zh-CN"/>
        </w:rPr>
        <w:t>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2023年基本支出1013.53万元，占总支出的4.44%。是指为保障单位机构正常运转、完成日常工作任务而发生的各项支出，包括用于基本工资、津贴补贴等人员经费以及办公费、印刷费、水电费、办公设备购置等日常公用经费。</w:t>
      </w:r>
      <w:r>
        <w:rPr>
          <w:rFonts w:hint="eastAsia" w:hAnsi="仿宋_GB2312" w:cs="仿宋_GB2312"/>
          <w:sz w:val="28"/>
          <w:szCs w:val="28"/>
          <w:lang w:val="en-US" w:eastAsia="zh-CN"/>
        </w:rPr>
        <w:t>其中人员经费980.62万元，公用经费32.91万元。</w:t>
      </w:r>
    </w:p>
    <w:p>
      <w:pPr>
        <w:pStyle w:val="14"/>
        <w:widowControl/>
        <w:spacing w:line="60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kern w:val="2"/>
          <w:sz w:val="28"/>
          <w:szCs w:val="28"/>
          <w:lang w:val="en-US" w:eastAsia="zh-CN" w:bidi="ar-SA"/>
        </w:rPr>
        <w:t>（二）</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rPr>
        <w:t>支出</w:t>
      </w:r>
      <w:r>
        <w:rPr>
          <w:rFonts w:hint="eastAsia" w:ascii="仿宋_GB2312" w:hAnsi="仿宋_GB2312" w:eastAsia="仿宋_GB2312" w:cs="仿宋_GB2312"/>
          <w:sz w:val="28"/>
          <w:szCs w:val="28"/>
          <w:lang w:eastAsia="zh-CN"/>
        </w:rPr>
        <w:t>情况</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2023年项目支出21808.11万元，占总支出的95.56%。是指单位为完成特定行政工作任务或事业发展目标而发生的支出,其中：一般公共服务支出11万元。科学技术支出6796.12万元。社会保障和就业支出4504.2万元。节能环保专项支出3408.85万元。资源勘探工业信息等支出7038万元。商业服务业等专项支出15.86万元。灾害防治及应急管理专项支出34.08万元。</w:t>
      </w:r>
    </w:p>
    <w:p>
      <w:pPr>
        <w:widowControl/>
        <w:numPr>
          <w:ilvl w:val="0"/>
          <w:numId w:val="1"/>
        </w:numPr>
        <w:spacing w:line="600" w:lineRule="exact"/>
        <w:ind w:left="0" w:leftChars="0" w:firstLine="0" w:firstLineChars="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部门整体支出绩效情况</w:t>
      </w:r>
    </w:p>
    <w:p>
      <w:pPr>
        <w:widowControl/>
        <w:numPr>
          <w:ilvl w:val="0"/>
          <w:numId w:val="0"/>
        </w:numPr>
        <w:spacing w:line="600" w:lineRule="exact"/>
        <w:ind w:leftChars="0" w:firstLine="560" w:firstLineChars="200"/>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（一）当年取得的主要事业成效</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1.工业首位度突出。</w:t>
      </w:r>
      <w:r>
        <w:rPr>
          <w:rFonts w:hint="default" w:ascii="仿宋_GB2312" w:hAnsi="仿宋_GB2312" w:eastAsia="仿宋_GB2312" w:cs="仿宋_GB2312"/>
          <w:bCs/>
          <w:sz w:val="28"/>
          <w:szCs w:val="28"/>
          <w:lang w:val="en-US" w:eastAsia="zh-CN"/>
        </w:rPr>
        <w:t>2023年1-10月全区规模工业增加值同比增长</w:t>
      </w:r>
      <w:r>
        <w:rPr>
          <w:rFonts w:hint="eastAsia" w:ascii="仿宋_GB2312" w:hAnsi="仿宋_GB2312" w:eastAsia="仿宋_GB2312" w:cs="仿宋_GB2312"/>
          <w:bCs/>
          <w:sz w:val="28"/>
          <w:szCs w:val="28"/>
          <w:lang w:val="en-US" w:eastAsia="zh-CN"/>
        </w:rPr>
        <w:t>6</w:t>
      </w:r>
      <w:r>
        <w:rPr>
          <w:rFonts w:hint="default" w:ascii="仿宋_GB2312" w:hAnsi="仿宋_GB2312" w:eastAsia="仿宋_GB2312" w:cs="仿宋_GB2312"/>
          <w:bCs/>
          <w:sz w:val="28"/>
          <w:szCs w:val="28"/>
          <w:lang w:val="en-US" w:eastAsia="zh-CN"/>
        </w:rPr>
        <w:t>%，排长沙市四区县（市）第一，排内城区第二。工业税收增长35.2%，工业用电同比增长6.</w:t>
      </w:r>
      <w:r>
        <w:rPr>
          <w:rFonts w:hint="eastAsia" w:ascii="仿宋_GB2312" w:hAnsi="仿宋_GB2312" w:eastAsia="仿宋_GB2312" w:cs="仿宋_GB2312"/>
          <w:bCs/>
          <w:sz w:val="28"/>
          <w:szCs w:val="28"/>
          <w:lang w:val="en-US" w:eastAsia="zh-CN"/>
        </w:rPr>
        <w:t>88</w:t>
      </w:r>
      <w:r>
        <w:rPr>
          <w:rFonts w:hint="default" w:ascii="仿宋_GB2312" w:hAnsi="仿宋_GB2312" w:eastAsia="仿宋_GB2312" w:cs="仿宋_GB2312"/>
          <w:bCs/>
          <w:sz w:val="28"/>
          <w:szCs w:val="28"/>
          <w:lang w:val="en-US" w:eastAsia="zh-CN"/>
        </w:rPr>
        <w:t>%，1-9月工业增加值占GDP比重达34.9%，1-9月制造业增加值占GDP的比重为29.4%，排内五区第二。工业对全区经济的贡献进一步提高。</w:t>
      </w:r>
    </w:p>
    <w:p>
      <w:pPr>
        <w:widowControl/>
        <w:numPr>
          <w:ilvl w:val="0"/>
          <w:numId w:val="0"/>
        </w:numPr>
        <w:spacing w:line="600" w:lineRule="exact"/>
        <w:ind w:leftChars="0" w:firstLine="560" w:firstLineChars="200"/>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企业梯队式进化。形成了2家百亿级企业、4家五十亿级企业、9家十亿级企业、7家税收过亿元企业、4家本土上市企业、2个国家单项冠军企业（产品）、16家国家级小巨人企业、7家省级单项冠军企业91家省级专精特新企业构成的产业梯队，20家企业获得“创客中国”省、市赛三等奖以上名次，金龙电缆入围创客中国500强。多点支撑、齐头并进、创新驱动的企业梯队更加稳固。</w:t>
      </w:r>
    </w:p>
    <w:p>
      <w:pPr>
        <w:widowControl/>
        <w:numPr>
          <w:ilvl w:val="0"/>
          <w:numId w:val="0"/>
        </w:numPr>
        <w:spacing w:line="600" w:lineRule="exact"/>
        <w:ind w:leftChars="0" w:firstLine="560" w:firstLineChars="200"/>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3.产业集群化发展。聚焦新型合金、绿色食品、智能终端（含新一代半导体）、医药医疗器械以及先进储能材料等五条重点产业链，深入实行区领导+园区领导“双链长”制，围绕产业链延链强链补链。2023年，望城区特殊食品产业集群确定为湖南省中小企业特色产业集群培育对象，新型合金材料产业集群新晋省级先进制造业集群。1-11月份，5条产业链共实现产值627.4亿元，实现税收23.2亿元，同比增长12.1%。</w:t>
      </w:r>
    </w:p>
    <w:p>
      <w:pPr>
        <w:widowControl/>
        <w:numPr>
          <w:ilvl w:val="0"/>
          <w:numId w:val="0"/>
        </w:numPr>
        <w:spacing w:line="600" w:lineRule="exact"/>
        <w:ind w:leftChars="0" w:firstLine="560" w:firstLineChars="200"/>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4.政策组合式运用。出台《长沙市望城区以存量扩增量促进工业经济高质量发展若干政策措施》“八促”26条具体措施，推出政策宣讲“望城工信”视频号，惠企政策80%实现“免申即享”，企业服务“雷锋哨”形成品牌，干部联系服务企业成为常态。2023年预计为企业兑现区级“真金白银”奖励达1亿元，已为企业争取上级资金9591.8万元。</w:t>
      </w:r>
    </w:p>
    <w:p>
      <w:pPr>
        <w:widowControl/>
        <w:numPr>
          <w:ilvl w:val="0"/>
          <w:numId w:val="0"/>
        </w:numPr>
        <w:spacing w:line="600" w:lineRule="exact"/>
        <w:ind w:leftChars="0" w:firstLine="560" w:firstLineChars="200"/>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5．“智赋万企”实质性见效。</w:t>
      </w:r>
      <w:r>
        <w:rPr>
          <w:rFonts w:hint="default" w:ascii="仿宋_GB2312" w:hAnsi="仿宋_GB2312" w:eastAsia="仿宋_GB2312" w:cs="仿宋_GB2312"/>
          <w:bCs/>
          <w:sz w:val="28"/>
          <w:szCs w:val="28"/>
          <w:lang w:val="en-US" w:eastAsia="zh-CN"/>
        </w:rPr>
        <w:t>以智能化</w:t>
      </w:r>
      <w:r>
        <w:rPr>
          <w:rFonts w:hint="eastAsia" w:ascii="仿宋_GB2312" w:hAnsi="仿宋_GB2312" w:eastAsia="仿宋_GB2312" w:cs="仿宋_GB2312"/>
          <w:bCs/>
          <w:sz w:val="28"/>
          <w:szCs w:val="28"/>
          <w:lang w:val="en-US" w:eastAsia="zh-CN"/>
        </w:rPr>
        <w:t>改造和数字化转型</w:t>
      </w:r>
      <w:r>
        <w:rPr>
          <w:rFonts w:hint="default" w:ascii="仿宋_GB2312" w:hAnsi="仿宋_GB2312" w:eastAsia="仿宋_GB2312" w:cs="仿宋_GB2312"/>
          <w:bCs/>
          <w:sz w:val="28"/>
          <w:szCs w:val="28"/>
          <w:lang w:val="en-US" w:eastAsia="zh-CN"/>
        </w:rPr>
        <w:t>为发展方向，对传统产业进行全方位、全链条改造，</w:t>
      </w:r>
      <w:r>
        <w:rPr>
          <w:rFonts w:hint="eastAsia" w:ascii="仿宋_GB2312" w:hAnsi="仿宋_GB2312" w:eastAsia="仿宋_GB2312" w:cs="仿宋_GB2312"/>
          <w:bCs/>
          <w:sz w:val="28"/>
          <w:szCs w:val="28"/>
          <w:lang w:val="en-US" w:eastAsia="zh-CN"/>
        </w:rPr>
        <w:t>大力度推进</w:t>
      </w:r>
      <w:r>
        <w:rPr>
          <w:rFonts w:hint="default" w:ascii="仿宋_GB2312" w:hAnsi="仿宋_GB2312" w:eastAsia="仿宋_GB2312" w:cs="仿宋_GB2312"/>
          <w:bCs/>
          <w:sz w:val="28"/>
          <w:szCs w:val="28"/>
          <w:lang w:val="en-US" w:eastAsia="zh-CN"/>
        </w:rPr>
        <w:t>“智赋万企”</w:t>
      </w:r>
      <w:r>
        <w:rPr>
          <w:rFonts w:hint="eastAsia" w:ascii="仿宋_GB2312" w:hAnsi="仿宋_GB2312" w:eastAsia="仿宋_GB2312" w:cs="仿宋_GB2312"/>
          <w:bCs/>
          <w:sz w:val="28"/>
          <w:szCs w:val="28"/>
          <w:lang w:val="en-US" w:eastAsia="zh-CN"/>
        </w:rPr>
        <w:t>行动。累计推动54家企业通过国家两化融合管理体系贯标，新增国家智能制造优秀场景2家、省级智能制造示范车间4家、省级制造业“三化”重点项目4家、省级“上云上平台”标杆企业1家，累计培育国家级绿色工厂15家，省级绿色工厂超50家。望城经验被市政府政研室以《为企业腾飞插上智能化翅膀—关于望城区聚焦传统产业推进“智赋万企”行动的调查与思考》为题进行专题报道，获海兵副省长、彭涛副市长批示，海兵副省长批示“在全市推广好经验”；被省工信厅以《长沙市望城区：构建优质服务推进企业数字化转型》为题，刊登在《湖南省开展“智赋万企”行动工作专报》第4期。</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6．陶瓷产业传承式发展。组织陶瓷企业参展活动。</w:t>
      </w:r>
      <w:r>
        <w:rPr>
          <w:rFonts w:hint="default" w:ascii="仿宋_GB2312" w:hAnsi="仿宋_GB2312" w:eastAsia="仿宋_GB2312" w:cs="仿宋_GB2312"/>
          <w:bCs/>
          <w:sz w:val="28"/>
          <w:szCs w:val="28"/>
          <w:lang w:val="en-US" w:eastAsia="zh-CN"/>
        </w:rPr>
        <w:t>宣传铜官陶瓷历史文化，帮助企业开拓销售市场，组织区内陶瓷企业参加了2023中国工艺美术博览会等全国性展会、博览会5次，前往景德镇</w:t>
      </w:r>
      <w:r>
        <w:rPr>
          <w:rFonts w:hint="eastAsia" w:ascii="仿宋_GB2312" w:hAnsi="仿宋_GB2312" w:eastAsia="仿宋_GB2312" w:cs="仿宋_GB2312"/>
          <w:bCs/>
          <w:sz w:val="28"/>
          <w:szCs w:val="28"/>
          <w:lang w:val="en-US" w:eastAsia="zh-CN"/>
        </w:rPr>
        <w:t>等地</w:t>
      </w:r>
      <w:r>
        <w:rPr>
          <w:rFonts w:hint="default" w:ascii="仿宋_GB2312" w:hAnsi="仿宋_GB2312" w:eastAsia="仿宋_GB2312" w:cs="仿宋_GB2312"/>
          <w:bCs/>
          <w:sz w:val="28"/>
          <w:szCs w:val="28"/>
          <w:lang w:val="en-US" w:eastAsia="zh-CN"/>
        </w:rPr>
        <w:t>进行陶瓷产业考察学习活动，加强工艺美术行业的交流与合作。设立铜官陶瓷陈列馆。传承保护展示铜陶历史、文化和记忆，选址铜官老地标建筑铜陶俱乐部，分“总书记指示、千年窑火、建国陶瓷、当代精品、新型陶瓷展望”等篇章，</w:t>
      </w:r>
      <w:r>
        <w:rPr>
          <w:rFonts w:hint="eastAsia" w:ascii="仿宋_GB2312" w:hAnsi="仿宋_GB2312" w:eastAsia="仿宋_GB2312" w:cs="仿宋_GB2312"/>
          <w:bCs/>
          <w:sz w:val="28"/>
          <w:szCs w:val="28"/>
          <w:lang w:val="en-US" w:eastAsia="zh-CN"/>
        </w:rPr>
        <w:t>拟</w:t>
      </w:r>
      <w:r>
        <w:rPr>
          <w:rFonts w:hint="default" w:ascii="仿宋_GB2312" w:hAnsi="仿宋_GB2312" w:eastAsia="仿宋_GB2312" w:cs="仿宋_GB2312"/>
          <w:bCs/>
          <w:sz w:val="28"/>
          <w:szCs w:val="28"/>
          <w:lang w:val="en-US" w:eastAsia="zh-CN"/>
        </w:rPr>
        <w:t>打造铜官陶瓷陈列馆，现已完成</w:t>
      </w:r>
      <w:r>
        <w:rPr>
          <w:rFonts w:hint="eastAsia" w:ascii="仿宋_GB2312" w:hAnsi="仿宋_GB2312" w:eastAsia="仿宋_GB2312" w:cs="仿宋_GB2312"/>
          <w:bCs/>
          <w:sz w:val="28"/>
          <w:szCs w:val="28"/>
          <w:lang w:val="en-US" w:eastAsia="zh-CN"/>
        </w:rPr>
        <w:t>藏品</w:t>
      </w:r>
      <w:r>
        <w:rPr>
          <w:rFonts w:hint="default" w:ascii="仿宋_GB2312" w:hAnsi="仿宋_GB2312" w:eastAsia="仿宋_GB2312" w:cs="仿宋_GB2312"/>
          <w:bCs/>
          <w:sz w:val="28"/>
          <w:szCs w:val="28"/>
          <w:lang w:val="en-US" w:eastAsia="zh-CN"/>
        </w:rPr>
        <w:t>清点和转运工作。开展陶瓷产业课题调研。找准转型升级路径，推动传统产业高质量发展（以陶瓷产业为例），摸清我区陶瓷产业底数，形成调研报告，为陶瓷产业转型升级发展提出了</w:t>
      </w:r>
      <w:r>
        <w:rPr>
          <w:rFonts w:hint="eastAsia" w:ascii="仿宋_GB2312" w:hAnsi="仿宋_GB2312" w:eastAsia="仿宋_GB2312" w:cs="仿宋_GB2312"/>
          <w:bCs/>
          <w:sz w:val="28"/>
          <w:szCs w:val="28"/>
          <w:lang w:val="en-US" w:eastAsia="zh-CN"/>
        </w:rPr>
        <w:t>进一步</w:t>
      </w:r>
      <w:r>
        <w:rPr>
          <w:rFonts w:hint="default" w:ascii="仿宋_GB2312" w:hAnsi="仿宋_GB2312" w:eastAsia="仿宋_GB2312" w:cs="仿宋_GB2312"/>
          <w:bCs/>
          <w:sz w:val="28"/>
          <w:szCs w:val="28"/>
          <w:lang w:val="en-US" w:eastAsia="zh-CN"/>
        </w:rPr>
        <w:t>建议。</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7．安全稳定全面性保障。</w:t>
      </w:r>
      <w:r>
        <w:rPr>
          <w:rFonts w:hint="default" w:ascii="仿宋_GB2312" w:hAnsi="仿宋_GB2312" w:eastAsia="仿宋_GB2312" w:cs="仿宋_GB2312"/>
          <w:bCs/>
          <w:sz w:val="28"/>
          <w:szCs w:val="28"/>
          <w:lang w:val="en-US" w:eastAsia="zh-CN"/>
        </w:rPr>
        <w:t>主动用心用情做好了改制企业、集体企业、铜官陶瓷总公司公房安全、下岗职工管理服务等工作。积极化解矛盾，防范各类风险，没有上交矛盾，连续两年进省市“零”上访。今年以来，全局组织召开安全生产专题学习会议19次，开展各种演练培训4场次，参与人员达到330余人次；发放有奖举报告知牌52份，发放11类安全隐患举报宣传册等资料600余份</w:t>
      </w:r>
      <w:r>
        <w:rPr>
          <w:rFonts w:hint="eastAsia" w:ascii="仿宋_GB2312" w:hAnsi="仿宋_GB2312" w:eastAsia="仿宋_GB2312" w:cs="仿宋_GB2312"/>
          <w:bCs/>
          <w:sz w:val="28"/>
          <w:szCs w:val="28"/>
          <w:lang w:val="en-US" w:eastAsia="zh-CN"/>
        </w:rPr>
        <w:t>；</w:t>
      </w:r>
      <w:r>
        <w:rPr>
          <w:rFonts w:hint="default" w:ascii="仿宋_GB2312" w:hAnsi="仿宋_GB2312" w:eastAsia="仿宋_GB2312" w:cs="仿宋_GB2312"/>
          <w:bCs/>
          <w:sz w:val="28"/>
          <w:szCs w:val="28"/>
          <w:lang w:val="en-US" w:eastAsia="zh-CN"/>
        </w:rPr>
        <w:t>组织开展企业安全生产督查31次，督查企业118家，发现问题隐患459处，已全部进行现场交办。</w:t>
      </w:r>
    </w:p>
    <w:p>
      <w:pPr>
        <w:widowControl/>
        <w:numPr>
          <w:ilvl w:val="0"/>
          <w:numId w:val="0"/>
        </w:numPr>
        <w:spacing w:line="600" w:lineRule="exact"/>
        <w:ind w:leftChars="0" w:firstLine="560" w:firstLineChars="200"/>
        <w:jc w:val="left"/>
        <w:rPr>
          <w:rFonts w:hint="eastAsia" w:ascii="仿宋_GB2312" w:hAnsi="仿宋_GB2312" w:eastAsia="仿宋_GB2312" w:cs="仿宋_GB2312"/>
          <w:bCs/>
          <w:sz w:val="28"/>
          <w:szCs w:val="28"/>
          <w:lang w:val="en-US" w:eastAsia="zh-CN"/>
        </w:rPr>
      </w:pPr>
      <w:bookmarkStart w:id="0" w:name="YS060103"/>
      <w:r>
        <w:rPr>
          <w:rFonts w:hint="eastAsia" w:ascii="仿宋_GB2312" w:hAnsi="仿宋_GB2312" w:eastAsia="仿宋_GB2312" w:cs="仿宋_GB2312"/>
          <w:bCs/>
          <w:sz w:val="28"/>
          <w:szCs w:val="28"/>
          <w:lang w:val="en-US" w:eastAsia="zh-CN"/>
        </w:rPr>
        <w:t>（二）绩效目标完成情况</w:t>
      </w:r>
    </w:p>
    <w:p>
      <w:pPr>
        <w:widowControl/>
        <w:numPr>
          <w:ilvl w:val="0"/>
          <w:numId w:val="0"/>
        </w:numPr>
        <w:spacing w:line="600" w:lineRule="exact"/>
        <w:ind w:leftChars="0" w:firstLine="560" w:firstLineChars="200"/>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本单位较好的完成了年初制定的项目绩效目标，具体情况如下：</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default" w:ascii="仿宋_GB2312" w:hAnsi="仿宋_GB2312" w:eastAsia="仿宋_GB2312" w:cs="仿宋_GB2312"/>
          <w:bCs/>
          <w:sz w:val="28"/>
          <w:szCs w:val="28"/>
          <w:lang w:val="en-US" w:eastAsia="zh-CN"/>
        </w:rPr>
        <w:t>1.数量指标</w:t>
      </w:r>
      <w:r>
        <w:rPr>
          <w:rFonts w:hint="eastAsia" w:ascii="仿宋_GB2312" w:hAnsi="仿宋_GB2312" w:eastAsia="仿宋_GB2312" w:cs="仿宋_GB2312"/>
          <w:bCs/>
          <w:sz w:val="28"/>
          <w:szCs w:val="28"/>
          <w:lang w:val="en-US" w:eastAsia="zh-CN"/>
        </w:rPr>
        <w:t>：协助35家智能制造业完成试点企业申报；协助10家企业获得绿色工厂、绿色设计产品、绿色供应链管理示范企业称号；新建5G基站1100处；新增规模工业企业20家；工业技改投资增长10%。</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2.质量指标：新增规模工业企业完成率达到1</w:t>
      </w:r>
      <w:r>
        <w:rPr>
          <w:rFonts w:hint="default" w:ascii="仿宋_GB2312" w:hAnsi="仿宋_GB2312" w:eastAsia="仿宋_GB2312" w:cs="仿宋_GB2312"/>
          <w:bCs/>
          <w:sz w:val="28"/>
          <w:szCs w:val="28"/>
          <w:lang w:val="en-US" w:eastAsia="zh-CN"/>
        </w:rPr>
        <w:t>00%</w:t>
      </w:r>
      <w:r>
        <w:rPr>
          <w:rFonts w:hint="eastAsia" w:ascii="仿宋_GB2312" w:hAnsi="仿宋_GB2312" w:eastAsia="仿宋_GB2312" w:cs="仿宋_GB2312"/>
          <w:bCs/>
          <w:sz w:val="28"/>
          <w:szCs w:val="28"/>
          <w:lang w:val="en-US" w:eastAsia="zh-CN"/>
        </w:rPr>
        <w:t>；新建5G基站完成率达到1</w:t>
      </w:r>
      <w:r>
        <w:rPr>
          <w:rFonts w:hint="default" w:ascii="仿宋_GB2312" w:hAnsi="仿宋_GB2312" w:eastAsia="仿宋_GB2312" w:cs="仿宋_GB2312"/>
          <w:bCs/>
          <w:sz w:val="28"/>
          <w:szCs w:val="28"/>
          <w:lang w:val="en-US" w:eastAsia="zh-CN"/>
        </w:rPr>
        <w:t>00%</w:t>
      </w:r>
      <w:r>
        <w:rPr>
          <w:rFonts w:hint="eastAsia" w:ascii="仿宋_GB2312" w:hAnsi="仿宋_GB2312" w:eastAsia="仿宋_GB2312" w:cs="仿宋_GB2312"/>
          <w:bCs/>
          <w:sz w:val="28"/>
          <w:szCs w:val="28"/>
          <w:lang w:val="en-US" w:eastAsia="zh-CN"/>
        </w:rPr>
        <w:t>；智能制造业试点企业完成率达到1</w:t>
      </w:r>
      <w:r>
        <w:rPr>
          <w:rFonts w:hint="default" w:ascii="仿宋_GB2312" w:hAnsi="仿宋_GB2312" w:eastAsia="仿宋_GB2312" w:cs="仿宋_GB2312"/>
          <w:bCs/>
          <w:sz w:val="28"/>
          <w:szCs w:val="28"/>
          <w:lang w:val="en-US" w:eastAsia="zh-CN"/>
        </w:rPr>
        <w:t>00%</w:t>
      </w:r>
      <w:r>
        <w:rPr>
          <w:rFonts w:hint="eastAsia" w:ascii="仿宋_GB2312" w:hAnsi="仿宋_GB2312" w:eastAsia="仿宋_GB2312" w:cs="仿宋_GB2312"/>
          <w:bCs/>
          <w:sz w:val="28"/>
          <w:szCs w:val="28"/>
          <w:lang w:val="en-US" w:eastAsia="zh-CN"/>
        </w:rPr>
        <w:t>；申报国家、省、市重大产业扶持项目，获得省级、国家级奖项、称号或等级评级；部门每一项工作质量均达到部门绩效目标要求；飞线整治完结率达到</w:t>
      </w:r>
      <w:r>
        <w:rPr>
          <w:rFonts w:hint="default" w:ascii="仿宋_GB2312" w:hAnsi="仿宋_GB2312" w:eastAsia="仿宋_GB2312" w:cs="仿宋_GB2312"/>
          <w:bCs/>
          <w:sz w:val="28"/>
          <w:szCs w:val="28"/>
          <w:lang w:val="en-US" w:eastAsia="zh-CN"/>
        </w:rPr>
        <w:t>100%</w:t>
      </w:r>
      <w:r>
        <w:rPr>
          <w:rFonts w:hint="eastAsia" w:ascii="仿宋_GB2312" w:hAnsi="仿宋_GB2312" w:eastAsia="仿宋_GB2312" w:cs="仿宋_GB2312"/>
          <w:bCs/>
          <w:sz w:val="28"/>
          <w:szCs w:val="28"/>
          <w:lang w:val="en-US" w:eastAsia="zh-CN"/>
        </w:rPr>
        <w:t>；重点工作办结率达到1</w:t>
      </w:r>
      <w:r>
        <w:rPr>
          <w:rFonts w:hint="default" w:ascii="仿宋_GB2312" w:hAnsi="仿宋_GB2312" w:eastAsia="仿宋_GB2312" w:cs="仿宋_GB2312"/>
          <w:bCs/>
          <w:sz w:val="28"/>
          <w:szCs w:val="28"/>
          <w:lang w:val="en-US" w:eastAsia="zh-CN"/>
        </w:rPr>
        <w:t>00%</w:t>
      </w:r>
      <w:r>
        <w:rPr>
          <w:rFonts w:hint="eastAsia" w:ascii="仿宋_GB2312" w:hAnsi="仿宋_GB2312" w:eastAsia="仿宋_GB2312" w:cs="仿宋_GB2312"/>
          <w:bCs/>
          <w:sz w:val="28"/>
          <w:szCs w:val="28"/>
          <w:lang w:val="en-US" w:eastAsia="zh-CN"/>
        </w:rPr>
        <w:t>。</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3.时效指标：规定时限内及时完成的各项任务。</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4.成本指标：“三公”经费成本控制率、政府采购成本控制率、基本支出成本节约率均≤0</w:t>
      </w:r>
      <w:r>
        <w:rPr>
          <w:rFonts w:hint="default" w:ascii="仿宋_GB2312" w:hAnsi="仿宋_GB2312" w:eastAsia="仿宋_GB2312" w:cs="仿宋_GB2312"/>
          <w:bCs/>
          <w:sz w:val="28"/>
          <w:szCs w:val="28"/>
          <w:lang w:val="en-US" w:eastAsia="zh-CN"/>
        </w:rPr>
        <w:t>%</w:t>
      </w:r>
      <w:r>
        <w:rPr>
          <w:rFonts w:hint="eastAsia" w:ascii="仿宋_GB2312" w:hAnsi="仿宋_GB2312" w:eastAsia="仿宋_GB2312" w:cs="仿宋_GB2312"/>
          <w:bCs/>
          <w:sz w:val="28"/>
          <w:szCs w:val="28"/>
          <w:lang w:val="en-US" w:eastAsia="zh-CN"/>
        </w:rPr>
        <w:t>。</w:t>
      </w:r>
    </w:p>
    <w:p>
      <w:pPr>
        <w:widowControl/>
        <w:numPr>
          <w:ilvl w:val="0"/>
          <w:numId w:val="0"/>
        </w:numPr>
        <w:spacing w:line="600" w:lineRule="exact"/>
        <w:ind w:leftChars="0" w:firstLine="560" w:firstLineChars="200"/>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5.效益指标：经济效益方面：全区规模以上工业增加值增速大于11%、制造业增加值占GDP比重达到25%；社会效益方面：出台《长沙市望城区以存量扩增量促进工业经济高质量发展若干政策措施》“八促”26条具体措施，推出政策宣讲“望城工信”视频号，惠企政策80%实现“免申即享”，企业服务“雷锋哨”形成品牌，干部联系服务企业成为常态；可持续影响方面：飞线治理效果显著，协调各运营商开展“百街千巷”提质改造弱电，以及空中缆线零乱问题整治行动。</w:t>
      </w:r>
    </w:p>
    <w:p>
      <w:pPr>
        <w:widowControl/>
        <w:numPr>
          <w:ilvl w:val="0"/>
          <w:numId w:val="0"/>
        </w:numPr>
        <w:spacing w:line="600" w:lineRule="exact"/>
        <w:ind w:leftChars="0" w:firstLine="560" w:firstLineChars="200"/>
        <w:jc w:val="left"/>
        <w:rPr>
          <w:rFonts w:hint="default" w:ascii="仿宋_GB2312" w:hAnsi="仿宋_GB2312" w:eastAsia="仿宋_GB2312" w:cs="仿宋_GB2312"/>
          <w:bCs/>
          <w:sz w:val="28"/>
          <w:szCs w:val="28"/>
          <w:lang w:val="en-US" w:eastAsia="zh-CN"/>
        </w:rPr>
      </w:pPr>
      <w:r>
        <w:rPr>
          <w:rFonts w:hint="default" w:ascii="仿宋_GB2312" w:hAnsi="仿宋_GB2312" w:eastAsia="仿宋_GB2312" w:cs="仿宋_GB2312"/>
          <w:bCs/>
          <w:sz w:val="28"/>
          <w:szCs w:val="28"/>
          <w:lang w:val="en-US" w:eastAsia="zh-CN"/>
        </w:rPr>
        <w:t>6.满意度指标：</w:t>
      </w:r>
      <w:r>
        <w:rPr>
          <w:rFonts w:hint="eastAsia" w:ascii="仿宋_GB2312" w:hAnsi="仿宋_GB2312" w:eastAsia="仿宋_GB2312" w:cs="仿宋_GB2312"/>
          <w:bCs/>
          <w:sz w:val="28"/>
          <w:szCs w:val="28"/>
          <w:lang w:val="en-US" w:eastAsia="zh-CN"/>
        </w:rPr>
        <w:t>受益群众</w:t>
      </w:r>
      <w:r>
        <w:rPr>
          <w:rFonts w:hint="default" w:ascii="仿宋_GB2312" w:hAnsi="仿宋_GB2312" w:eastAsia="仿宋_GB2312" w:cs="仿宋_GB2312"/>
          <w:bCs/>
          <w:sz w:val="28"/>
          <w:szCs w:val="28"/>
          <w:lang w:val="en-US" w:eastAsia="zh-CN"/>
        </w:rPr>
        <w:t>、企业满意度均在</w:t>
      </w:r>
      <w:r>
        <w:rPr>
          <w:rFonts w:hint="eastAsia" w:hAnsi="仿宋_GB2312" w:cs="仿宋_GB2312"/>
          <w:bCs/>
          <w:sz w:val="28"/>
          <w:szCs w:val="28"/>
          <w:lang w:val="en-US" w:eastAsia="zh-CN"/>
        </w:rPr>
        <w:t>100</w:t>
      </w:r>
      <w:r>
        <w:rPr>
          <w:rFonts w:hint="default" w:ascii="仿宋_GB2312" w:hAnsi="仿宋_GB2312" w:eastAsia="仿宋_GB2312" w:cs="仿宋_GB2312"/>
          <w:bCs/>
          <w:sz w:val="28"/>
          <w:szCs w:val="28"/>
          <w:lang w:val="en-US" w:eastAsia="zh-CN"/>
        </w:rPr>
        <w:t>%。</w:t>
      </w:r>
      <w:bookmarkEnd w:id="0"/>
    </w:p>
    <w:p>
      <w:pPr>
        <w:widowControl/>
        <w:numPr>
          <w:ilvl w:val="0"/>
          <w:numId w:val="0"/>
        </w:numPr>
        <w:spacing w:line="600" w:lineRule="exact"/>
        <w:ind w:leftChars="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四</w:t>
      </w:r>
      <w:r>
        <w:rPr>
          <w:rFonts w:hint="eastAsia" w:ascii="仿宋_GB2312" w:hAnsi="仿宋_GB2312" w:eastAsia="仿宋_GB2312" w:cs="仿宋_GB2312"/>
          <w:b/>
          <w:bCs/>
          <w:sz w:val="28"/>
          <w:szCs w:val="28"/>
        </w:rPr>
        <w:t>、存在的问题及原因分析</w:t>
      </w:r>
    </w:p>
    <w:p>
      <w:pPr>
        <w:ind w:firstLine="560" w:firstLineChars="200"/>
        <w:rPr>
          <w:rFonts w:hint="eastAsia" w:ascii="仿宋_GB2312" w:hAnsi="仿宋_GB2312" w:eastAsia="仿宋_GB2312" w:cs="仿宋_GB2312"/>
          <w:sz w:val="28"/>
          <w:szCs w:val="28"/>
        </w:rPr>
      </w:pPr>
      <w:r>
        <w:rPr>
          <w:rFonts w:hint="eastAsia" w:hAnsi="仿宋_GB2312" w:cs="仿宋_GB2312"/>
          <w:sz w:val="28"/>
          <w:szCs w:val="28"/>
          <w:lang w:eastAsia="zh-CN"/>
        </w:rPr>
        <w:t>问题：</w:t>
      </w:r>
      <w:r>
        <w:rPr>
          <w:rFonts w:hint="eastAsia" w:ascii="仿宋_GB2312" w:hAnsi="仿宋_GB2312" w:eastAsia="仿宋_GB2312" w:cs="仿宋_GB2312"/>
          <w:sz w:val="28"/>
          <w:szCs w:val="28"/>
        </w:rPr>
        <w:t>1</w:t>
      </w:r>
      <w:r>
        <w:rPr>
          <w:rFonts w:hint="eastAsia" w:hAnsi="仿宋_GB2312" w:cs="仿宋_GB2312"/>
          <w:sz w:val="28"/>
          <w:szCs w:val="28"/>
          <w:lang w:eastAsia="zh-CN"/>
        </w:rPr>
        <w:t>.</w:t>
      </w:r>
      <w:r>
        <w:rPr>
          <w:rFonts w:hint="eastAsia" w:ascii="仿宋_GB2312" w:hAnsi="仿宋_GB2312" w:eastAsia="仿宋_GB2312" w:cs="仿宋_GB2312"/>
          <w:sz w:val="28"/>
          <w:szCs w:val="28"/>
        </w:rPr>
        <w:t>预算编制工作有待细化。预算编制不够明确和细化，预算执行力度还要进一步加强。</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hAnsi="仿宋_GB2312" w:cs="仿宋_GB2312"/>
          <w:sz w:val="28"/>
          <w:szCs w:val="28"/>
          <w:lang w:eastAsia="zh-CN"/>
        </w:rPr>
        <w:t>.</w:t>
      </w:r>
      <w:r>
        <w:rPr>
          <w:rFonts w:hint="eastAsia" w:ascii="仿宋_GB2312" w:hAnsi="仿宋_GB2312" w:eastAsia="仿宋_GB2312" w:cs="仿宋_GB2312"/>
          <w:sz w:val="28"/>
          <w:szCs w:val="28"/>
        </w:rPr>
        <w:t>项目申报流程不够科学，可操作性不强。应严把申报条件和关口。</w:t>
      </w:r>
    </w:p>
    <w:p>
      <w:pPr>
        <w:widowControl/>
        <w:numPr>
          <w:ilvl w:val="0"/>
          <w:numId w:val="0"/>
        </w:numPr>
        <w:spacing w:line="600" w:lineRule="exact"/>
        <w:ind w:leftChars="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五</w:t>
      </w:r>
      <w:r>
        <w:rPr>
          <w:rFonts w:hint="eastAsia" w:ascii="仿宋_GB2312" w:hAnsi="仿宋_GB2312" w:eastAsia="仿宋_GB2312" w:cs="仿宋_GB2312"/>
          <w:b/>
          <w:bCs/>
          <w:sz w:val="28"/>
          <w:szCs w:val="28"/>
        </w:rPr>
        <w:t>、下一步改进措施</w:t>
      </w:r>
    </w:p>
    <w:p>
      <w:pPr>
        <w:widowControl/>
        <w:numPr>
          <w:ilvl w:val="0"/>
          <w:numId w:val="0"/>
        </w:numPr>
        <w:spacing w:line="600" w:lineRule="exact"/>
        <w:ind w:leftChars="0"/>
        <w:jc w:val="left"/>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下一步改进措施</w:t>
      </w:r>
      <w:r>
        <w:rPr>
          <w:rFonts w:hint="eastAsia" w:hAnsi="仿宋_GB2312" w:cs="仿宋_GB2312"/>
          <w:b/>
          <w:bCs/>
          <w:sz w:val="28"/>
          <w:szCs w:val="28"/>
          <w:lang w:eastAsia="zh-CN"/>
        </w:rPr>
        <w:t>：</w:t>
      </w:r>
      <w:r>
        <w:rPr>
          <w:rFonts w:hint="eastAsia" w:ascii="仿宋_GB2312" w:hAnsi="仿宋_GB2312" w:eastAsia="仿宋_GB2312" w:cs="仿宋_GB2312"/>
          <w:sz w:val="28"/>
          <w:szCs w:val="28"/>
        </w:rPr>
        <w:t>1</w:t>
      </w:r>
      <w:r>
        <w:rPr>
          <w:rFonts w:hint="eastAsia" w:hAnsi="仿宋_GB2312" w:cs="仿宋_GB2312"/>
          <w:sz w:val="28"/>
          <w:szCs w:val="28"/>
          <w:lang w:eastAsia="zh-CN"/>
        </w:rPr>
        <w:t>.</w:t>
      </w:r>
      <w:r>
        <w:rPr>
          <w:rFonts w:hint="eastAsia" w:ascii="仿宋_GB2312" w:hAnsi="仿宋_GB2312" w:eastAsia="仿宋_GB2312" w:cs="仿宋_GB2312"/>
          <w:sz w:val="28"/>
          <w:szCs w:val="28"/>
        </w:rPr>
        <w:t>强化预算管理。加强预算法制化观念，结合往年实际及各种可控因素，科学拟定明确、细化、量化、可考核的年度绩效目标，严格执行预算安排，确保各项经费有章可循 。2</w:t>
      </w:r>
      <w:r>
        <w:rPr>
          <w:rFonts w:hint="eastAsia" w:hAnsi="仿宋_GB2312" w:cs="仿宋_GB2312"/>
          <w:sz w:val="28"/>
          <w:szCs w:val="28"/>
          <w:lang w:eastAsia="zh-CN"/>
        </w:rPr>
        <w:t>.</w:t>
      </w:r>
      <w:r>
        <w:rPr>
          <w:rFonts w:hint="eastAsia" w:ascii="仿宋_GB2312" w:hAnsi="仿宋_GB2312" w:eastAsia="仿宋_GB2312" w:cs="仿宋_GB2312"/>
          <w:sz w:val="28"/>
          <w:szCs w:val="28"/>
        </w:rPr>
        <w:t>完善工作机制。结合新出台的产业奖补政策，根据项目申报范围，进一步细化项目申报指南，明确项目申报条件、奖励标准、需提交的资料、责任单位、受理科室及联系人等，确保项目申报规范严谨、可操作性强。3</w:t>
      </w:r>
      <w:r>
        <w:rPr>
          <w:rFonts w:hint="eastAsia" w:hAnsi="仿宋_GB2312" w:cs="仿宋_GB2312"/>
          <w:sz w:val="28"/>
          <w:szCs w:val="28"/>
          <w:lang w:eastAsia="zh-CN"/>
        </w:rPr>
        <w:t>.</w:t>
      </w:r>
      <w:r>
        <w:rPr>
          <w:rFonts w:hint="eastAsia" w:ascii="仿宋_GB2312" w:hAnsi="仿宋_GB2312" w:eastAsia="仿宋_GB2312" w:cs="仿宋_GB2312"/>
          <w:sz w:val="28"/>
          <w:szCs w:val="28"/>
        </w:rPr>
        <w:t>加大督查力度。当前，我局专项资金数额较大且受益企业多、分散广，为加大监督管理，一方面，对专项资金进行。不定期抽查,确保项目资金专款专用；另一方面，自觉接受区财政、审计、监察、纪委等部门的巡回检查，对利用虚假材料和凭证骗取专项资金的企业（单位）追回已取得的专项资金，记入企业诚信记录。</w:t>
      </w:r>
    </w:p>
    <w:p>
      <w:pPr>
        <w:pStyle w:val="3"/>
        <w:rPr>
          <w:rFonts w:hint="eastAsia" w:ascii="仿宋_GB2312" w:hAnsi="仿宋_GB2312" w:eastAsia="仿宋_GB2312" w:cs="仿宋_GB2312"/>
          <w:sz w:val="28"/>
          <w:szCs w:val="28"/>
          <w:lang w:eastAsia="zh-CN"/>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长沙市望城区工业和信息化局</w:t>
      </w:r>
    </w:p>
    <w:p>
      <w:pPr>
        <w:jc w:val="center"/>
        <w:rPr>
          <w:rFonts w:hint="default" w:ascii="仿宋_GB2312" w:hAnsi="仿宋_GB2312" w:eastAsia="仿宋_GB2312" w:cs="仿宋_GB2312"/>
          <w:sz w:val="28"/>
          <w:szCs w:val="28"/>
          <w:lang w:val="en-US" w:eastAsia="zh-CN"/>
        </w:rPr>
        <w:sectPr>
          <w:footerReference r:id="rId5" w:type="default"/>
          <w:footerReference r:id="rId6" w:type="even"/>
          <w:pgSz w:w="11906" w:h="16838"/>
          <w:pgMar w:top="1701" w:right="1587" w:bottom="1417" w:left="1701" w:header="851" w:footer="850"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20</w:t>
      </w:r>
      <w:r>
        <w:rPr>
          <w:rFonts w:hint="eastAsia" w:ascii="仿宋_GB2312" w:hAnsi="仿宋_GB2312" w:eastAsia="仿宋_GB2312" w:cs="仿宋_GB2312"/>
          <w:sz w:val="28"/>
          <w:szCs w:val="28"/>
          <w:lang w:val="en-US" w:eastAsia="zh-CN"/>
        </w:rPr>
        <w:t>2</w:t>
      </w:r>
      <w:r>
        <w:rPr>
          <w:rFonts w:hint="eastAsia" w:hAnsi="仿宋_GB2312" w:cs="仿宋_GB2312"/>
          <w:sz w:val="28"/>
          <w:szCs w:val="28"/>
          <w:lang w:val="en-US" w:eastAsia="zh-CN"/>
        </w:rPr>
        <w:t>4</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月</w:t>
      </w:r>
      <w:r>
        <w:rPr>
          <w:rFonts w:hint="eastAsia" w:hAnsi="仿宋_GB2312" w:cs="仿宋_GB2312"/>
          <w:sz w:val="28"/>
          <w:szCs w:val="28"/>
          <w:lang w:val="en-US" w:eastAsia="zh-CN"/>
        </w:rPr>
        <w:t>22日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ascii="仿宋" w:hAnsi="仿宋" w:eastAsia="仿宋" w:cs="仿宋"/>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BDDFF1"/>
    <w:multiLevelType w:val="singleLevel"/>
    <w:tmpl w:val="FDBDDFF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jYjFlMzgxNDIwOTY2Y2RhZDhmMGUwOGM5MmMyY2QifQ=="/>
  </w:docVars>
  <w:rsids>
    <w:rsidRoot w:val="77625B07"/>
    <w:rsid w:val="059D3E1F"/>
    <w:rsid w:val="068B011B"/>
    <w:rsid w:val="069468A4"/>
    <w:rsid w:val="07181283"/>
    <w:rsid w:val="075449B1"/>
    <w:rsid w:val="098338EF"/>
    <w:rsid w:val="0B1B27AD"/>
    <w:rsid w:val="11DA5AB3"/>
    <w:rsid w:val="1241312F"/>
    <w:rsid w:val="15EE4223"/>
    <w:rsid w:val="16F969DB"/>
    <w:rsid w:val="18356139"/>
    <w:rsid w:val="18CE3E98"/>
    <w:rsid w:val="197C38C2"/>
    <w:rsid w:val="199450E1"/>
    <w:rsid w:val="1AF44089"/>
    <w:rsid w:val="1C4B6BE5"/>
    <w:rsid w:val="211B1C44"/>
    <w:rsid w:val="253634F0"/>
    <w:rsid w:val="26127ABA"/>
    <w:rsid w:val="285717B4"/>
    <w:rsid w:val="28DA4193"/>
    <w:rsid w:val="292C2C40"/>
    <w:rsid w:val="29F53E27"/>
    <w:rsid w:val="2F3E547B"/>
    <w:rsid w:val="32C043F9"/>
    <w:rsid w:val="32FB43AC"/>
    <w:rsid w:val="36054F45"/>
    <w:rsid w:val="39616936"/>
    <w:rsid w:val="3E3C527C"/>
    <w:rsid w:val="452F5B3A"/>
    <w:rsid w:val="46E666CD"/>
    <w:rsid w:val="473A7631"/>
    <w:rsid w:val="47867568"/>
    <w:rsid w:val="49211C3E"/>
    <w:rsid w:val="4A800BE6"/>
    <w:rsid w:val="4C5E0AB3"/>
    <w:rsid w:val="50A867A1"/>
    <w:rsid w:val="516C77CE"/>
    <w:rsid w:val="52483D98"/>
    <w:rsid w:val="574D3BFE"/>
    <w:rsid w:val="57C77E54"/>
    <w:rsid w:val="58217892"/>
    <w:rsid w:val="59AF4065"/>
    <w:rsid w:val="5A46431A"/>
    <w:rsid w:val="5AC661A1"/>
    <w:rsid w:val="5D3F223B"/>
    <w:rsid w:val="5FA665A1"/>
    <w:rsid w:val="602A0F80"/>
    <w:rsid w:val="635C1A84"/>
    <w:rsid w:val="68A815DC"/>
    <w:rsid w:val="69990F25"/>
    <w:rsid w:val="6A070584"/>
    <w:rsid w:val="6DC81DD9"/>
    <w:rsid w:val="7485260C"/>
    <w:rsid w:val="75AA6994"/>
    <w:rsid w:val="76733229"/>
    <w:rsid w:val="77625B07"/>
    <w:rsid w:val="77EE068E"/>
    <w:rsid w:val="79F77CCE"/>
    <w:rsid w:val="7CB41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footnote text"/>
    <w:basedOn w:val="1"/>
    <w:autoRedefine/>
    <w:unhideWhenUsed/>
    <w:qFormat/>
    <w:uiPriority w:val="99"/>
    <w:pPr>
      <w:snapToGrid w:val="0"/>
      <w:jc w:val="left"/>
    </w:pPr>
    <w:rPr>
      <w:rFonts w:hint="eastAsia"/>
      <w:sz w:val="18"/>
    </w:rPr>
  </w:style>
  <w:style w:type="paragraph" w:styleId="3">
    <w:name w:val="Body Text"/>
    <w:basedOn w:val="1"/>
    <w:next w:val="4"/>
    <w:autoRedefine/>
    <w:qFormat/>
    <w:uiPriority w:val="0"/>
    <w:pPr>
      <w:widowControl w:val="0"/>
      <w:spacing w:after="120"/>
      <w:textAlignment w:val="auto"/>
    </w:pPr>
    <w:rPr>
      <w:rFonts w:cs="Arial"/>
      <w:szCs w:val="22"/>
    </w:rPr>
  </w:style>
  <w:style w:type="paragraph" w:styleId="4">
    <w:name w:val="Body Text 2"/>
    <w:basedOn w:val="1"/>
    <w:autoRedefine/>
    <w:qFormat/>
    <w:uiPriority w:val="0"/>
    <w:pPr>
      <w:spacing w:after="120" w:line="480" w:lineRule="auto"/>
    </w:pPr>
  </w:style>
  <w:style w:type="paragraph" w:styleId="5">
    <w:name w:val="Body Text Indent"/>
    <w:basedOn w:val="1"/>
    <w:next w:val="6"/>
    <w:autoRedefine/>
    <w:qFormat/>
    <w:uiPriority w:val="0"/>
    <w:pPr>
      <w:spacing w:after="120"/>
      <w:ind w:left="420" w:leftChars="200"/>
    </w:pPr>
  </w:style>
  <w:style w:type="paragraph" w:styleId="6">
    <w:name w:val="Body Text Indent 2"/>
    <w:basedOn w:val="1"/>
    <w:autoRedefine/>
    <w:qFormat/>
    <w:uiPriority w:val="0"/>
    <w:pPr>
      <w:spacing w:after="120" w:line="480" w:lineRule="auto"/>
      <w:ind w:left="200" w:leftChars="200"/>
    </w:pPr>
  </w:style>
  <w:style w:type="paragraph" w:styleId="7">
    <w:name w:val="Block Text"/>
    <w:basedOn w:val="1"/>
    <w:qFormat/>
    <w:uiPriority w:val="0"/>
    <w:pPr>
      <w:widowControl w:val="0"/>
      <w:spacing w:after="0" w:line="560" w:lineRule="exact"/>
      <w:ind w:firstLine="880" w:firstLineChars="200"/>
      <w:jc w:val="left"/>
    </w:pPr>
    <w:rPr>
      <w:rFonts w:ascii="Times New Roman" w:hAnsi="Times New Roman" w:eastAsia="仿宋_GB2312" w:cs="Times New Roman"/>
      <w:kern w:val="2"/>
      <w:sz w:val="32"/>
      <w:szCs w:val="22"/>
      <w:lang w:val="en-US" w:eastAsia="zh-CN" w:bidi="ar-SA"/>
    </w:rPr>
  </w:style>
  <w:style w:type="paragraph" w:styleId="8">
    <w:name w:val="footer"/>
    <w:basedOn w:val="1"/>
    <w:autoRedefine/>
    <w:qFormat/>
    <w:uiPriority w:val="99"/>
    <w:pPr>
      <w:tabs>
        <w:tab w:val="center" w:pos="4153"/>
        <w:tab w:val="right" w:pos="8306"/>
      </w:tabs>
      <w:snapToGrid w:val="0"/>
      <w:spacing w:line="240" w:lineRule="atLeast"/>
      <w:jc w:val="left"/>
    </w:pPr>
    <w:rPr>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autoRedefine/>
    <w:qFormat/>
    <w:uiPriority w:val="0"/>
    <w:rPr>
      <w:sz w:val="24"/>
    </w:rPr>
  </w:style>
  <w:style w:type="paragraph" w:styleId="11">
    <w:name w:val="Body Text First Indent 2"/>
    <w:basedOn w:val="5"/>
    <w:next w:val="7"/>
    <w:autoRedefine/>
    <w:qFormat/>
    <w:uiPriority w:val="99"/>
    <w:pPr>
      <w:ind w:firstLine="420" w:firstLineChars="200"/>
    </w:pPr>
    <w:rPr>
      <w:kern w:val="0"/>
      <w:sz w:val="20"/>
    </w:rPr>
  </w:style>
  <w:style w:type="paragraph" w:styleId="14">
    <w:name w:val="List Paragraph"/>
    <w:basedOn w:val="1"/>
    <w:qFormat/>
    <w:uiPriority w:val="99"/>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3541</Words>
  <Characters>3764</Characters>
  <Lines>0</Lines>
  <Paragraphs>0</Paragraphs>
  <TotalTime>13</TotalTime>
  <ScaleCrop>false</ScaleCrop>
  <LinksUpToDate>false</LinksUpToDate>
  <CharactersWithSpaces>3829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2024-02-22T01:51:00Z</dcterms:created>
  <dc:creator>Administrator</dc:creator>
  <cp:lastModifiedBy>季海菁</cp:lastModifiedBy>
  <cp:lastPrinted>2024-02-22T03:29:00Z</cp:lastPrinted>
  <dcterms:modified xsi:type="dcterms:W3CDTF">2024-10-18T06:20:52Z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73428E94E8BA4403A8C6A71ED325E0C2_13</vt:lpwstr>
  </property>
</Properties>
</file>