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kinsoku/>
        <w:wordWrap/>
        <w:overflowPunct/>
        <w:topLinePunct w:val="0"/>
        <w:autoSpaceDE/>
        <w:autoSpaceDN/>
        <w:bidi w:val="0"/>
        <w:adjustRightInd/>
        <w:snapToGrid/>
        <w:spacing w:line="560" w:lineRule="exact"/>
        <w:ind w:left="0" w:leftChars="0"/>
        <w:jc w:val="lef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rPr>
        <w:t>长沙市望城区支持软件信息产业发展</w:t>
      </w:r>
      <w:r>
        <w:rPr>
          <w:rFonts w:hint="eastAsia" w:ascii="方正小标宋简体" w:hAnsi="方正小标宋简体" w:eastAsia="方正小标宋简体" w:cs="方正小标宋简体"/>
          <w:color w:val="auto"/>
          <w:sz w:val="44"/>
          <w:szCs w:val="44"/>
          <w:lang w:eastAsia="zh-CN"/>
        </w:rPr>
        <w:t>的</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若干</w:t>
      </w:r>
      <w:r>
        <w:rPr>
          <w:rFonts w:hint="eastAsia" w:ascii="方正小标宋简体" w:hAnsi="方正小标宋简体" w:eastAsia="方正小标宋简体" w:cs="方正小标宋简体"/>
          <w:color w:val="auto"/>
          <w:sz w:val="44"/>
          <w:szCs w:val="44"/>
          <w:lang w:eastAsia="zh-CN"/>
        </w:rPr>
        <w:t>政策</w:t>
      </w:r>
      <w:r>
        <w:rPr>
          <w:rFonts w:hint="eastAsia" w:ascii="方正小标宋简体" w:hAnsi="方正小标宋简体" w:eastAsia="方正小标宋简体" w:cs="方正小标宋简体"/>
          <w:color w:val="auto"/>
          <w:sz w:val="44"/>
          <w:szCs w:val="44"/>
        </w:rPr>
        <w:t>措施</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jc w:val="center"/>
        <w:textAlignment w:val="auto"/>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w:t>
      </w:r>
      <w:r>
        <w:rPr>
          <w:rFonts w:hint="eastAsia" w:ascii="仿宋_GB2312" w:hAnsi="仿宋_GB2312" w:eastAsia="仿宋_GB2312" w:cs="仿宋_GB2312"/>
          <w:color w:val="auto"/>
          <w:kern w:val="0"/>
          <w:sz w:val="32"/>
          <w:szCs w:val="32"/>
          <w:lang w:eastAsia="zh-CN" w:bidi="ar"/>
        </w:rPr>
        <w:t>征求意见稿</w:t>
      </w:r>
      <w:r>
        <w:rPr>
          <w:rFonts w:hint="eastAsia" w:ascii="仿宋_GB2312" w:hAnsi="仿宋_GB2312" w:eastAsia="仿宋_GB2312" w:cs="仿宋_GB2312"/>
          <w:color w:val="auto"/>
          <w:kern w:val="0"/>
          <w:sz w:val="32"/>
          <w:szCs w:val="32"/>
          <w:lang w:bidi="ar"/>
        </w:rPr>
        <w:t>）</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640" w:firstLineChars="200"/>
        <w:textAlignment w:val="auto"/>
        <w:rPr>
          <w:rFonts w:ascii="仿宋_GB2312" w:hAnsi="仿宋_GB2312" w:eastAsia="仿宋_GB2312" w:cs="仿宋_GB2312"/>
          <w:color w:val="auto"/>
          <w:kern w:val="0"/>
          <w:sz w:val="32"/>
          <w:szCs w:val="32"/>
          <w:lang w:bidi="ar"/>
        </w:rPr>
      </w:pPr>
    </w:p>
    <w:p>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为积极落实《长沙市“软件信息规模提升行动”工作方案》，加快推进我区软件信息产业高质量发展，根据《望城区“软件信息规模提升行动”工作方案（2025-2027年）》文件精神，结合我区实际，制定本政策</w:t>
      </w:r>
      <w:r>
        <w:rPr>
          <w:rFonts w:hint="eastAsia" w:ascii="仿宋_GB2312" w:hAnsi="仿宋_GB2312" w:eastAsia="仿宋_GB2312" w:cs="仿宋_GB2312"/>
          <w:color w:val="auto"/>
          <w:kern w:val="0"/>
          <w:sz w:val="32"/>
          <w:szCs w:val="32"/>
          <w:lang w:eastAsia="zh-CN" w:bidi="ar"/>
        </w:rPr>
        <w:t>措施</w:t>
      </w:r>
      <w:r>
        <w:rPr>
          <w:rFonts w:hint="eastAsia" w:ascii="仿宋_GB2312" w:hAnsi="仿宋_GB2312" w:eastAsia="仿宋_GB2312" w:cs="仿宋_GB2312"/>
          <w:color w:val="auto"/>
          <w:kern w:val="0"/>
          <w:sz w:val="32"/>
          <w:szCs w:val="32"/>
          <w:lang w:bidi="ar"/>
        </w:rPr>
        <w:t>。</w:t>
      </w:r>
    </w:p>
    <w:p>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0" w:firstLineChars="200"/>
        <w:textAlignment w:val="auto"/>
        <w:rPr>
          <w:rFonts w:ascii="黑体" w:hAnsi="黑体" w:eastAsia="黑体" w:cs="黑体"/>
          <w:color w:val="auto"/>
          <w:sz w:val="32"/>
          <w:szCs w:val="32"/>
        </w:rPr>
      </w:pPr>
      <w:r>
        <w:rPr>
          <w:rFonts w:hint="eastAsia" w:ascii="黑体" w:hAnsi="黑体" w:eastAsia="黑体" w:cs="黑体"/>
          <w:color w:val="auto"/>
          <w:kern w:val="0"/>
          <w:sz w:val="32"/>
          <w:szCs w:val="32"/>
          <w:lang w:bidi="ar"/>
        </w:rPr>
        <w:t>一、适用范围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kern w:val="0"/>
          <w:sz w:val="32"/>
          <w:szCs w:val="32"/>
          <w:highlight w:val="none"/>
          <w:lang w:bidi="ar"/>
        </w:rPr>
      </w:pPr>
      <w:r>
        <w:rPr>
          <w:rFonts w:hint="eastAsia" w:ascii="仿宋_GB2312" w:hAnsi="仿宋_GB2312" w:eastAsia="仿宋_GB2312" w:cs="仿宋_GB2312"/>
          <w:color w:val="auto"/>
          <w:kern w:val="0"/>
          <w:sz w:val="32"/>
          <w:szCs w:val="32"/>
          <w:highlight w:val="none"/>
          <w:lang w:bidi="ar"/>
        </w:rPr>
        <w:t>本</w:t>
      </w:r>
      <w:r>
        <w:rPr>
          <w:rFonts w:hint="eastAsia" w:ascii="仿宋_GB2312" w:hAnsi="仿宋_GB2312" w:eastAsia="仿宋_GB2312" w:cs="仿宋_GB2312"/>
          <w:color w:val="auto"/>
          <w:kern w:val="0"/>
          <w:sz w:val="32"/>
          <w:szCs w:val="32"/>
          <w:highlight w:val="none"/>
          <w:lang w:eastAsia="zh-CN" w:bidi="ar"/>
        </w:rPr>
        <w:t>政策措施</w:t>
      </w:r>
      <w:r>
        <w:rPr>
          <w:rFonts w:hint="eastAsia" w:ascii="仿宋_GB2312" w:hAnsi="仿宋_GB2312" w:eastAsia="仿宋_GB2312" w:cs="仿宋_GB2312"/>
          <w:color w:val="auto"/>
          <w:kern w:val="0"/>
          <w:sz w:val="32"/>
          <w:szCs w:val="32"/>
          <w:highlight w:val="none"/>
          <w:lang w:bidi="ar"/>
        </w:rPr>
        <w:t>适用于在望城</w:t>
      </w:r>
      <w:r>
        <w:rPr>
          <w:rFonts w:hint="eastAsia" w:ascii="仿宋_GB2312" w:hAnsi="仿宋_GB2312" w:eastAsia="仿宋_GB2312" w:cs="仿宋_GB2312"/>
          <w:color w:val="auto"/>
          <w:kern w:val="0"/>
          <w:sz w:val="32"/>
          <w:szCs w:val="32"/>
          <w:highlight w:val="none"/>
          <w:lang w:eastAsia="zh-CN" w:bidi="ar"/>
        </w:rPr>
        <w:t>区</w:t>
      </w:r>
      <w:r>
        <w:rPr>
          <w:rFonts w:hint="eastAsia" w:ascii="仿宋_GB2312" w:hAnsi="仿宋_GB2312" w:eastAsia="仿宋_GB2312" w:cs="仿宋_GB2312"/>
          <w:color w:val="auto"/>
          <w:kern w:val="0"/>
          <w:sz w:val="32"/>
          <w:szCs w:val="32"/>
          <w:lang w:bidi="ar"/>
        </w:rPr>
        <w:t>合法生产经营</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kern w:val="0"/>
          <w:sz w:val="32"/>
          <w:szCs w:val="32"/>
          <w:highlight w:val="none"/>
          <w:lang w:bidi="ar"/>
        </w:rPr>
        <w:t>从事</w:t>
      </w:r>
      <w:r>
        <w:rPr>
          <w:rFonts w:hint="eastAsia" w:ascii="仿宋_GB2312" w:hAnsi="仿宋_GB2312" w:eastAsia="仿宋_GB2312" w:cs="仿宋_GB2312"/>
          <w:color w:val="auto"/>
          <w:kern w:val="0"/>
          <w:sz w:val="32"/>
          <w:szCs w:val="32"/>
          <w:highlight w:val="none"/>
          <w:lang w:eastAsia="zh-CN" w:bidi="ar"/>
        </w:rPr>
        <w:t>互联网及</w:t>
      </w:r>
      <w:r>
        <w:rPr>
          <w:rFonts w:hint="eastAsia" w:ascii="仿宋_GB2312" w:hAnsi="仿宋_GB2312" w:eastAsia="仿宋_GB2312" w:cs="仿宋_GB2312"/>
          <w:color w:val="auto"/>
          <w:kern w:val="0"/>
          <w:sz w:val="32"/>
          <w:szCs w:val="32"/>
          <w:highlight w:val="none"/>
          <w:lang w:bidi="ar"/>
        </w:rPr>
        <w:t>软件信息</w:t>
      </w:r>
      <w:r>
        <w:rPr>
          <w:rFonts w:hint="eastAsia" w:ascii="仿宋_GB2312" w:hAnsi="仿宋_GB2312" w:eastAsia="仿宋_GB2312" w:cs="仿宋_GB2312"/>
          <w:color w:val="auto"/>
          <w:kern w:val="0"/>
          <w:sz w:val="32"/>
          <w:szCs w:val="32"/>
          <w:highlight w:val="none"/>
          <w:lang w:eastAsia="zh-CN" w:bidi="ar"/>
        </w:rPr>
        <w:t>业务</w:t>
      </w:r>
      <w:r>
        <w:rPr>
          <w:rFonts w:hint="eastAsia" w:ascii="仿宋_GB2312" w:hAnsi="仿宋_GB2312" w:eastAsia="仿宋_GB2312" w:cs="仿宋_GB2312"/>
          <w:color w:val="auto"/>
          <w:kern w:val="0"/>
          <w:sz w:val="32"/>
          <w:szCs w:val="32"/>
          <w:highlight w:val="none"/>
          <w:lang w:bidi="ar"/>
        </w:rPr>
        <w:t>的</w:t>
      </w:r>
      <w:r>
        <w:rPr>
          <w:rFonts w:hint="eastAsia" w:ascii="仿宋_GB2312" w:hAnsi="仿宋_GB2312" w:eastAsia="仿宋_GB2312" w:cs="仿宋_GB2312"/>
          <w:color w:val="auto"/>
          <w:kern w:val="0"/>
          <w:sz w:val="32"/>
          <w:szCs w:val="32"/>
          <w:highlight w:val="none"/>
          <w:lang w:eastAsia="zh-CN" w:bidi="ar"/>
        </w:rPr>
        <w:t>企业和专业服务机构</w:t>
      </w:r>
      <w:r>
        <w:rPr>
          <w:rFonts w:hint="eastAsia" w:ascii="仿宋_GB2312" w:hAnsi="仿宋_GB2312" w:eastAsia="仿宋_GB2312" w:cs="仿宋_GB2312"/>
          <w:color w:val="auto"/>
          <w:kern w:val="0"/>
          <w:sz w:val="32"/>
          <w:szCs w:val="32"/>
          <w:highlight w:val="none"/>
          <w:lang w:bidi="ar"/>
        </w:rPr>
        <w:t>（以下</w:t>
      </w:r>
      <w:r>
        <w:rPr>
          <w:rFonts w:hint="eastAsia" w:ascii="仿宋_GB2312" w:hAnsi="仿宋_GB2312" w:eastAsia="仿宋_GB2312" w:cs="仿宋_GB2312"/>
          <w:color w:val="auto"/>
          <w:kern w:val="0"/>
          <w:sz w:val="32"/>
          <w:szCs w:val="32"/>
          <w:highlight w:val="none"/>
          <w:lang w:eastAsia="zh-CN" w:bidi="ar"/>
        </w:rPr>
        <w:t>统称</w:t>
      </w:r>
      <w:r>
        <w:rPr>
          <w:rFonts w:hint="eastAsia" w:ascii="仿宋_GB2312" w:hAnsi="仿宋_GB2312" w:eastAsia="仿宋_GB2312" w:cs="仿宋_GB2312"/>
          <w:color w:val="auto"/>
          <w:kern w:val="0"/>
          <w:sz w:val="32"/>
          <w:szCs w:val="32"/>
          <w:highlight w:val="none"/>
          <w:lang w:bidi="ar"/>
        </w:rPr>
        <w:t>“企业”），</w:t>
      </w:r>
      <w:r>
        <w:rPr>
          <w:rFonts w:hint="eastAsia" w:ascii="仿宋_GB2312" w:hAnsi="仿宋_GB2312" w:eastAsia="仿宋_GB2312" w:cs="仿宋_GB2312"/>
          <w:color w:val="auto"/>
          <w:kern w:val="0"/>
          <w:sz w:val="32"/>
          <w:szCs w:val="32"/>
          <w:highlight w:val="none"/>
          <w:lang w:eastAsia="zh-CN" w:bidi="ar"/>
        </w:rPr>
        <w:t>重点支持</w:t>
      </w:r>
      <w:r>
        <w:rPr>
          <w:rFonts w:hint="eastAsia" w:ascii="仿宋_GB2312" w:hAnsi="仿宋_GB2312" w:eastAsia="仿宋_GB2312" w:cs="仿宋_GB2312"/>
          <w:color w:val="auto"/>
          <w:kern w:val="0"/>
          <w:sz w:val="32"/>
          <w:szCs w:val="32"/>
          <w:highlight w:val="none"/>
          <w:lang w:bidi="ar"/>
        </w:rPr>
        <w:t>人工智能、大数据</w:t>
      </w:r>
      <w:r>
        <w:rPr>
          <w:rFonts w:hint="eastAsia" w:ascii="仿宋_GB2312" w:hAnsi="仿宋_GB2312" w:eastAsia="仿宋_GB2312" w:cs="仿宋_GB2312"/>
          <w:color w:val="auto"/>
          <w:kern w:val="0"/>
          <w:sz w:val="32"/>
          <w:szCs w:val="32"/>
          <w:highlight w:val="none"/>
          <w:lang w:eastAsia="zh-CN" w:bidi="ar"/>
        </w:rPr>
        <w:t>、云计算</w:t>
      </w:r>
      <w:r>
        <w:rPr>
          <w:rFonts w:hint="eastAsia" w:ascii="仿宋_GB2312" w:hAnsi="仿宋_GB2312" w:eastAsia="仿宋_GB2312" w:cs="仿宋_GB2312"/>
          <w:color w:val="auto"/>
          <w:kern w:val="0"/>
          <w:sz w:val="32"/>
          <w:szCs w:val="32"/>
          <w:highlight w:val="none"/>
          <w:lang w:bidi="ar"/>
        </w:rPr>
        <w:t>、</w:t>
      </w:r>
      <w:r>
        <w:rPr>
          <w:rFonts w:hint="eastAsia" w:ascii="仿宋_GB2312" w:hAnsi="仿宋_GB2312" w:eastAsia="仿宋_GB2312" w:cs="仿宋_GB2312"/>
          <w:color w:val="auto"/>
          <w:kern w:val="0"/>
          <w:sz w:val="32"/>
          <w:szCs w:val="32"/>
          <w:highlight w:val="none"/>
          <w:lang w:eastAsia="zh-CN" w:bidi="ar"/>
        </w:rPr>
        <w:t>物联网、</w:t>
      </w:r>
      <w:r>
        <w:rPr>
          <w:rFonts w:hint="eastAsia" w:ascii="仿宋_GB2312" w:hAnsi="仿宋_GB2312" w:eastAsia="仿宋_GB2312" w:cs="仿宋_GB2312"/>
          <w:color w:val="auto"/>
          <w:kern w:val="0"/>
          <w:sz w:val="32"/>
          <w:szCs w:val="32"/>
          <w:highlight w:val="none"/>
          <w:lang w:bidi="ar"/>
        </w:rPr>
        <w:t>量子科技、数据标注、工业互联网</w:t>
      </w:r>
      <w:r>
        <w:rPr>
          <w:rFonts w:hint="eastAsia" w:ascii="仿宋_GB2312" w:hAnsi="仿宋_GB2312" w:eastAsia="仿宋_GB2312" w:cs="仿宋_GB2312"/>
          <w:color w:val="auto"/>
          <w:kern w:val="0"/>
          <w:sz w:val="32"/>
          <w:szCs w:val="32"/>
          <w:highlight w:val="none"/>
          <w:lang w:eastAsia="zh-CN" w:bidi="ar"/>
        </w:rPr>
        <w:t>、低空经济</w:t>
      </w:r>
      <w:r>
        <w:rPr>
          <w:rFonts w:hint="eastAsia" w:ascii="仿宋_GB2312" w:hAnsi="仿宋_GB2312" w:eastAsia="仿宋_GB2312" w:cs="仿宋_GB2312"/>
          <w:color w:val="auto"/>
          <w:kern w:val="0"/>
          <w:sz w:val="32"/>
          <w:szCs w:val="32"/>
          <w:highlight w:val="none"/>
          <w:lang w:bidi="ar"/>
        </w:rPr>
        <w:t>等</w:t>
      </w:r>
      <w:r>
        <w:rPr>
          <w:rFonts w:hint="eastAsia" w:ascii="仿宋_GB2312" w:hAnsi="仿宋_GB2312" w:eastAsia="仿宋_GB2312" w:cs="仿宋_GB2312"/>
          <w:color w:val="auto"/>
          <w:kern w:val="0"/>
          <w:sz w:val="32"/>
          <w:szCs w:val="32"/>
          <w:highlight w:val="none"/>
          <w:lang w:eastAsia="zh-CN" w:bidi="ar"/>
        </w:rPr>
        <w:t>产业</w:t>
      </w:r>
      <w:r>
        <w:rPr>
          <w:rFonts w:hint="eastAsia" w:ascii="仿宋_GB2312" w:hAnsi="仿宋_GB2312" w:eastAsia="仿宋_GB2312" w:cs="仿宋_GB2312"/>
          <w:color w:val="auto"/>
          <w:kern w:val="0"/>
          <w:sz w:val="32"/>
          <w:szCs w:val="32"/>
          <w:highlight w:val="none"/>
          <w:lang w:bidi="ar"/>
        </w:rPr>
        <w:t>领域。</w:t>
      </w:r>
    </w:p>
    <w:p>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0" w:firstLineChars="200"/>
        <w:textAlignment w:val="auto"/>
        <w:rPr>
          <w:rFonts w:ascii="黑体" w:hAnsi="黑体" w:eastAsia="黑体" w:cs="黑体"/>
          <w:color w:val="auto"/>
          <w:sz w:val="32"/>
          <w:szCs w:val="32"/>
        </w:rPr>
      </w:pPr>
      <w:r>
        <w:rPr>
          <w:rFonts w:hint="eastAsia" w:ascii="黑体" w:hAnsi="黑体" w:eastAsia="黑体" w:cs="黑体"/>
          <w:color w:val="auto"/>
          <w:kern w:val="0"/>
          <w:sz w:val="32"/>
          <w:szCs w:val="32"/>
          <w:lang w:bidi="ar"/>
        </w:rPr>
        <w:t>二、政策内容</w:t>
      </w:r>
    </w:p>
    <w:p>
      <w:pPr>
        <w:keepNext w:val="0"/>
        <w:keepLines w:val="0"/>
        <w:pageBreakBefore w:val="0"/>
        <w:widowControl w:val="0"/>
        <w:kinsoku/>
        <w:wordWrap/>
        <w:overflowPunct/>
        <w:topLinePunct w:val="0"/>
        <w:autoSpaceDE/>
        <w:autoSpaceDN/>
        <w:bidi w:val="0"/>
        <w:adjustRightInd/>
        <w:snapToGrid/>
        <w:spacing w:line="590" w:lineRule="exact"/>
        <w:ind w:left="0" w:leftChars="0" w:firstLine="642" w:firstLineChars="200"/>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bidi="ar"/>
        </w:rPr>
        <w:t>（一）支持企业</w:t>
      </w:r>
      <w:r>
        <w:rPr>
          <w:rFonts w:hint="eastAsia" w:ascii="楷体_GB2312" w:hAnsi="楷体_GB2312" w:eastAsia="楷体_GB2312" w:cs="楷体_GB2312"/>
          <w:b/>
          <w:bCs/>
          <w:color w:val="auto"/>
          <w:kern w:val="0"/>
          <w:sz w:val="32"/>
          <w:szCs w:val="32"/>
          <w:lang w:eastAsia="zh-CN" w:bidi="ar"/>
        </w:rPr>
        <w:t>创新发展</w:t>
      </w:r>
      <w:r>
        <w:rPr>
          <w:rFonts w:hint="eastAsia" w:ascii="楷体_GB2312" w:hAnsi="楷体_GB2312" w:eastAsia="楷体_GB2312" w:cs="楷体_GB2312"/>
          <w:b/>
          <w:bCs/>
          <w:color w:val="auto"/>
          <w:kern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highlight w:val="none"/>
          <w:lang w:bidi="ar"/>
        </w:rPr>
        <w:t>1.对</w:t>
      </w:r>
      <w:r>
        <w:rPr>
          <w:rFonts w:hint="eastAsia" w:ascii="仿宋_GB2312" w:hAnsi="仿宋_GB2312" w:eastAsia="仿宋_GB2312" w:cs="仿宋_GB2312"/>
          <w:color w:val="auto"/>
          <w:kern w:val="0"/>
          <w:sz w:val="32"/>
          <w:szCs w:val="32"/>
          <w:lang w:eastAsia="zh-CN" w:bidi="ar"/>
        </w:rPr>
        <w:t>营业收入首次达到</w:t>
      </w:r>
      <w:r>
        <w:rPr>
          <w:rFonts w:hint="eastAsia" w:ascii="仿宋_GB2312" w:hAnsi="仿宋_GB2312" w:eastAsia="仿宋_GB2312" w:cs="仿宋_GB2312"/>
          <w:color w:val="auto"/>
          <w:kern w:val="0"/>
          <w:sz w:val="32"/>
          <w:szCs w:val="32"/>
          <w:lang w:bidi="ar"/>
        </w:rPr>
        <w:t>500万元、1000万元、2000万元</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kern w:val="0"/>
          <w:sz w:val="32"/>
          <w:szCs w:val="32"/>
          <w:lang w:bidi="ar"/>
        </w:rPr>
        <w:t>并实现入规</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kern w:val="0"/>
          <w:sz w:val="32"/>
          <w:szCs w:val="32"/>
          <w:lang w:bidi="ar"/>
        </w:rPr>
        <w:t>的企业分别一次性奖励5万元、10万元、20万元</w:t>
      </w:r>
      <w:r>
        <w:rPr>
          <w:rFonts w:hint="eastAsia" w:ascii="仿宋_GB2312" w:hAnsi="仿宋_GB2312" w:eastAsia="仿宋_GB2312" w:cs="仿宋_GB2312"/>
          <w:color w:val="auto"/>
          <w:kern w:val="0"/>
          <w:sz w:val="32"/>
          <w:szCs w:val="32"/>
          <w:lang w:eastAsia="zh-CN" w:bidi="ar"/>
        </w:rPr>
        <w:t>用于创新发展，按照晋级补差原则奖励</w:t>
      </w:r>
      <w:r>
        <w:rPr>
          <w:rFonts w:hint="eastAsia" w:ascii="仿宋_GB2312" w:hAnsi="仿宋_GB2312" w:eastAsia="仿宋_GB2312" w:cs="仿宋_GB2312"/>
          <w:color w:val="auto"/>
          <w:kern w:val="0"/>
          <w:sz w:val="32"/>
          <w:szCs w:val="32"/>
          <w:lang w:bidi="ar"/>
        </w:rPr>
        <w:t>。</w:t>
      </w:r>
      <w:r>
        <w:rPr>
          <w:rFonts w:hint="eastAsia" w:ascii="仿宋_GB2312" w:hAnsi="仿宋_GB2312" w:eastAsia="仿宋_GB2312" w:cs="仿宋_GB2312"/>
          <w:color w:val="auto"/>
          <w:sz w:val="32"/>
          <w:szCs w:val="32"/>
        </w:rPr>
        <w:t>（牵头单位：区工信局）</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楷体_GB2312" w:hAnsi="楷体_GB2312" w:eastAsia="楷体_GB2312" w:cs="楷体_GB2312"/>
          <w:b/>
          <w:bCs/>
          <w:color w:val="auto"/>
          <w:kern w:val="0"/>
          <w:sz w:val="32"/>
          <w:szCs w:val="32"/>
          <w:lang w:bidi="ar"/>
        </w:rPr>
      </w:pPr>
      <w:r>
        <w:rPr>
          <w:rFonts w:hint="eastAsia" w:ascii="仿宋_GB2312" w:hAnsi="仿宋_GB2312" w:eastAsia="仿宋_GB2312" w:cs="仿宋_GB2312"/>
          <w:color w:val="auto"/>
          <w:kern w:val="0"/>
          <w:sz w:val="32"/>
          <w:szCs w:val="32"/>
          <w:lang w:val="en-US" w:eastAsia="zh-CN" w:bidi="ar"/>
        </w:rPr>
        <w:t>2.</w:t>
      </w:r>
      <w:r>
        <w:rPr>
          <w:rFonts w:hint="eastAsia" w:ascii="仿宋_GB2312" w:hAnsi="仿宋_GB2312" w:eastAsia="仿宋_GB2312" w:cs="仿宋_GB2312"/>
          <w:color w:val="auto"/>
          <w:kern w:val="0"/>
          <w:sz w:val="32"/>
          <w:szCs w:val="32"/>
          <w:lang w:bidi="ar"/>
        </w:rPr>
        <w:t>对当年首次认定为高新技术企业的，给予10万元奖励；对重新认定为高新技术企业的，给予5万元奖励。</w:t>
      </w:r>
      <w:r>
        <w:rPr>
          <w:rFonts w:hint="eastAsia" w:ascii="仿宋_GB2312" w:hAnsi="仿宋_GB2312" w:eastAsia="仿宋_GB2312" w:cs="仿宋_GB2312"/>
          <w:color w:val="auto"/>
          <w:sz w:val="32"/>
          <w:szCs w:val="32"/>
        </w:rPr>
        <w:t>（牵头单位：区科技局）</w:t>
      </w:r>
    </w:p>
    <w:p>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2" w:firstLineChars="200"/>
        <w:textAlignment w:val="auto"/>
        <w:rPr>
          <w:rFonts w:ascii="仿宋_GB2312" w:hAnsi="仿宋_GB2312" w:eastAsia="仿宋_GB2312" w:cs="仿宋_GB2312"/>
          <w:b/>
          <w:bCs/>
          <w:color w:val="auto"/>
          <w:kern w:val="0"/>
          <w:sz w:val="32"/>
          <w:szCs w:val="32"/>
          <w:lang w:bidi="ar"/>
        </w:rPr>
      </w:pPr>
      <w:r>
        <w:rPr>
          <w:rFonts w:hint="eastAsia" w:ascii="楷体_GB2312" w:hAnsi="楷体_GB2312" w:eastAsia="楷体_GB2312" w:cs="楷体_GB2312"/>
          <w:b/>
          <w:bCs/>
          <w:color w:val="auto"/>
          <w:kern w:val="0"/>
          <w:sz w:val="32"/>
          <w:szCs w:val="32"/>
          <w:lang w:bidi="ar"/>
        </w:rPr>
        <w:t>（二）支持企业稳产增产</w:t>
      </w:r>
    </w:p>
    <w:p>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0" w:firstLineChars="200"/>
        <w:textAlignment w:val="auto"/>
        <w:rPr>
          <w:rFonts w:ascii="仿宋_GB2312" w:hAnsi="仿宋_GB2312" w:eastAsia="仿宋_GB2312" w:cs="仿宋_GB2312"/>
          <w:color w:val="000000" w:themeColor="text1"/>
          <w:kern w:val="0"/>
          <w:sz w:val="32"/>
          <w:szCs w:val="32"/>
          <w:lang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bidi="ar"/>
          <w14:textFill>
            <w14:solidFill>
              <w14:schemeClr w14:val="tx1"/>
            </w14:solidFill>
          </w14:textFill>
        </w:rPr>
        <w:t>3.对已纳统在库且同比营收</w:t>
      </w:r>
      <w:r>
        <w:rPr>
          <w:rFonts w:hint="eastAsia" w:ascii="仿宋_GB2312" w:hAnsi="仿宋_GB2312" w:eastAsia="仿宋_GB2312" w:cs="仿宋_GB2312"/>
          <w:color w:val="000000" w:themeColor="text1"/>
          <w:kern w:val="0"/>
          <w:sz w:val="32"/>
          <w:szCs w:val="32"/>
          <w:lang w:eastAsia="zh-CN" w:bidi="ar"/>
          <w14:textFill>
            <w14:solidFill>
              <w14:schemeClr w14:val="tx1"/>
            </w14:solidFill>
          </w14:textFill>
        </w:rPr>
        <w:t>或产值</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实现10%以上增长的企业，按其规模大小给予奖励</w:t>
      </w:r>
      <w:r>
        <w:rPr>
          <w:rFonts w:hint="eastAsia" w:ascii="仿宋_GB2312" w:hAnsi="仿宋_GB2312" w:eastAsia="仿宋_GB2312" w:cs="仿宋_GB2312"/>
          <w:color w:val="000000" w:themeColor="text1"/>
          <w:kern w:val="0"/>
          <w:sz w:val="32"/>
          <w:szCs w:val="32"/>
          <w:lang w:eastAsia="zh-CN" w:bidi="ar"/>
          <w14:textFill>
            <w14:solidFill>
              <w14:schemeClr w14:val="tx1"/>
            </w14:solidFill>
          </w14:textFill>
        </w:rPr>
        <w:t>，支持企业用于开展研发创新活动</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w:t>
      </w:r>
      <w:r>
        <w:rPr>
          <w:rFonts w:hint="eastAsia" w:ascii="仿宋_GB2312" w:hAnsi="仿宋_GB2312" w:eastAsia="仿宋_GB2312" w:cs="仿宋_GB2312"/>
          <w:b/>
          <w:bCs/>
          <w:color w:val="000000" w:themeColor="text1"/>
          <w:kern w:val="0"/>
          <w:sz w:val="32"/>
          <w:szCs w:val="32"/>
          <w:lang w:bidi="ar"/>
          <w14:textFill>
            <w14:solidFill>
              <w14:schemeClr w14:val="tx1"/>
            </w14:solidFill>
          </w14:textFill>
        </w:rPr>
        <w:t>（1）稳产奖。</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对</w:t>
      </w:r>
      <w:bookmarkStart w:id="0" w:name="OLE_LINK2"/>
      <w:r>
        <w:rPr>
          <w:rFonts w:hint="eastAsia" w:ascii="仿宋_GB2312" w:hAnsi="仿宋_GB2312" w:eastAsia="仿宋_GB2312" w:cs="仿宋_GB2312"/>
          <w:color w:val="000000" w:themeColor="text1"/>
          <w:kern w:val="0"/>
          <w:sz w:val="32"/>
          <w:szCs w:val="32"/>
          <w:lang w:bidi="ar"/>
          <w14:textFill>
            <w14:solidFill>
              <w14:schemeClr w14:val="tx1"/>
            </w14:solidFill>
          </w14:textFill>
        </w:rPr>
        <w:t>当年营收</w:t>
      </w:r>
      <w:bookmarkEnd w:id="0"/>
      <w:r>
        <w:rPr>
          <w:rFonts w:hint="eastAsia" w:ascii="仿宋_GB2312" w:hAnsi="仿宋_GB2312" w:eastAsia="仿宋_GB2312" w:cs="仿宋_GB2312"/>
          <w:color w:val="000000" w:themeColor="text1"/>
          <w:kern w:val="0"/>
          <w:sz w:val="32"/>
          <w:szCs w:val="32"/>
          <w:lang w:eastAsia="zh-CN" w:bidi="ar"/>
          <w14:textFill>
            <w14:solidFill>
              <w14:schemeClr w14:val="tx1"/>
            </w14:solidFill>
          </w14:textFill>
        </w:rPr>
        <w:t>或产值</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稳定在5000万元</w:t>
      </w:r>
      <w:bookmarkStart w:id="1" w:name="OLE_LINK1"/>
      <w:r>
        <w:rPr>
          <w:rFonts w:hint="eastAsia" w:ascii="仿宋_GB2312" w:hAnsi="仿宋_GB2312" w:eastAsia="仿宋_GB2312" w:cs="仿宋_GB2312"/>
          <w:color w:val="000000" w:themeColor="text1"/>
          <w:kern w:val="0"/>
          <w:sz w:val="32"/>
          <w:szCs w:val="32"/>
          <w:lang w:bidi="ar"/>
          <w14:textFill>
            <w14:solidFill>
              <w14:schemeClr w14:val="tx1"/>
            </w14:solidFill>
          </w14:textFill>
        </w:rPr>
        <w:t>（含）</w:t>
      </w:r>
      <w:bookmarkEnd w:id="1"/>
      <w:r>
        <w:rPr>
          <w:rFonts w:hint="eastAsia" w:ascii="仿宋_GB2312" w:hAnsi="仿宋_GB2312" w:eastAsia="仿宋_GB2312" w:cs="仿宋_GB2312"/>
          <w:color w:val="000000" w:themeColor="text1"/>
          <w:kern w:val="0"/>
          <w:sz w:val="32"/>
          <w:szCs w:val="32"/>
          <w:lang w:bidi="ar"/>
          <w14:textFill>
            <w14:solidFill>
              <w14:schemeClr w14:val="tx1"/>
            </w14:solidFill>
          </w14:textFill>
        </w:rPr>
        <w:t>-1亿元、1亿元（含）-2亿元、2亿元（含）-5亿元、5亿元（含）-8亿元、8亿元（含）-10亿元以及10亿元以上的分别给予30万元、40万元、50万元、60万元、80万元以及100万元奖励。</w:t>
      </w:r>
      <w:r>
        <w:rPr>
          <w:rFonts w:hint="eastAsia" w:ascii="仿宋_GB2312" w:hAnsi="仿宋_GB2312" w:eastAsia="仿宋_GB2312" w:cs="仿宋_GB2312"/>
          <w:b/>
          <w:bCs/>
          <w:color w:val="000000" w:themeColor="text1"/>
          <w:kern w:val="0"/>
          <w:sz w:val="32"/>
          <w:szCs w:val="32"/>
          <w:lang w:bidi="ar"/>
          <w14:textFill>
            <w14:solidFill>
              <w14:schemeClr w14:val="tx1"/>
            </w14:solidFill>
          </w14:textFill>
        </w:rPr>
        <w:t>（2）增产奖。</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对当年营收</w:t>
      </w:r>
      <w:r>
        <w:rPr>
          <w:rFonts w:hint="eastAsia" w:ascii="仿宋_GB2312" w:hAnsi="仿宋_GB2312" w:eastAsia="仿宋_GB2312" w:cs="仿宋_GB2312"/>
          <w:color w:val="000000" w:themeColor="text1"/>
          <w:kern w:val="0"/>
          <w:sz w:val="32"/>
          <w:szCs w:val="32"/>
          <w:lang w:eastAsia="zh-CN" w:bidi="ar"/>
          <w14:textFill>
            <w14:solidFill>
              <w14:schemeClr w14:val="tx1"/>
            </w14:solidFill>
          </w14:textFill>
        </w:rPr>
        <w:t>或产值</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净增500万元以上（含）的企业，按照每净增500万元奖励1万元的标准给予奖励，单个企业每年最高不超过50万元。</w:t>
      </w:r>
      <w:r>
        <w:rPr>
          <w:rFonts w:hint="eastAsia" w:ascii="仿宋_GB2312" w:hAnsi="仿宋_GB2312" w:eastAsia="仿宋_GB2312" w:cs="仿宋_GB2312"/>
          <w:color w:val="000000" w:themeColor="text1"/>
          <w:sz w:val="32"/>
          <w:szCs w:val="32"/>
          <w14:textFill>
            <w14:solidFill>
              <w14:schemeClr w14:val="tx1"/>
            </w14:solidFill>
          </w14:textFill>
        </w:rPr>
        <w:t>（牵头单位：区工信局）</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2" w:firstLineChars="200"/>
        <w:jc w:val="both"/>
        <w:textAlignment w:val="auto"/>
        <w:rPr>
          <w:rFonts w:ascii="楷体_GB2312" w:hAnsi="楷体_GB2312" w:eastAsia="楷体_GB2312" w:cs="楷体_GB2312"/>
          <w:b/>
          <w:bCs/>
          <w:color w:val="auto"/>
          <w:sz w:val="32"/>
          <w:szCs w:val="32"/>
          <w:lang w:bidi="ar"/>
        </w:rPr>
      </w:pPr>
      <w:r>
        <w:rPr>
          <w:rFonts w:hint="eastAsia" w:ascii="楷体_GB2312" w:hAnsi="楷体_GB2312" w:eastAsia="楷体_GB2312" w:cs="楷体_GB2312"/>
          <w:b/>
          <w:bCs/>
          <w:color w:val="auto"/>
          <w:sz w:val="32"/>
          <w:szCs w:val="32"/>
          <w:lang w:bidi="ar"/>
        </w:rPr>
        <w:t>（三）支持企业创优上榜争先</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ascii="仿宋_GB2312" w:hAnsi="仿宋_GB2312" w:eastAsia="仿宋_GB2312" w:cs="仿宋_GB2312"/>
          <w:color w:val="auto"/>
          <w:sz w:val="32"/>
          <w:szCs w:val="32"/>
          <w:lang w:bidi="ar"/>
        </w:rPr>
      </w:pPr>
      <w:r>
        <w:rPr>
          <w:rFonts w:hint="eastAsia" w:ascii="仿宋_GB2312" w:hAnsi="仿宋_GB2312" w:eastAsia="仿宋_GB2312" w:cs="仿宋_GB2312"/>
          <w:color w:val="auto"/>
          <w:sz w:val="32"/>
          <w:szCs w:val="32"/>
          <w:lang w:val="en-US" w:eastAsia="zh-CN" w:bidi="ar"/>
        </w:rPr>
        <w:t>4</w:t>
      </w:r>
      <w:r>
        <w:rPr>
          <w:rFonts w:hint="eastAsia" w:ascii="仿宋_GB2312" w:hAnsi="仿宋_GB2312" w:eastAsia="仿宋_GB2312" w:cs="仿宋_GB2312"/>
          <w:color w:val="auto"/>
          <w:sz w:val="32"/>
          <w:szCs w:val="32"/>
          <w:lang w:bidi="ar"/>
        </w:rPr>
        <w:t>.对当年新认定为</w:t>
      </w:r>
      <w:r>
        <w:rPr>
          <w:rFonts w:hint="eastAsia" w:ascii="仿宋_GB2312" w:hAnsi="仿宋_GB2312" w:eastAsia="仿宋_GB2312" w:cs="仿宋_GB2312"/>
          <w:color w:val="auto"/>
          <w:sz w:val="32"/>
          <w:szCs w:val="32"/>
          <w:lang w:eastAsia="zh-CN" w:bidi="ar"/>
        </w:rPr>
        <w:t>国家级</w:t>
      </w:r>
      <w:r>
        <w:rPr>
          <w:rFonts w:hint="eastAsia" w:ascii="仿宋_GB2312" w:hAnsi="仿宋_GB2312" w:eastAsia="仿宋_GB2312" w:cs="仿宋_GB2312"/>
          <w:color w:val="auto"/>
          <w:sz w:val="32"/>
          <w:szCs w:val="32"/>
          <w:lang w:bidi="ar"/>
        </w:rPr>
        <w:t>专精特新“小巨人”企业、省级专精特新中小企业的，分别给予30万元、10万元奖励；对当年重新认定为</w:t>
      </w:r>
      <w:r>
        <w:rPr>
          <w:rFonts w:hint="eastAsia" w:ascii="仿宋_GB2312" w:hAnsi="仿宋_GB2312" w:eastAsia="仿宋_GB2312" w:cs="仿宋_GB2312"/>
          <w:color w:val="auto"/>
          <w:sz w:val="32"/>
          <w:szCs w:val="32"/>
          <w:lang w:eastAsia="zh-CN" w:bidi="ar"/>
        </w:rPr>
        <w:t>国家级</w:t>
      </w:r>
      <w:r>
        <w:rPr>
          <w:rFonts w:hint="eastAsia" w:ascii="仿宋_GB2312" w:hAnsi="仿宋_GB2312" w:eastAsia="仿宋_GB2312" w:cs="仿宋_GB2312"/>
          <w:color w:val="auto"/>
          <w:sz w:val="32"/>
          <w:szCs w:val="32"/>
          <w:lang w:bidi="ar"/>
        </w:rPr>
        <w:t>专精特新“小巨人”企业的，奖励10万元。</w:t>
      </w:r>
      <w:r>
        <w:rPr>
          <w:rFonts w:hint="eastAsia" w:ascii="仿宋_GB2312" w:hAnsi="仿宋_GB2312" w:eastAsia="仿宋_GB2312" w:cs="仿宋_GB2312"/>
          <w:color w:val="auto"/>
          <w:sz w:val="32"/>
          <w:szCs w:val="32"/>
        </w:rPr>
        <w:t>（牵头单位：区工信局）</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ascii="仿宋_GB2312" w:hAnsi="仿宋_GB2312" w:eastAsia="仿宋_GB2312" w:cs="仿宋_GB2312"/>
          <w:color w:val="auto"/>
          <w:sz w:val="32"/>
          <w:szCs w:val="32"/>
          <w:lang w:bidi="ar"/>
        </w:rPr>
      </w:pPr>
      <w:r>
        <w:rPr>
          <w:rFonts w:hint="eastAsia" w:ascii="仿宋_GB2312" w:hAnsi="仿宋_GB2312" w:eastAsia="仿宋_GB2312" w:cs="仿宋_GB2312"/>
          <w:color w:val="auto"/>
          <w:sz w:val="32"/>
          <w:szCs w:val="32"/>
          <w:lang w:val="en-US" w:eastAsia="zh-CN" w:bidi="ar"/>
        </w:rPr>
        <w:t>5</w:t>
      </w:r>
      <w:r>
        <w:rPr>
          <w:rFonts w:hint="eastAsia" w:ascii="仿宋_GB2312" w:hAnsi="仿宋_GB2312" w:eastAsia="仿宋_GB2312" w:cs="仿宋_GB2312"/>
          <w:color w:val="auto"/>
          <w:sz w:val="32"/>
          <w:szCs w:val="32"/>
          <w:lang w:bidi="ar"/>
        </w:rPr>
        <w:t>.对首次入选全国“中国软件百强企业”“软件业务收入百强”“中国互联网企业综合实力百强”“软件和信息技术服务综合竞争力百强”“国家鼓励的重点软件企业”等国家级荣誉的企业，给予一次性50万元奖励；对首次入选“湖南省互联网企业50强”“湖南省软件和信息技术服务业综合竞争力50强”“湖南省重点软件企业榜单”等省级荣誉榜单的企业，给予一次性30万元奖励。</w:t>
      </w:r>
      <w:r>
        <w:rPr>
          <w:rFonts w:hint="eastAsia" w:ascii="仿宋_GB2312" w:hAnsi="仿宋_GB2312" w:eastAsia="仿宋_GB2312" w:cs="仿宋_GB2312"/>
          <w:color w:val="auto"/>
          <w:sz w:val="32"/>
          <w:szCs w:val="32"/>
        </w:rPr>
        <w:t>（牵头单位：区工信局）</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ascii="黑体" w:hAnsi="黑体" w:eastAsia="黑体" w:cs="黑体"/>
          <w:color w:val="auto"/>
          <w:sz w:val="32"/>
          <w:szCs w:val="32"/>
          <w:lang w:bidi="ar"/>
        </w:rPr>
      </w:pPr>
      <w:r>
        <w:rPr>
          <w:rFonts w:hint="eastAsia" w:ascii="仿宋_GB2312" w:hAnsi="仿宋_GB2312" w:eastAsia="仿宋_GB2312" w:cs="仿宋_GB2312"/>
          <w:color w:val="auto"/>
          <w:sz w:val="32"/>
          <w:szCs w:val="32"/>
          <w:lang w:val="en-US" w:eastAsia="zh-CN" w:bidi="ar"/>
        </w:rPr>
        <w:t>6</w:t>
      </w:r>
      <w:r>
        <w:rPr>
          <w:rFonts w:hint="eastAsia" w:ascii="仿宋_GB2312" w:hAnsi="仿宋_GB2312" w:eastAsia="仿宋_GB2312" w:cs="仿宋_GB2312"/>
          <w:color w:val="auto"/>
          <w:sz w:val="32"/>
          <w:szCs w:val="32"/>
          <w:lang w:bidi="ar"/>
        </w:rPr>
        <w:t>.对通过软件能力成熟度评估三级、四级、五级认证的企业，分别给予10万元、20万元、30万元补贴；对通过数据管理能力成熟度评估模型三级、四级、五级认证的企业,给予10万元、20万元、30万元补贴。本条款按照就高不重复、晋级补差原则奖励。</w:t>
      </w:r>
      <w:r>
        <w:rPr>
          <w:rFonts w:hint="eastAsia" w:ascii="仿宋_GB2312" w:hAnsi="仿宋_GB2312" w:eastAsia="仿宋_GB2312" w:cs="仿宋_GB2312"/>
          <w:color w:val="auto"/>
          <w:sz w:val="32"/>
          <w:szCs w:val="32"/>
        </w:rPr>
        <w:t>（牵头单位：区工信局）</w:t>
      </w:r>
    </w:p>
    <w:p>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2" w:firstLineChars="200"/>
        <w:textAlignment w:val="auto"/>
        <w:rPr>
          <w:rFonts w:ascii="楷体_GB2312" w:hAnsi="楷体_GB2312" w:eastAsia="楷体_GB2312" w:cs="楷体_GB2312"/>
          <w:b/>
          <w:bCs/>
          <w:color w:val="auto"/>
          <w:kern w:val="0"/>
          <w:sz w:val="32"/>
          <w:szCs w:val="32"/>
          <w:lang w:bidi="ar"/>
        </w:rPr>
      </w:pPr>
      <w:r>
        <w:rPr>
          <w:rFonts w:hint="eastAsia" w:ascii="楷体_GB2312" w:hAnsi="楷体_GB2312" w:eastAsia="楷体_GB2312" w:cs="楷体_GB2312"/>
          <w:b/>
          <w:bCs/>
          <w:color w:val="auto"/>
          <w:kern w:val="0"/>
          <w:sz w:val="32"/>
          <w:szCs w:val="32"/>
          <w:lang w:bidi="ar"/>
        </w:rPr>
        <w:t>（四）支持产业聚集发展</w:t>
      </w:r>
    </w:p>
    <w:p>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7</w:t>
      </w:r>
      <w:r>
        <w:rPr>
          <w:rFonts w:hint="eastAsia" w:ascii="仿宋_GB2312" w:hAnsi="仿宋_GB2312" w:eastAsia="仿宋_GB2312" w:cs="仿宋_GB2312"/>
          <w:color w:val="auto"/>
          <w:kern w:val="0"/>
          <w:sz w:val="32"/>
          <w:szCs w:val="32"/>
          <w:lang w:bidi="ar"/>
        </w:rPr>
        <w:t>.高标准打造软件信息特色商务楼宇及园区，鼓励商务楼宇及园区各自出台有关激励政策，进一步集聚和培育软件信息企业，按建设成效给予商务楼宇及园区业主方或运营管理企业</w:t>
      </w:r>
      <w:r>
        <w:rPr>
          <w:rFonts w:hint="eastAsia" w:ascii="仿宋_GB2312" w:hAnsi="仿宋_GB2312" w:eastAsia="仿宋_GB2312" w:cs="仿宋_GB2312"/>
          <w:color w:val="auto"/>
          <w:kern w:val="0"/>
          <w:sz w:val="32"/>
          <w:szCs w:val="32"/>
          <w:lang w:eastAsia="zh-CN" w:bidi="ar"/>
        </w:rPr>
        <w:t>、园区运营管理企业</w:t>
      </w:r>
      <w:r>
        <w:rPr>
          <w:rFonts w:hint="eastAsia" w:ascii="仿宋_GB2312" w:hAnsi="仿宋_GB2312" w:eastAsia="仿宋_GB2312" w:cs="仿宋_GB2312"/>
          <w:color w:val="auto"/>
          <w:kern w:val="0"/>
          <w:sz w:val="32"/>
          <w:szCs w:val="32"/>
          <w:lang w:bidi="ar"/>
        </w:rPr>
        <w:t>一定支持</w:t>
      </w:r>
      <w:r>
        <w:rPr>
          <w:rFonts w:hint="eastAsia" w:ascii="仿宋_GB2312" w:hAnsi="仿宋_GB2312" w:eastAsia="仿宋_GB2312" w:cs="仿宋_GB2312"/>
          <w:color w:val="auto"/>
          <w:kern w:val="0"/>
          <w:sz w:val="32"/>
          <w:szCs w:val="32"/>
          <w:lang w:eastAsia="zh-CN" w:bidi="ar"/>
        </w:rPr>
        <w:t>，用于补贴开展入驻企业培育服务和公共配套服务</w:t>
      </w:r>
      <w:r>
        <w:rPr>
          <w:rFonts w:hint="eastAsia" w:ascii="仿宋_GB2312" w:hAnsi="仿宋_GB2312" w:eastAsia="仿宋_GB2312" w:cs="仿宋_GB2312"/>
          <w:color w:val="auto"/>
          <w:kern w:val="0"/>
          <w:sz w:val="32"/>
          <w:szCs w:val="32"/>
          <w:lang w:bidi="ar"/>
        </w:rPr>
        <w:t>：</w:t>
      </w:r>
      <w:r>
        <w:rPr>
          <w:rFonts w:hint="eastAsia" w:ascii="仿宋_GB2312" w:hAnsi="仿宋_GB2312" w:eastAsia="仿宋_GB2312" w:cs="仿宋_GB2312"/>
          <w:b/>
          <w:bCs/>
          <w:color w:val="auto"/>
          <w:kern w:val="0"/>
          <w:sz w:val="32"/>
          <w:szCs w:val="32"/>
          <w:lang w:bidi="ar"/>
        </w:rPr>
        <w:t>（1）</w:t>
      </w:r>
      <w:r>
        <w:rPr>
          <w:rFonts w:hint="eastAsia" w:ascii="仿宋_GB2312" w:hAnsi="仿宋_GB2312" w:eastAsia="仿宋_GB2312" w:cs="仿宋_GB2312"/>
          <w:b/>
          <w:bCs/>
          <w:color w:val="auto"/>
          <w:kern w:val="0"/>
          <w:sz w:val="32"/>
          <w:szCs w:val="32"/>
          <w:lang w:eastAsia="zh-CN" w:bidi="ar"/>
        </w:rPr>
        <w:t>企业培育</w:t>
      </w:r>
      <w:r>
        <w:rPr>
          <w:rFonts w:hint="eastAsia" w:ascii="仿宋_GB2312" w:hAnsi="仿宋_GB2312" w:eastAsia="仿宋_GB2312" w:cs="仿宋_GB2312"/>
          <w:b/>
          <w:bCs/>
          <w:color w:val="auto"/>
          <w:kern w:val="0"/>
          <w:sz w:val="32"/>
          <w:szCs w:val="32"/>
          <w:lang w:bidi="ar"/>
        </w:rPr>
        <w:t>奖。</w:t>
      </w:r>
      <w:r>
        <w:rPr>
          <w:rFonts w:hint="eastAsia" w:ascii="仿宋_GB2312" w:hAnsi="仿宋_GB2312" w:eastAsia="仿宋_GB2312" w:cs="仿宋_GB2312"/>
          <w:color w:val="auto"/>
          <w:kern w:val="0"/>
          <w:sz w:val="32"/>
          <w:szCs w:val="32"/>
          <w:lang w:bidi="ar"/>
        </w:rPr>
        <w:t>每新增一家企业</w:t>
      </w:r>
      <w:r>
        <w:rPr>
          <w:rFonts w:hint="eastAsia" w:ascii="仿宋_GB2312" w:hAnsi="仿宋_GB2312" w:eastAsia="仿宋_GB2312" w:cs="仿宋_GB2312"/>
          <w:color w:val="auto"/>
          <w:kern w:val="0"/>
          <w:sz w:val="32"/>
          <w:szCs w:val="32"/>
          <w:lang w:eastAsia="zh-CN" w:bidi="ar"/>
        </w:rPr>
        <w:t>且当年</w:t>
      </w:r>
      <w:r>
        <w:rPr>
          <w:rFonts w:hint="eastAsia" w:ascii="仿宋_GB2312" w:hAnsi="仿宋_GB2312" w:eastAsia="仿宋_GB2312" w:cs="仿宋_GB2312"/>
          <w:color w:val="auto"/>
          <w:kern w:val="0"/>
          <w:sz w:val="32"/>
          <w:szCs w:val="32"/>
          <w:lang w:bidi="ar"/>
        </w:rPr>
        <w:t>营收达500万元、1000万元、2000万元以上的，分别给予1万元/家、2万元/家、3万元/家奖励。</w:t>
      </w:r>
      <w:r>
        <w:rPr>
          <w:rFonts w:hint="eastAsia" w:ascii="仿宋_GB2312" w:hAnsi="仿宋_GB2312" w:eastAsia="仿宋_GB2312" w:cs="仿宋_GB2312"/>
          <w:b/>
          <w:bCs/>
          <w:color w:val="auto"/>
          <w:kern w:val="0"/>
          <w:sz w:val="32"/>
          <w:szCs w:val="32"/>
          <w:lang w:bidi="ar"/>
        </w:rPr>
        <w:t>（2）集群规模奖。</w:t>
      </w:r>
      <w:r>
        <w:rPr>
          <w:rFonts w:hint="eastAsia" w:ascii="仿宋_GB2312" w:hAnsi="仿宋_GB2312" w:eastAsia="仿宋_GB2312" w:cs="仿宋_GB2312"/>
          <w:color w:val="auto"/>
          <w:kern w:val="0"/>
          <w:sz w:val="32"/>
          <w:szCs w:val="32"/>
          <w:lang w:bidi="ar"/>
        </w:rPr>
        <w:t>“新引进企业数”达20家、“规上企业数”达5家或“企业总营收”1亿元以上的授予“软件信息产业示范楼宇/园区”称号，并给予业主方或运营方50万元奖励；“新引进企业数”达30家、“规上企业数”达10家或“企业总营收”2亿元以上的授予“软件信息产业先进楼宇/园区”称号，并给予业主方或运营方80万元奖励；“新引进企业数”达40家、“规上企业数”达20家或“企业总营收”4亿元以上的授予“软件信息产业标杆楼宇/园区”称号，并给予业主方或运营方100万元奖励</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sz w:val="32"/>
          <w:szCs w:val="32"/>
        </w:rPr>
        <w:t>（牵头单位：区工信局）</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2" w:firstLineChars="200"/>
        <w:jc w:val="both"/>
        <w:textAlignment w:val="auto"/>
        <w:rPr>
          <w:rFonts w:ascii="仿宋_GB2312" w:hAnsi="仿宋_GB2312" w:eastAsia="仿宋_GB2312" w:cs="仿宋_GB2312"/>
          <w:color w:val="auto"/>
          <w:sz w:val="32"/>
          <w:szCs w:val="32"/>
          <w:lang w:bidi="ar"/>
        </w:rPr>
      </w:pPr>
      <w:r>
        <w:rPr>
          <w:rFonts w:hint="eastAsia" w:ascii="楷体_GB2312" w:hAnsi="楷体_GB2312" w:eastAsia="楷体_GB2312" w:cs="楷体_GB2312"/>
          <w:b/>
          <w:bCs/>
          <w:color w:val="auto"/>
          <w:sz w:val="32"/>
          <w:szCs w:val="32"/>
          <w:lang w:bidi="ar"/>
        </w:rPr>
        <w:t>（五）支持技术推广应用</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hint="eastAsia" w:ascii="仿宋_GB2312" w:hAnsi="仿宋_GB2312" w:eastAsia="仿宋_GB2312" w:cs="仿宋_GB2312"/>
          <w:color w:val="auto"/>
          <w:sz w:val="32"/>
          <w:szCs w:val="32"/>
          <w:lang w:bidi="ar"/>
        </w:rPr>
      </w:pPr>
      <w:r>
        <w:rPr>
          <w:rFonts w:hint="eastAsia" w:ascii="仿宋_GB2312" w:hAnsi="仿宋_GB2312" w:eastAsia="仿宋_GB2312" w:cs="仿宋_GB2312"/>
          <w:color w:val="auto"/>
          <w:sz w:val="32"/>
          <w:szCs w:val="32"/>
          <w:lang w:val="en-US" w:eastAsia="zh-CN" w:bidi="ar"/>
        </w:rPr>
        <w:t>8</w:t>
      </w:r>
      <w:r>
        <w:rPr>
          <w:rFonts w:hint="eastAsia" w:ascii="仿宋_GB2312" w:hAnsi="仿宋_GB2312" w:eastAsia="仿宋_GB2312" w:cs="仿宋_GB2312"/>
          <w:color w:val="auto"/>
          <w:sz w:val="32"/>
          <w:szCs w:val="32"/>
          <w:lang w:bidi="ar"/>
        </w:rPr>
        <w:t>.对当年获评国家、省、市首版次高端软件产品的企业，分别给予20万元、15万元、10万元奖励。</w:t>
      </w:r>
      <w:r>
        <w:rPr>
          <w:rFonts w:hint="eastAsia" w:ascii="仿宋_GB2312" w:hAnsi="仿宋_GB2312" w:eastAsia="仿宋_GB2312" w:cs="仿宋_GB2312"/>
          <w:color w:val="auto"/>
          <w:sz w:val="32"/>
          <w:szCs w:val="32"/>
        </w:rPr>
        <w:t>（牵头单位：</w:t>
      </w:r>
      <w:r>
        <w:rPr>
          <w:rFonts w:hint="eastAsia" w:ascii="仿宋_GB2312" w:hAnsi="仿宋_GB2312" w:eastAsia="仿宋_GB2312" w:cs="仿宋_GB2312"/>
          <w:color w:val="auto"/>
          <w:sz w:val="32"/>
          <w:szCs w:val="32"/>
          <w:lang w:eastAsia="zh-CN"/>
        </w:rPr>
        <w:t>区工信局</w:t>
      </w:r>
      <w:r>
        <w:rPr>
          <w:rFonts w:hint="eastAsia" w:ascii="仿宋_GB2312" w:hAnsi="仿宋_GB2312" w:eastAsia="仿宋_GB2312" w:cs="仿宋_GB2312"/>
          <w:color w:val="auto"/>
          <w:sz w:val="32"/>
          <w:szCs w:val="32"/>
        </w:rPr>
        <w:t>）</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ascii="仿宋_GB2312" w:hAnsi="仿宋_GB2312" w:eastAsia="仿宋_GB2312" w:cs="仿宋_GB2312"/>
          <w:color w:val="auto"/>
          <w:sz w:val="32"/>
          <w:szCs w:val="32"/>
          <w:lang w:bidi="ar"/>
        </w:rPr>
      </w:pPr>
      <w:r>
        <w:rPr>
          <w:rFonts w:hint="eastAsia" w:ascii="仿宋_GB2312" w:hAnsi="仿宋_GB2312" w:eastAsia="仿宋_GB2312" w:cs="仿宋_GB2312"/>
          <w:color w:val="auto"/>
          <w:sz w:val="32"/>
          <w:szCs w:val="32"/>
          <w:lang w:val="en-US" w:eastAsia="zh-CN" w:bidi="ar"/>
        </w:rPr>
        <w:t>9.</w:t>
      </w:r>
      <w:r>
        <w:rPr>
          <w:rFonts w:hint="eastAsia" w:ascii="仿宋_GB2312" w:hAnsi="仿宋_GB2312" w:eastAsia="仿宋_GB2312" w:cs="仿宋_GB2312"/>
          <w:color w:val="auto"/>
          <w:sz w:val="32"/>
          <w:szCs w:val="32"/>
          <w:lang w:bidi="ar"/>
        </w:rPr>
        <w:t>在高端软件和信息化领域，对当年牵头主导制定国际标准、国家（行业）标准、地方标准的企业，每项标准分别给予30万元、15万元、10万元奖励；对参与制定国际标准、国家（行业）标准的企业，每项标准分别给予10万元、5万元奖励；对牵头起草湖南省省直部门批准发布的地方标准或团体标准的企业，每项标准给予1万元奖励，最高不超过30万元。</w:t>
      </w:r>
      <w:r>
        <w:rPr>
          <w:rFonts w:hint="eastAsia" w:ascii="仿宋_GB2312" w:hAnsi="仿宋_GB2312" w:eastAsia="仿宋_GB2312" w:cs="仿宋_GB2312"/>
          <w:color w:val="auto"/>
          <w:sz w:val="32"/>
          <w:szCs w:val="32"/>
        </w:rPr>
        <w:t>（牵头单位：区市场局）</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hint="eastAsia" w:ascii="楷体_GB2312" w:hAnsi="楷体_GB2312" w:eastAsia="楷体_GB2312" w:cs="楷体_GB2312"/>
          <w:b/>
          <w:bCs/>
          <w:color w:val="auto"/>
          <w:sz w:val="32"/>
          <w:szCs w:val="32"/>
          <w:highlight w:val="none"/>
          <w:lang w:bidi="ar"/>
        </w:rPr>
      </w:pPr>
      <w:r>
        <w:rPr>
          <w:rFonts w:hint="eastAsia" w:ascii="仿宋_GB2312" w:hAnsi="仿宋_GB2312" w:eastAsia="仿宋_GB2312" w:cs="仿宋_GB2312"/>
          <w:color w:val="auto"/>
          <w:sz w:val="32"/>
          <w:szCs w:val="32"/>
          <w:lang w:bidi="ar"/>
        </w:rPr>
        <w:t>1</w:t>
      </w:r>
      <w:r>
        <w:rPr>
          <w:rFonts w:hint="eastAsia" w:ascii="仿宋_GB2312" w:hAnsi="仿宋_GB2312" w:eastAsia="仿宋_GB2312" w:cs="仿宋_GB2312"/>
          <w:color w:val="auto"/>
          <w:sz w:val="32"/>
          <w:szCs w:val="32"/>
          <w:lang w:val="en-US" w:eastAsia="zh-CN" w:bidi="ar"/>
        </w:rPr>
        <w:t>0</w:t>
      </w:r>
      <w:r>
        <w:rPr>
          <w:rFonts w:hint="eastAsia" w:ascii="仿宋_GB2312" w:hAnsi="仿宋_GB2312" w:eastAsia="仿宋_GB2312" w:cs="仿宋_GB2312"/>
          <w:color w:val="auto"/>
          <w:sz w:val="32"/>
          <w:szCs w:val="32"/>
          <w:lang w:bidi="ar"/>
        </w:rPr>
        <w:t>.</w:t>
      </w:r>
      <w:r>
        <w:rPr>
          <w:rFonts w:hint="eastAsia" w:ascii="仿宋_GB2312" w:hAnsi="仿宋_GB2312" w:eastAsia="仿宋_GB2312" w:cs="仿宋_GB2312"/>
          <w:color w:val="auto"/>
          <w:sz w:val="32"/>
          <w:szCs w:val="32"/>
          <w:lang w:eastAsia="zh-CN" w:bidi="ar"/>
        </w:rPr>
        <w:t>支持企业采购软件信息产业链企业技术服务，</w:t>
      </w:r>
      <w:r>
        <w:rPr>
          <w:rFonts w:hint="eastAsia" w:ascii="仿宋_GB2312" w:hAnsi="仿宋_GB2312" w:eastAsia="仿宋_GB2312" w:cs="仿宋_GB2312"/>
          <w:color w:val="auto"/>
          <w:sz w:val="32"/>
          <w:szCs w:val="32"/>
          <w:lang w:bidi="ar"/>
        </w:rPr>
        <w:t>根据合同和发票金额给予奖励。发票金额在100(含)-500万元的，一次性给予2万元奖励;发票金额在500(含)-1000万元的，一次性给予5万元奖励;发票金额在1000(含)-2000万元的，一次性给予10万元奖励;发票金额在2000(含)万元以上的，一次性给予20万元奖励。</w:t>
      </w:r>
      <w:r>
        <w:rPr>
          <w:rFonts w:hint="eastAsia" w:ascii="仿宋_GB2312" w:hAnsi="仿宋_GB2312" w:eastAsia="仿宋_GB2312" w:cs="仿宋_GB2312"/>
          <w:color w:val="auto"/>
          <w:sz w:val="32"/>
          <w:szCs w:val="32"/>
        </w:rPr>
        <w:t>（牵头单位：区工信局）</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2" w:firstLineChars="200"/>
        <w:jc w:val="both"/>
        <w:textAlignment w:val="auto"/>
        <w:rPr>
          <w:rFonts w:hint="eastAsia" w:ascii="楷体_GB2312" w:hAnsi="楷体_GB2312" w:eastAsia="楷体_GB2312" w:cs="楷体_GB2312"/>
          <w:b/>
          <w:bCs/>
          <w:color w:val="auto"/>
          <w:sz w:val="32"/>
          <w:szCs w:val="32"/>
          <w:highlight w:val="none"/>
          <w:lang w:val="en-US" w:eastAsia="zh-CN" w:bidi="ar"/>
        </w:rPr>
      </w:pPr>
      <w:r>
        <w:rPr>
          <w:rFonts w:hint="eastAsia" w:ascii="楷体_GB2312" w:hAnsi="楷体_GB2312" w:eastAsia="楷体_GB2312" w:cs="楷体_GB2312"/>
          <w:b/>
          <w:bCs/>
          <w:color w:val="auto"/>
          <w:sz w:val="32"/>
          <w:szCs w:val="32"/>
          <w:highlight w:val="none"/>
          <w:lang w:bidi="ar"/>
        </w:rPr>
        <w:t>（</w:t>
      </w:r>
      <w:r>
        <w:rPr>
          <w:rFonts w:hint="eastAsia" w:ascii="楷体_GB2312" w:hAnsi="楷体_GB2312" w:eastAsia="楷体_GB2312" w:cs="楷体_GB2312"/>
          <w:b/>
          <w:bCs/>
          <w:color w:val="auto"/>
          <w:sz w:val="32"/>
          <w:szCs w:val="32"/>
          <w:highlight w:val="none"/>
          <w:lang w:val="en-US" w:eastAsia="zh-CN" w:bidi="ar"/>
        </w:rPr>
        <w:t>六</w:t>
      </w:r>
      <w:r>
        <w:rPr>
          <w:rFonts w:hint="eastAsia" w:ascii="楷体_GB2312" w:hAnsi="楷体_GB2312" w:eastAsia="楷体_GB2312" w:cs="楷体_GB2312"/>
          <w:b/>
          <w:bCs/>
          <w:color w:val="auto"/>
          <w:sz w:val="32"/>
          <w:szCs w:val="32"/>
          <w:highlight w:val="none"/>
          <w:lang w:bidi="ar"/>
        </w:rPr>
        <w:t>）支持</w:t>
      </w:r>
      <w:r>
        <w:rPr>
          <w:rFonts w:hint="eastAsia" w:ascii="楷体_GB2312" w:hAnsi="楷体_GB2312" w:eastAsia="楷体_GB2312" w:cs="楷体_GB2312"/>
          <w:b/>
          <w:bCs/>
          <w:color w:val="auto"/>
          <w:sz w:val="32"/>
          <w:szCs w:val="32"/>
          <w:highlight w:val="none"/>
          <w:lang w:val="en-US" w:eastAsia="zh-CN" w:bidi="ar"/>
        </w:rPr>
        <w:t>产业人才加速聚集</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hint="eastAsia" w:ascii="仿宋_GB2312" w:hAnsi="仿宋_GB2312" w:eastAsia="仿宋_GB2312"/>
          <w:b w:val="0"/>
          <w:bCs w:val="0"/>
          <w:color w:val="auto"/>
          <w:sz w:val="32"/>
          <w:szCs w:val="32"/>
          <w:highlight w:val="none"/>
          <w:lang w:val="en-US" w:eastAsia="zh-CN"/>
        </w:rPr>
      </w:pPr>
      <w:r>
        <w:rPr>
          <w:rFonts w:hint="eastAsia" w:ascii="仿宋_GB2312" w:hAnsi="仿宋_GB2312" w:eastAsia="仿宋_GB2312"/>
          <w:color w:val="auto"/>
          <w:spacing w:val="0"/>
          <w:w w:val="100"/>
          <w:kern w:val="0"/>
          <w:sz w:val="32"/>
          <w:szCs w:val="32"/>
          <w:highlight w:val="none"/>
          <w:lang w:val="en-US" w:eastAsia="zh-CN" w:bidi="ar-SA"/>
        </w:rPr>
        <w:t>11.大力引进和培育各类软件信息人才。</w:t>
      </w:r>
      <w:r>
        <w:rPr>
          <w:rFonts w:hint="eastAsia" w:ascii="仿宋_GB2312" w:hAnsi="仿宋_GB2312" w:eastAsia="仿宋_GB2312"/>
          <w:b/>
          <w:bCs/>
          <w:color w:val="auto"/>
          <w:sz w:val="32"/>
          <w:szCs w:val="32"/>
          <w:highlight w:val="none"/>
          <w:lang w:val="en-US" w:eastAsia="zh-CN"/>
        </w:rPr>
        <w:t>（1）高精尖人才：</w:t>
      </w:r>
      <w:r>
        <w:rPr>
          <w:rFonts w:hint="eastAsia" w:ascii="仿宋_GB2312" w:hAnsi="仿宋_GB2312" w:eastAsia="仿宋_GB2312"/>
          <w:color w:val="auto"/>
          <w:spacing w:val="0"/>
          <w:w w:val="100"/>
          <w:kern w:val="0"/>
          <w:sz w:val="32"/>
          <w:szCs w:val="32"/>
          <w:highlight w:val="none"/>
          <w:lang w:val="en-US" w:eastAsia="zh-CN" w:bidi="ar-SA"/>
        </w:rPr>
        <w:t>对新入选高精尖人才领跑工程的国际级产业顶尖人才、国家级产业领军人才、省市级产业领军人才，分别给予200万元、150万元、100万元奖励补贴。</w:t>
      </w:r>
      <w:r>
        <w:rPr>
          <w:rFonts w:hint="eastAsia" w:ascii="仿宋_GB2312" w:hAnsi="仿宋_GB2312" w:eastAsia="仿宋_GB2312"/>
          <w:b/>
          <w:bCs/>
          <w:color w:val="auto"/>
          <w:spacing w:val="0"/>
          <w:w w:val="100"/>
          <w:kern w:val="0"/>
          <w:sz w:val="32"/>
          <w:szCs w:val="32"/>
          <w:highlight w:val="none"/>
          <w:lang w:val="en-US" w:eastAsia="zh-CN" w:bidi="ar-SA"/>
        </w:rPr>
        <w:t>（2）骨干人才：</w:t>
      </w:r>
      <w:r>
        <w:rPr>
          <w:rFonts w:hint="eastAsia" w:ascii="仿宋_GB2312" w:hAnsi="仿宋_GB2312" w:eastAsia="仿宋_GB2312"/>
          <w:color w:val="auto"/>
          <w:spacing w:val="0"/>
          <w:w w:val="100"/>
          <w:kern w:val="0"/>
          <w:sz w:val="32"/>
          <w:szCs w:val="32"/>
          <w:highlight w:val="none"/>
          <w:lang w:val="en-US" w:eastAsia="zh-CN" w:bidi="ar-SA"/>
        </w:rPr>
        <w:t>经认定为望城区骨干人才并符合相关条件的，在望城区范围内首次购房一次性给予10万元购房补贴。</w:t>
      </w:r>
      <w:r>
        <w:rPr>
          <w:rFonts w:hint="eastAsia" w:ascii="仿宋_GB2312" w:hAnsi="仿宋_GB2312" w:eastAsia="仿宋_GB2312"/>
          <w:b/>
          <w:bCs/>
          <w:color w:val="auto"/>
          <w:spacing w:val="0"/>
          <w:w w:val="100"/>
          <w:kern w:val="0"/>
          <w:sz w:val="32"/>
          <w:szCs w:val="32"/>
          <w:highlight w:val="none"/>
          <w:lang w:val="en-US" w:eastAsia="zh-CN" w:bidi="ar-SA"/>
        </w:rPr>
        <w:t>（3）产业攻坚博士：</w:t>
      </w:r>
      <w:r>
        <w:rPr>
          <w:rFonts w:hint="eastAsia" w:ascii="仿宋_GB2312" w:hAnsi="仿宋_GB2312" w:eastAsia="仿宋_GB2312"/>
          <w:b w:val="0"/>
          <w:bCs w:val="0"/>
          <w:color w:val="auto"/>
          <w:spacing w:val="0"/>
          <w:w w:val="100"/>
          <w:kern w:val="0"/>
          <w:sz w:val="32"/>
          <w:szCs w:val="32"/>
          <w:highlight w:val="none"/>
          <w:lang w:val="en-US" w:eastAsia="zh-CN" w:bidi="ar-SA"/>
        </w:rPr>
        <w:t>对依据</w:t>
      </w:r>
      <w:r>
        <w:rPr>
          <w:rFonts w:hint="eastAsia" w:ascii="仿宋_GB2312" w:hAnsi="仿宋_GB2312" w:eastAsia="仿宋_GB2312"/>
          <w:color w:val="auto"/>
          <w:spacing w:val="0"/>
          <w:w w:val="100"/>
          <w:kern w:val="0"/>
          <w:sz w:val="32"/>
          <w:szCs w:val="32"/>
          <w:highlight w:val="none"/>
          <w:lang w:val="en-US" w:eastAsia="zh-CN" w:bidi="ar-SA"/>
        </w:rPr>
        <w:t>产业攻坚博士需求目录和岗位引进的博士，最高给予30万元资金补贴。</w:t>
      </w:r>
      <w:r>
        <w:rPr>
          <w:rFonts w:hint="eastAsia" w:ascii="仿宋_GB2312" w:hAnsi="仿宋_GB2312" w:eastAsia="仿宋_GB2312"/>
          <w:b/>
          <w:bCs/>
          <w:color w:val="auto"/>
          <w:sz w:val="32"/>
          <w:szCs w:val="32"/>
          <w:highlight w:val="none"/>
          <w:lang w:val="en-US" w:eastAsia="zh-CN"/>
        </w:rPr>
        <w:t>（4）青年人才：</w:t>
      </w:r>
      <w:r>
        <w:rPr>
          <w:rFonts w:hint="eastAsia" w:ascii="仿宋_GB2312" w:hAnsi="仿宋_GB2312" w:eastAsia="仿宋_GB2312"/>
          <w:color w:val="auto"/>
          <w:spacing w:val="0"/>
          <w:w w:val="100"/>
          <w:kern w:val="0"/>
          <w:sz w:val="32"/>
          <w:szCs w:val="32"/>
          <w:highlight w:val="none"/>
          <w:lang w:val="en-US" w:eastAsia="zh-CN" w:bidi="ar-SA"/>
        </w:rPr>
        <w:t>对35周岁（含）以下毕业两年内，落户并在望城工作的博士、硕士、全日制本科毕业生，分别给予3万元、2万元、1.2万元租房和生活补贴。对35周岁（含）以下、新来望城工作的博士、硕士毕业生，在望城首次购房分别给予12万元、4万元购房补贴。</w:t>
      </w:r>
      <w:r>
        <w:rPr>
          <w:rFonts w:hint="eastAsia" w:ascii="仿宋_GB2312" w:hAnsi="仿宋_GB2312" w:eastAsia="仿宋_GB2312"/>
          <w:b/>
          <w:bCs/>
          <w:color w:val="auto"/>
          <w:sz w:val="32"/>
          <w:szCs w:val="32"/>
          <w:highlight w:val="none"/>
          <w:lang w:val="en-US" w:eastAsia="zh-CN"/>
        </w:rPr>
        <w:t>（5）技能人才：</w:t>
      </w:r>
      <w:r>
        <w:rPr>
          <w:rFonts w:hint="eastAsia" w:ascii="仿宋_GB2312" w:hAnsi="仿宋_GB2312" w:eastAsia="仿宋_GB2312"/>
          <w:b w:val="0"/>
          <w:bCs w:val="0"/>
          <w:color w:val="auto"/>
          <w:sz w:val="32"/>
          <w:szCs w:val="32"/>
          <w:highlight w:val="none"/>
          <w:lang w:val="en-US" w:eastAsia="zh-CN"/>
        </w:rPr>
        <w:t>对企业新引进或新获得高级技师职业资格的职工，给予5000元奖励，在望城首次购房给予3万元购房补贴。对制造业企业新引进或新获得正高级工程师、高级工程师职称的专业技术人员，分别给予1万元、5000元奖励，并对在望城首次购房的正高级工程师给予3万元购房补贴。</w:t>
      </w:r>
      <w:r>
        <w:rPr>
          <w:rFonts w:hint="eastAsia" w:ascii="仿宋_GB2312" w:hAnsi="仿宋_GB2312" w:eastAsia="仿宋_GB2312" w:cs="仿宋_GB2312"/>
          <w:color w:val="auto"/>
          <w:sz w:val="32"/>
          <w:szCs w:val="32"/>
          <w:highlight w:val="none"/>
        </w:rPr>
        <w:t>（牵头单位：</w:t>
      </w:r>
      <w:r>
        <w:rPr>
          <w:rFonts w:hint="eastAsia" w:ascii="仿宋_GB2312" w:hAnsi="仿宋_GB2312" w:eastAsia="仿宋_GB2312" w:cs="仿宋_GB2312"/>
          <w:color w:val="auto"/>
          <w:sz w:val="32"/>
          <w:szCs w:val="32"/>
          <w:highlight w:val="none"/>
          <w:lang w:val="en-US" w:eastAsia="zh-CN"/>
        </w:rPr>
        <w:t>区委组织部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人社局</w:t>
      </w:r>
      <w:r>
        <w:rPr>
          <w:rFonts w:hint="eastAsia" w:ascii="仿宋_GB2312" w:hAnsi="仿宋_GB2312" w:eastAsia="仿宋_GB2312" w:cs="仿宋_GB2312"/>
          <w:color w:val="auto"/>
          <w:sz w:val="32"/>
          <w:szCs w:val="32"/>
          <w:highlight w:val="none"/>
        </w:rPr>
        <w:t>）</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b w:val="0"/>
          <w:bCs w:val="0"/>
          <w:color w:val="auto"/>
          <w:sz w:val="32"/>
          <w:szCs w:val="32"/>
          <w:highlight w:val="none"/>
          <w:lang w:val="en-US" w:eastAsia="zh-CN"/>
        </w:rPr>
        <w:t>12.对吸纳离校2年内未就业高校毕业生和16-24岁的登记失业人员的见习基地，按照当地最低工资标准给予就业见习补贴。对小微企业招用离校2年内未就业高校毕业生，给予最长不超过1年的社会保险补贴。</w:t>
      </w:r>
      <w:r>
        <w:rPr>
          <w:rFonts w:hint="eastAsia" w:ascii="仿宋_GB2312" w:hAnsi="仿宋_GB2312" w:eastAsia="仿宋_GB2312" w:cs="仿宋_GB2312"/>
          <w:color w:val="auto"/>
          <w:sz w:val="32"/>
          <w:szCs w:val="32"/>
          <w:highlight w:val="none"/>
        </w:rPr>
        <w:t>（牵头单位：区</w:t>
      </w:r>
      <w:r>
        <w:rPr>
          <w:rFonts w:hint="eastAsia" w:ascii="仿宋_GB2312" w:hAnsi="仿宋_GB2312" w:eastAsia="仿宋_GB2312" w:cs="仿宋_GB2312"/>
          <w:color w:val="auto"/>
          <w:sz w:val="32"/>
          <w:szCs w:val="32"/>
          <w:highlight w:val="none"/>
          <w:lang w:val="en-US" w:eastAsia="zh-CN"/>
        </w:rPr>
        <w:t>人社</w:t>
      </w:r>
      <w:r>
        <w:rPr>
          <w:rFonts w:hint="eastAsia" w:ascii="仿宋_GB2312" w:hAnsi="仿宋_GB2312" w:eastAsia="仿宋_GB2312" w:cs="仿宋_GB2312"/>
          <w:color w:val="auto"/>
          <w:sz w:val="32"/>
          <w:szCs w:val="32"/>
          <w:highlight w:val="none"/>
        </w:rPr>
        <w:t>局）</w:t>
      </w:r>
    </w:p>
    <w:p>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kern w:val="0"/>
          <w:sz w:val="32"/>
          <w:szCs w:val="32"/>
          <w:lang w:bidi="ar"/>
        </w:rPr>
        <w:t>三、其他事项</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firstLine="640" w:firstLineChars="200"/>
        <w:jc w:val="both"/>
        <w:textAlignment w:val="auto"/>
        <w:rPr>
          <w:rFonts w:ascii="仿宋_GB2312" w:hAnsi="仿宋_GB2312" w:eastAsia="仿宋_GB2312" w:cs="仿宋_GB2312"/>
          <w:color w:val="auto"/>
          <w:sz w:val="32"/>
          <w:szCs w:val="32"/>
          <w:lang w:bidi="ar"/>
        </w:rPr>
      </w:pPr>
      <w:r>
        <w:rPr>
          <w:rFonts w:hint="eastAsia" w:ascii="仿宋_GB2312" w:hAnsi="仿宋_GB2312" w:eastAsia="仿宋_GB2312" w:cs="仿宋_GB2312"/>
          <w:color w:val="auto"/>
          <w:sz w:val="32"/>
          <w:szCs w:val="32"/>
          <w:highlight w:val="none"/>
          <w:lang w:bidi="ar"/>
        </w:rPr>
        <w:t>1.本</w:t>
      </w:r>
      <w:r>
        <w:rPr>
          <w:rFonts w:hint="eastAsia" w:ascii="仿宋_GB2312" w:hAnsi="仿宋_GB2312" w:eastAsia="仿宋_GB2312" w:cs="仿宋_GB2312"/>
          <w:color w:val="auto"/>
          <w:sz w:val="32"/>
          <w:szCs w:val="32"/>
          <w:highlight w:val="none"/>
          <w:lang w:eastAsia="zh-CN" w:bidi="ar"/>
        </w:rPr>
        <w:t>政策措施</w:t>
      </w:r>
      <w:r>
        <w:rPr>
          <w:rFonts w:hint="eastAsia" w:ascii="仿宋_GB2312" w:hAnsi="仿宋_GB2312" w:eastAsia="仿宋_GB2312" w:cs="仿宋_GB2312"/>
          <w:color w:val="auto"/>
          <w:sz w:val="32"/>
          <w:szCs w:val="32"/>
          <w:highlight w:val="none"/>
          <w:lang w:bidi="ar"/>
        </w:rPr>
        <w:t>所</w:t>
      </w:r>
      <w:r>
        <w:rPr>
          <w:rFonts w:hint="eastAsia" w:ascii="仿宋_GB2312" w:hAnsi="仿宋_GB2312" w:eastAsia="仿宋_GB2312" w:cs="仿宋_GB2312"/>
          <w:color w:val="auto"/>
          <w:sz w:val="32"/>
          <w:szCs w:val="32"/>
          <w:highlight w:val="none"/>
          <w:lang w:eastAsia="zh-CN" w:bidi="ar"/>
        </w:rPr>
        <w:t>指</w:t>
      </w:r>
      <w:r>
        <w:rPr>
          <w:rFonts w:hint="eastAsia" w:ascii="仿宋_GB2312" w:hAnsi="仿宋_GB2312" w:eastAsia="仿宋_GB2312" w:cs="仿宋_GB2312"/>
          <w:color w:val="auto"/>
          <w:sz w:val="32"/>
          <w:szCs w:val="32"/>
          <w:highlight w:val="none"/>
          <w:lang w:bidi="ar"/>
        </w:rPr>
        <w:t>的软件和信息技术服务业以《国民经济行业分类（2017年版）》分类中的互联网和相关服务</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软件和信息技术服务业企业</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纳统标准以国家统计局发布的相关规定为准。</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本政策</w:t>
      </w:r>
      <w:r>
        <w:rPr>
          <w:rFonts w:hint="eastAsia" w:ascii="仿宋_GB2312" w:hAnsi="仿宋_GB2312" w:eastAsia="仿宋_GB2312" w:cs="仿宋_GB2312"/>
          <w:color w:val="auto"/>
          <w:sz w:val="32"/>
          <w:szCs w:val="32"/>
          <w:lang w:eastAsia="zh-CN"/>
        </w:rPr>
        <w:t>措施</w:t>
      </w:r>
      <w:r>
        <w:rPr>
          <w:rFonts w:hint="eastAsia" w:ascii="仿宋_GB2312" w:hAnsi="仿宋_GB2312" w:eastAsia="仿宋_GB2312" w:cs="仿宋_GB2312"/>
          <w:color w:val="auto"/>
          <w:sz w:val="32"/>
          <w:szCs w:val="32"/>
        </w:rPr>
        <w:t>将按照免申即享和集中申报的方式进行兑现，免申即享政策无需企业提交申报资料，由各条款牵头单位负责组织企业申报及审核，审核结果报区工信局和经开区产业发展局，由区工信局汇总报区政府审批，区财政局及时保障拨付资金；集中申报</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rPr>
        <w:t>各政策牵头单位组织实施</w:t>
      </w:r>
      <w:r>
        <w:rPr>
          <w:rFonts w:hint="eastAsia" w:ascii="仿宋_GB2312" w:hAnsi="仿宋_GB2312" w:eastAsia="仿宋_GB2312" w:cs="仿宋_GB2312"/>
          <w:color w:val="auto"/>
          <w:sz w:val="32"/>
          <w:szCs w:val="32"/>
          <w:lang w:eastAsia="zh-CN"/>
        </w:rPr>
        <w:t>，结果报区工信局汇总</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同一企业的同类奖项与望城经开区及区内其他部门奖补政策规定重复的，按照“同类项目不重复享受，就高不就低”的原则执行。如遇国家及省、市相关政策调整，以调整后的政策为准。本政策所涉及补助资金由区财政及园区两级按现行财政体制承担。</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color w:val="000000" w:themeColor="text1"/>
          <w14:textFill>
            <w14:solidFill>
              <w14:schemeClr w14:val="tx1"/>
            </w14:solidFill>
          </w14:textFill>
        </w:rPr>
      </w:pPr>
      <w:bookmarkStart w:id="2" w:name="_GoBack"/>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本政策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措施</w:t>
      </w:r>
      <w:r>
        <w:rPr>
          <w:rFonts w:hint="eastAsia" w:ascii="仿宋_GB2312" w:hAnsi="仿宋_GB2312" w:eastAsia="仿宋_GB2312" w:cs="仿宋_GB2312"/>
          <w:color w:val="000000" w:themeColor="text1"/>
          <w:sz w:val="32"/>
          <w:szCs w:val="32"/>
          <w14:textFill>
            <w14:solidFill>
              <w14:schemeClr w14:val="tx1"/>
            </w14:solidFill>
          </w14:textFill>
        </w:rPr>
        <w:t>自2025年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日起施行，有效期1年</w:t>
      </w:r>
      <w:r>
        <w:rPr>
          <w:rFonts w:hint="eastAsia" w:ascii="仿宋_GB2312" w:hAnsi="仿宋_GB2312" w:eastAsia="仿宋_GB2312" w:cs="仿宋_GB2312"/>
          <w:color w:val="000000" w:themeColor="text1"/>
          <w:sz w:val="32"/>
          <w:szCs w:val="32"/>
          <w:lang w:eastAsia="zh-CN"/>
          <w14:textFill>
            <w14:solidFill>
              <w14:schemeClr w14:val="tx1"/>
            </w14:solidFill>
          </w14:textFill>
        </w:rPr>
        <w:t>，具体条款由各政策牵头部门负责解释</w:t>
      </w:r>
      <w:r>
        <w:rPr>
          <w:rFonts w:hint="eastAsia" w:ascii="仿宋_GB2312" w:hAnsi="仿宋_GB2312" w:eastAsia="仿宋_GB2312" w:cs="仿宋_GB2312"/>
          <w:color w:val="000000" w:themeColor="text1"/>
          <w:sz w:val="32"/>
          <w:szCs w:val="32"/>
          <w14:textFill>
            <w14:solidFill>
              <w14:schemeClr w14:val="tx1"/>
            </w14:solidFill>
          </w14:textFill>
        </w:rPr>
        <w:t>。</w:t>
      </w:r>
    </w:p>
    <w:bookmarkEnd w:id="2"/>
    <w:sectPr>
      <w:pgSz w:w="11906" w:h="16838"/>
      <w:pgMar w:top="1984" w:right="1474" w:bottom="1417" w:left="1587" w:header="851" w:footer="113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g0ZTRkMDFlMzQzNDhiMjExM2Y5NjJkY2E1NjM1N2IifQ=="/>
  </w:docVars>
  <w:rsids>
    <w:rsidRoot w:val="3F3424BC"/>
    <w:rsid w:val="00132543"/>
    <w:rsid w:val="002F615C"/>
    <w:rsid w:val="00334C67"/>
    <w:rsid w:val="003F3836"/>
    <w:rsid w:val="00494989"/>
    <w:rsid w:val="005C0FDF"/>
    <w:rsid w:val="005D2E01"/>
    <w:rsid w:val="0063271D"/>
    <w:rsid w:val="006578CE"/>
    <w:rsid w:val="006C77CF"/>
    <w:rsid w:val="00702BA7"/>
    <w:rsid w:val="007145D1"/>
    <w:rsid w:val="007649DC"/>
    <w:rsid w:val="00885F23"/>
    <w:rsid w:val="008A7811"/>
    <w:rsid w:val="008F4DC7"/>
    <w:rsid w:val="009D189F"/>
    <w:rsid w:val="00A129C3"/>
    <w:rsid w:val="00A70350"/>
    <w:rsid w:val="00AC3EBF"/>
    <w:rsid w:val="00B54EF8"/>
    <w:rsid w:val="00BA6A85"/>
    <w:rsid w:val="00BC436A"/>
    <w:rsid w:val="00BF6BE4"/>
    <w:rsid w:val="00C274E2"/>
    <w:rsid w:val="00CD5157"/>
    <w:rsid w:val="00D02D88"/>
    <w:rsid w:val="00D36E3D"/>
    <w:rsid w:val="00D7037B"/>
    <w:rsid w:val="00D76D61"/>
    <w:rsid w:val="00F51EAA"/>
    <w:rsid w:val="02E95491"/>
    <w:rsid w:val="04187FB9"/>
    <w:rsid w:val="0B1F2658"/>
    <w:rsid w:val="11F7486C"/>
    <w:rsid w:val="136151E1"/>
    <w:rsid w:val="139A11FB"/>
    <w:rsid w:val="1BF592D9"/>
    <w:rsid w:val="1DF9B94A"/>
    <w:rsid w:val="1F0F5CAC"/>
    <w:rsid w:val="1F9E63A0"/>
    <w:rsid w:val="2169775C"/>
    <w:rsid w:val="233C4C49"/>
    <w:rsid w:val="25434583"/>
    <w:rsid w:val="26422CDB"/>
    <w:rsid w:val="26753BA5"/>
    <w:rsid w:val="27EB591F"/>
    <w:rsid w:val="288B559C"/>
    <w:rsid w:val="2EC744C9"/>
    <w:rsid w:val="2EEF6430"/>
    <w:rsid w:val="2F5DB0F6"/>
    <w:rsid w:val="2FECCA8D"/>
    <w:rsid w:val="2FFD2E7B"/>
    <w:rsid w:val="2FFF3275"/>
    <w:rsid w:val="33A039A3"/>
    <w:rsid w:val="33E6A590"/>
    <w:rsid w:val="33FDB33D"/>
    <w:rsid w:val="37DB1126"/>
    <w:rsid w:val="37DD0B93"/>
    <w:rsid w:val="37F39501"/>
    <w:rsid w:val="38276128"/>
    <w:rsid w:val="3AD836CA"/>
    <w:rsid w:val="3AF6B53E"/>
    <w:rsid w:val="3BEF4787"/>
    <w:rsid w:val="3D974C5D"/>
    <w:rsid w:val="3E7B608A"/>
    <w:rsid w:val="3ECC2AA4"/>
    <w:rsid w:val="3EDE1743"/>
    <w:rsid w:val="3F3424BC"/>
    <w:rsid w:val="3F790E80"/>
    <w:rsid w:val="3FDF7D40"/>
    <w:rsid w:val="41801E89"/>
    <w:rsid w:val="45E82868"/>
    <w:rsid w:val="46F94190"/>
    <w:rsid w:val="50746077"/>
    <w:rsid w:val="536BF1DF"/>
    <w:rsid w:val="539D343B"/>
    <w:rsid w:val="567CE321"/>
    <w:rsid w:val="57BB33E2"/>
    <w:rsid w:val="57EE24B8"/>
    <w:rsid w:val="57F78DAC"/>
    <w:rsid w:val="58415A9E"/>
    <w:rsid w:val="58B36012"/>
    <w:rsid w:val="59F33AEA"/>
    <w:rsid w:val="5B3FBD82"/>
    <w:rsid w:val="5D131F6C"/>
    <w:rsid w:val="5DBBF016"/>
    <w:rsid w:val="5ED3B8D8"/>
    <w:rsid w:val="5F6BE785"/>
    <w:rsid w:val="5F7389A1"/>
    <w:rsid w:val="5F7B7065"/>
    <w:rsid w:val="5FBD9D30"/>
    <w:rsid w:val="5FBE6D24"/>
    <w:rsid w:val="5FF99472"/>
    <w:rsid w:val="623D2ED4"/>
    <w:rsid w:val="653E25D0"/>
    <w:rsid w:val="65BFDD75"/>
    <w:rsid w:val="684B23DC"/>
    <w:rsid w:val="68781E26"/>
    <w:rsid w:val="69F2194B"/>
    <w:rsid w:val="6AFF561C"/>
    <w:rsid w:val="6B3C2481"/>
    <w:rsid w:val="6B6E38B1"/>
    <w:rsid w:val="6BEFC48C"/>
    <w:rsid w:val="6DBD6DCA"/>
    <w:rsid w:val="6F670ED2"/>
    <w:rsid w:val="6FF55E7E"/>
    <w:rsid w:val="6FF7E0D6"/>
    <w:rsid w:val="6FFB8D2F"/>
    <w:rsid w:val="6FFD08F9"/>
    <w:rsid w:val="6FFF9C88"/>
    <w:rsid w:val="70285CB2"/>
    <w:rsid w:val="739F3552"/>
    <w:rsid w:val="73F7835C"/>
    <w:rsid w:val="756949DB"/>
    <w:rsid w:val="75BBAC1E"/>
    <w:rsid w:val="75BD7B62"/>
    <w:rsid w:val="75FBB508"/>
    <w:rsid w:val="75FE5223"/>
    <w:rsid w:val="763DFF5A"/>
    <w:rsid w:val="76805946"/>
    <w:rsid w:val="76B3E45A"/>
    <w:rsid w:val="77B6F22E"/>
    <w:rsid w:val="77D6877D"/>
    <w:rsid w:val="78EF381B"/>
    <w:rsid w:val="78FF3CCE"/>
    <w:rsid w:val="79CE862B"/>
    <w:rsid w:val="7AEE9836"/>
    <w:rsid w:val="7AF7B330"/>
    <w:rsid w:val="7AFF0A9A"/>
    <w:rsid w:val="7AFF3315"/>
    <w:rsid w:val="7AFFFD86"/>
    <w:rsid w:val="7B3CC97F"/>
    <w:rsid w:val="7BDF17C5"/>
    <w:rsid w:val="7BFE14EC"/>
    <w:rsid w:val="7C6E9E45"/>
    <w:rsid w:val="7C7AB6BC"/>
    <w:rsid w:val="7C7B4E53"/>
    <w:rsid w:val="7CFFD083"/>
    <w:rsid w:val="7D7EA3B8"/>
    <w:rsid w:val="7D7F7B09"/>
    <w:rsid w:val="7DDF70E6"/>
    <w:rsid w:val="7DFBA9BA"/>
    <w:rsid w:val="7DFE0CC2"/>
    <w:rsid w:val="7E57E0BB"/>
    <w:rsid w:val="7EBB4D39"/>
    <w:rsid w:val="7EBFCC58"/>
    <w:rsid w:val="7ED56F7B"/>
    <w:rsid w:val="7EF6ED40"/>
    <w:rsid w:val="7F77A8C7"/>
    <w:rsid w:val="7F7FC1C5"/>
    <w:rsid w:val="7FBFDD80"/>
    <w:rsid w:val="7FDE232C"/>
    <w:rsid w:val="7FDFA99B"/>
    <w:rsid w:val="7FEF085A"/>
    <w:rsid w:val="7FF50FC5"/>
    <w:rsid w:val="7FFB3A07"/>
    <w:rsid w:val="7FFC1657"/>
    <w:rsid w:val="7FFFDB45"/>
    <w:rsid w:val="8D7F4E64"/>
    <w:rsid w:val="8DB701D9"/>
    <w:rsid w:val="8FBFE8A5"/>
    <w:rsid w:val="94DE7AC5"/>
    <w:rsid w:val="97B723A0"/>
    <w:rsid w:val="9E72F02B"/>
    <w:rsid w:val="9EF0CD61"/>
    <w:rsid w:val="9FF2C21A"/>
    <w:rsid w:val="A4F6E384"/>
    <w:rsid w:val="AAFAFED2"/>
    <w:rsid w:val="B7DFB9D6"/>
    <w:rsid w:val="BAE6B0A2"/>
    <w:rsid w:val="BBBF51A7"/>
    <w:rsid w:val="BBEF02C7"/>
    <w:rsid w:val="BBFF8632"/>
    <w:rsid w:val="BCEFE136"/>
    <w:rsid w:val="BDF98E57"/>
    <w:rsid w:val="BE7BF852"/>
    <w:rsid w:val="BFBFD9E1"/>
    <w:rsid w:val="BFEF649B"/>
    <w:rsid w:val="BFFEE978"/>
    <w:rsid w:val="C7BE3AF1"/>
    <w:rsid w:val="C7DF20DF"/>
    <w:rsid w:val="C7FEDF59"/>
    <w:rsid w:val="D4B7187B"/>
    <w:rsid w:val="D759F681"/>
    <w:rsid w:val="D7F84281"/>
    <w:rsid w:val="D7FF3F60"/>
    <w:rsid w:val="DA7BF4D5"/>
    <w:rsid w:val="DA9CE117"/>
    <w:rsid w:val="DABF82ED"/>
    <w:rsid w:val="DBFEAFD1"/>
    <w:rsid w:val="DBFFABC7"/>
    <w:rsid w:val="DE85EB6F"/>
    <w:rsid w:val="DEFFD359"/>
    <w:rsid w:val="DFB7D733"/>
    <w:rsid w:val="DFB7FDB5"/>
    <w:rsid w:val="DFDE8B76"/>
    <w:rsid w:val="E73B947E"/>
    <w:rsid w:val="E77745E9"/>
    <w:rsid w:val="E97B7292"/>
    <w:rsid w:val="E9FFC849"/>
    <w:rsid w:val="ECCF97B3"/>
    <w:rsid w:val="EEE3B84F"/>
    <w:rsid w:val="EF3FAE97"/>
    <w:rsid w:val="EFBF442B"/>
    <w:rsid w:val="EFD7D9BC"/>
    <w:rsid w:val="EFFB40B6"/>
    <w:rsid w:val="F2767B3E"/>
    <w:rsid w:val="F3F5AA70"/>
    <w:rsid w:val="F3FEB48D"/>
    <w:rsid w:val="F5FEC31D"/>
    <w:rsid w:val="F75FF30D"/>
    <w:rsid w:val="F7873FAF"/>
    <w:rsid w:val="F7FF89AF"/>
    <w:rsid w:val="F9C78CBA"/>
    <w:rsid w:val="F9F1C48D"/>
    <w:rsid w:val="FAEF6D19"/>
    <w:rsid w:val="FB7C8169"/>
    <w:rsid w:val="FBF4365F"/>
    <w:rsid w:val="FBFED9FD"/>
    <w:rsid w:val="FC3CDB14"/>
    <w:rsid w:val="FD3F565C"/>
    <w:rsid w:val="FDECF431"/>
    <w:rsid w:val="FDEFFC9E"/>
    <w:rsid w:val="FDF74E5F"/>
    <w:rsid w:val="FDFF4E36"/>
    <w:rsid w:val="FE6F9A49"/>
    <w:rsid w:val="FEDB5CBB"/>
    <w:rsid w:val="FEEE0B8C"/>
    <w:rsid w:val="FEEF8E7E"/>
    <w:rsid w:val="FEF38055"/>
    <w:rsid w:val="FEFDB1D2"/>
    <w:rsid w:val="FF17B335"/>
    <w:rsid w:val="FF6C9474"/>
    <w:rsid w:val="FF7DEACC"/>
    <w:rsid w:val="FFD2C61F"/>
    <w:rsid w:val="FFDFE355"/>
    <w:rsid w:val="FFF7BBF8"/>
    <w:rsid w:val="FFFCD40A"/>
    <w:rsid w:val="FFFE0329"/>
    <w:rsid w:val="FFFFEB82"/>
    <w:rsid w:val="FFFFF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after="120"/>
      <w:ind w:left="700" w:leftChars="700" w:right="700" w:rightChars="70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kern w:val="0"/>
      <w:sz w:val="24"/>
    </w:rPr>
  </w:style>
  <w:style w:type="character" w:styleId="8">
    <w:name w:val="Strong"/>
    <w:basedOn w:val="7"/>
    <w:qFormat/>
    <w:uiPriority w:val="0"/>
    <w:rPr>
      <w:b/>
    </w:rPr>
  </w:style>
  <w:style w:type="paragraph" w:customStyle="1" w:styleId="9">
    <w:name w:val="公文正文"/>
    <w:qFormat/>
    <w:uiPriority w:val="0"/>
    <w:pPr>
      <w:spacing w:line="600" w:lineRule="exact"/>
      <w:jc w:val="center"/>
    </w:pPr>
    <w:rPr>
      <w:rFonts w:ascii="Times New Roman" w:hAnsi="Times New Roman" w:eastAsia="方正仿宋_GBK" w:cs="Times New Roman"/>
      <w:sz w:val="32"/>
      <w:lang w:val="en-US" w:eastAsia="zh-CN" w:bidi="ar-SA"/>
    </w:rPr>
  </w:style>
  <w:style w:type="paragraph" w:customStyle="1" w:styleId="10">
    <w:name w:val="普通(网站)1"/>
    <w:basedOn w:val="1"/>
    <w:qFormat/>
    <w:uiPriority w:val="0"/>
    <w:pPr>
      <w:widowControl/>
      <w:spacing w:before="100" w:beforeAutospacing="1" w:after="100" w:afterAutospacing="1" w:line="240" w:lineRule="auto"/>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2757</Words>
  <Characters>2916</Characters>
  <Lines>20</Lines>
  <Paragraphs>5</Paragraphs>
  <TotalTime>162</TotalTime>
  <ScaleCrop>false</ScaleCrop>
  <LinksUpToDate>false</LinksUpToDate>
  <CharactersWithSpaces>2924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2025-03-17T23:16:00Z</dcterms:created>
  <dc:creator>佘内</dc:creator>
  <cp:lastModifiedBy>kylin</cp:lastModifiedBy>
  <cp:lastPrinted>2025-08-23T00:41:00Z</cp:lastPrinted>
  <dcterms:modified xsi:type="dcterms:W3CDTF">2025-08-22T16:38:45Z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E680D5F271DB9CEEC1C7FD67CB997F80</vt:lpwstr>
  </property>
  <property fmtid="{D5CDD505-2E9C-101B-9397-08002B2CF9AE}" pid="4" name="KSOTemplateDocerSaveRecord">
    <vt:lpwstr>eyJoZGlkIjoiMjg2NzhjZTQwZmVhZjgxYjBjM2UyYWJiYTI5ZmZlNGEifQ==</vt:lpwstr>
  </property>
</Properties>
</file>