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78AD4">
      <w:pPr>
        <w:keepNext w:val="0"/>
        <w:keepLines w:val="0"/>
        <w:pageBreakBefore w:val="0"/>
        <w:kinsoku/>
        <w:overflowPunct/>
        <w:topLinePunct w:val="0"/>
        <w:autoSpaceDE/>
        <w:autoSpaceDN/>
        <w:bidi w:val="0"/>
        <w:adjustRightInd/>
        <w:snapToGrid/>
        <w:spacing w:beforeAutospacing="0" w:afterAutospacing="0" w:line="600" w:lineRule="exact"/>
        <w:jc w:val="left"/>
        <w:textAlignment w:val="auto"/>
        <w:rPr>
          <w:rFonts w:ascii="Calibri" w:hAnsi="Calibri" w:eastAsia="黑体"/>
          <w:color w:val="auto"/>
          <w:kern w:val="0"/>
          <w:sz w:val="32"/>
          <w:szCs w:val="32"/>
        </w:rPr>
      </w:pPr>
      <w:bookmarkStart w:id="1" w:name="_GoBack"/>
      <w:bookmarkEnd w:id="1"/>
      <w:r>
        <w:rPr>
          <w:rFonts w:hint="eastAsia" w:ascii="黑体" w:hAnsi="黑体" w:eastAsia="黑体"/>
          <w:color w:val="auto"/>
          <w:kern w:val="0"/>
          <w:sz w:val="32"/>
          <w:szCs w:val="32"/>
        </w:rPr>
        <w:t>附件</w:t>
      </w:r>
      <w:r>
        <w:rPr>
          <w:rFonts w:hint="eastAsia" w:ascii="黑体" w:hAnsi="黑体" w:eastAsia="黑体"/>
          <w:color w:val="auto"/>
          <w:kern w:val="0"/>
          <w:sz w:val="32"/>
          <w:szCs w:val="32"/>
          <w:lang w:val="en-US" w:eastAsia="zh-CN"/>
        </w:rPr>
        <w:t>1</w:t>
      </w:r>
    </w:p>
    <w:p w14:paraId="64A29A4B">
      <w:pPr>
        <w:keepNext w:val="0"/>
        <w:keepLines w:val="0"/>
        <w:pageBreakBefore w:val="0"/>
        <w:kinsoku/>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长沙市</w:t>
      </w:r>
      <w:r>
        <w:rPr>
          <w:rFonts w:hint="eastAsia" w:ascii="方正小标宋简体" w:hAnsi="方正小标宋简体" w:eastAsia="方正小标宋简体" w:cs="方正小标宋简体"/>
          <w:bCs/>
          <w:color w:val="auto"/>
          <w:kern w:val="0"/>
          <w:sz w:val="44"/>
          <w:szCs w:val="44"/>
          <w:lang w:eastAsia="zh-CN"/>
        </w:rPr>
        <w:t>望城区202</w:t>
      </w:r>
      <w:r>
        <w:rPr>
          <w:rFonts w:hint="eastAsia" w:ascii="方正小标宋简体" w:hAnsi="方正小标宋简体" w:eastAsia="方正小标宋简体" w:cs="方正小标宋简体"/>
          <w:bCs/>
          <w:color w:val="auto"/>
          <w:kern w:val="0"/>
          <w:sz w:val="44"/>
          <w:szCs w:val="44"/>
          <w:lang w:val="en-US" w:eastAsia="zh-CN"/>
        </w:rPr>
        <w:t>5</w:t>
      </w:r>
      <w:r>
        <w:rPr>
          <w:rFonts w:hint="eastAsia" w:ascii="方正小标宋简体" w:hAnsi="方正小标宋简体" w:eastAsia="方正小标宋简体" w:cs="方正小标宋简体"/>
          <w:bCs/>
          <w:color w:val="auto"/>
          <w:kern w:val="0"/>
          <w:sz w:val="44"/>
          <w:szCs w:val="44"/>
        </w:rPr>
        <w:t>年</w:t>
      </w:r>
      <w:r>
        <w:rPr>
          <w:rFonts w:hint="eastAsia" w:ascii="方正小标宋简体" w:hAnsi="方正小标宋简体" w:eastAsia="方正小标宋简体" w:cs="方正小标宋简体"/>
          <w:bCs/>
          <w:color w:val="auto"/>
          <w:kern w:val="0"/>
          <w:sz w:val="44"/>
          <w:szCs w:val="44"/>
          <w:lang w:eastAsia="zh-CN"/>
        </w:rPr>
        <w:t>上半年</w:t>
      </w:r>
      <w:r>
        <w:rPr>
          <w:rFonts w:hint="eastAsia" w:ascii="方正小标宋简体" w:hAnsi="方正小标宋简体" w:eastAsia="方正小标宋简体" w:cs="方正小标宋简体"/>
          <w:bCs/>
          <w:color w:val="auto"/>
          <w:kern w:val="0"/>
          <w:sz w:val="44"/>
          <w:szCs w:val="44"/>
        </w:rPr>
        <w:t>教师资格</w:t>
      </w:r>
    </w:p>
    <w:p w14:paraId="3E718A39">
      <w:pPr>
        <w:keepNext w:val="0"/>
        <w:keepLines w:val="0"/>
        <w:pageBreakBefore w:val="0"/>
        <w:kinsoku/>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Cs/>
          <w:color w:val="auto"/>
          <w:kern w:val="0"/>
          <w:sz w:val="44"/>
          <w:szCs w:val="44"/>
        </w:rPr>
      </w:pPr>
      <w:r>
        <w:rPr>
          <w:rFonts w:hint="eastAsia" w:ascii="方正小标宋简体" w:hAnsi="方正小标宋简体" w:eastAsia="方正小标宋简体" w:cs="方正小标宋简体"/>
          <w:bCs/>
          <w:color w:val="auto"/>
          <w:kern w:val="0"/>
          <w:sz w:val="44"/>
          <w:szCs w:val="44"/>
        </w:rPr>
        <w:t>认定申请材料清单</w:t>
      </w:r>
    </w:p>
    <w:tbl>
      <w:tblPr>
        <w:tblStyle w:val="6"/>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14:paraId="16BFFA6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14:paraId="0191DED6">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14:paraId="60B50B09">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14:paraId="69CC5EEF">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r>
              <w:rPr>
                <w:rFonts w:ascii="黑体" w:hAnsi="黑体" w:eastAsia="黑体"/>
                <w:bCs/>
                <w:color w:val="auto"/>
                <w:sz w:val="24"/>
                <w:szCs w:val="24"/>
              </w:rPr>
              <w:t>材料详细</w:t>
            </w:r>
          </w:p>
          <w:p w14:paraId="7D08B4B2">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14:paraId="1827DFA0">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黑体"/>
                <w:bCs/>
                <w:color w:val="auto"/>
                <w:sz w:val="24"/>
                <w:szCs w:val="24"/>
              </w:rPr>
            </w:pPr>
            <w:r>
              <w:rPr>
                <w:rFonts w:ascii="黑体" w:hAnsi="黑体" w:eastAsia="黑体"/>
                <w:bCs/>
                <w:color w:val="auto"/>
                <w:sz w:val="24"/>
                <w:szCs w:val="24"/>
              </w:rPr>
              <w:t>注意事项</w:t>
            </w:r>
          </w:p>
        </w:tc>
      </w:tr>
      <w:tr w14:paraId="5EC58CA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14:paraId="5E79E75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14:paraId="2E86CF21">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14:paraId="12C74119">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549" w:type="dxa"/>
            <w:tcBorders>
              <w:top w:val="outset" w:color="auto" w:sz="6" w:space="0"/>
              <w:left w:val="nil"/>
              <w:bottom w:val="outset" w:color="auto" w:sz="6" w:space="0"/>
              <w:right w:val="outset" w:color="auto" w:sz="6" w:space="0"/>
            </w:tcBorders>
            <w:vAlign w:val="center"/>
          </w:tcPr>
          <w:p w14:paraId="32D0A27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符合任一条件的均可在长沙认定，请提交相对应的证明材料。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14:paraId="17DEB38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14:paraId="2E389DFA">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14:paraId="50DB95BF">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14:paraId="5FB7BB29">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14:paraId="7DB2A79B">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14:paraId="37FBD41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14:paraId="380B36C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14:paraId="36918D06">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14:paraId="683BAF55">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14:paraId="692DFAF0">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textAlignment w:val="auto"/>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资格考试合格证明的请在中国教师资格网报名时考试形式选择“统考”；取得师范生教师职业能力证书的请在中国教师资格网报名时考试形式务必选择“免试认定”，否则中国教师资格网将无法核验，认定不能通过。</w:t>
            </w:r>
          </w:p>
        </w:tc>
      </w:tr>
      <w:tr w14:paraId="1B7FF98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14:paraId="3C3AAA43">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14:paraId="4C97CA5D">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14:paraId="12A9890C">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14:paraId="035E0889">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w:t>
            </w:r>
            <w:r>
              <w:rPr>
                <w:rFonts w:hint="eastAsia" w:ascii="仿宋_GB2312" w:eastAsia="仿宋_GB2312"/>
                <w:color w:val="auto"/>
                <w:sz w:val="24"/>
                <w:szCs w:val="24"/>
                <w:lang w:eastAsia="zh-CN"/>
              </w:rPr>
              <w:t>及</w:t>
            </w:r>
            <w:r>
              <w:rPr>
                <w:rFonts w:hint="eastAsia" w:ascii="仿宋_GB2312" w:eastAsia="仿宋_GB2312"/>
                <w:color w:val="auto"/>
                <w:sz w:val="24"/>
                <w:szCs w:val="24"/>
              </w:rPr>
              <w:t>以上标准</w:t>
            </w:r>
            <w:r>
              <w:rPr>
                <w:rFonts w:hint="eastAsia" w:ascii="仿宋_GB2312" w:eastAsia="仿宋_GB2312"/>
                <w:color w:val="auto"/>
                <w:sz w:val="24"/>
                <w:szCs w:val="24"/>
                <w:lang w:eastAsia="zh-CN"/>
              </w:rPr>
              <w:t>，</w:t>
            </w:r>
            <w:r>
              <w:rPr>
                <w:rFonts w:hint="eastAsia" w:ascii="仿宋_GB2312" w:eastAsia="仿宋_GB2312"/>
                <w:color w:val="auto"/>
                <w:sz w:val="24"/>
                <w:szCs w:val="24"/>
              </w:rPr>
              <w:t>其中申请语文教师资格和对外汉语教学教师资格的普通话应当达到二级甲等</w:t>
            </w:r>
            <w:r>
              <w:rPr>
                <w:rFonts w:hint="eastAsia" w:ascii="仿宋_GB2312" w:eastAsia="仿宋_GB2312"/>
                <w:color w:val="auto"/>
                <w:sz w:val="24"/>
                <w:szCs w:val="24"/>
                <w:lang w:eastAsia="zh-CN"/>
              </w:rPr>
              <w:t>及</w:t>
            </w:r>
            <w:r>
              <w:rPr>
                <w:rFonts w:hint="eastAsia" w:ascii="仿宋_GB2312" w:eastAsia="仿宋_GB2312"/>
                <w:color w:val="auto"/>
                <w:sz w:val="24"/>
                <w:szCs w:val="24"/>
              </w:rPr>
              <w:t>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14:paraId="269D069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14:paraId="0C20EA17">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14:paraId="5D8AE521">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14:paraId="6BDF25EA">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w:t>
            </w:r>
            <w:r>
              <w:rPr>
                <w:rFonts w:hint="eastAsia" w:ascii="仿宋_GB2312" w:eastAsia="仿宋_GB2312"/>
                <w:color w:val="auto"/>
                <w:sz w:val="24"/>
                <w:szCs w:val="24"/>
                <w:lang w:eastAsia="zh-CN"/>
              </w:rPr>
              <w:t>区</w:t>
            </w:r>
            <w:r>
              <w:rPr>
                <w:rFonts w:hint="eastAsia" w:ascii="仿宋_GB2312" w:eastAsia="仿宋_GB2312"/>
                <w:color w:val="auto"/>
                <w:sz w:val="24"/>
                <w:szCs w:val="24"/>
              </w:rPr>
              <w:t>教育局</w:t>
            </w:r>
          </w:p>
        </w:tc>
        <w:tc>
          <w:tcPr>
            <w:tcW w:w="4549" w:type="dxa"/>
            <w:tcBorders>
              <w:top w:val="outset" w:color="auto" w:sz="6" w:space="0"/>
              <w:left w:val="nil"/>
              <w:bottom w:val="outset" w:color="auto" w:sz="6" w:space="0"/>
              <w:right w:val="outset" w:color="auto" w:sz="6" w:space="0"/>
            </w:tcBorders>
            <w:vAlign w:val="center"/>
          </w:tcPr>
          <w:p w14:paraId="1862877D">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textAlignment w:val="auto"/>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指定医院出具的体检报告，且结论明确。2.体检须在</w:t>
            </w:r>
            <w:r>
              <w:rPr>
                <w:rFonts w:hint="eastAsia" w:ascii="仿宋_GB2312" w:eastAsia="仿宋_GB2312"/>
                <w:color w:val="auto"/>
                <w:sz w:val="24"/>
                <w:szCs w:val="24"/>
                <w:lang w:val="en-US" w:eastAsia="zh-CN"/>
              </w:rPr>
              <w:t>规定时间内</w:t>
            </w:r>
            <w:r>
              <w:rPr>
                <w:rFonts w:hint="eastAsia" w:ascii="仿宋_GB2312" w:eastAsia="仿宋_GB2312"/>
                <w:color w:val="auto"/>
                <w:sz w:val="24"/>
                <w:szCs w:val="24"/>
              </w:rPr>
              <w:t>完成。</w:t>
            </w:r>
          </w:p>
          <w:p w14:paraId="74185BEF">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3.体检不通过，不能参加认定。</w:t>
            </w:r>
          </w:p>
        </w:tc>
      </w:tr>
      <w:tr w14:paraId="13B31FE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14:paraId="4B84CFB1">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14:paraId="042E6268">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14:paraId="3EB1C1E0">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center"/>
              <w:textAlignment w:val="auto"/>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hint="eastAsia" w:ascii="仿宋_GB2312" w:eastAsia="仿宋_GB2312"/>
                <w:color w:val="auto"/>
                <w:sz w:val="24"/>
                <w:szCs w:val="24"/>
                <w:lang w:eastAsia="zh-CN"/>
              </w:rPr>
              <w:t>彩色白底</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hint="eastAsia" w:ascii="仿宋_GB2312" w:eastAsia="仿宋_GB2312"/>
                <w:color w:val="auto"/>
                <w:sz w:val="24"/>
                <w:szCs w:val="24"/>
                <w:lang w:eastAsia="zh-CN"/>
              </w:rPr>
              <w:t>），</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14:paraId="667BDB2C">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 w:firstLineChars="20"/>
              <w:jc w:val="left"/>
              <w:textAlignment w:val="auto"/>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bl>
    <w:p w14:paraId="53BE898B">
      <w:pPr>
        <w:keepNext w:val="0"/>
        <w:keepLines w:val="0"/>
        <w:pageBreakBefore w:val="0"/>
        <w:kinsoku/>
        <w:overflowPunct/>
        <w:topLinePunct w:val="0"/>
        <w:autoSpaceDE/>
        <w:autoSpaceDN/>
        <w:bidi w:val="0"/>
        <w:adjustRightInd/>
        <w:snapToGrid/>
        <w:spacing w:beforeAutospacing="0" w:afterAutospacing="0" w:line="600" w:lineRule="exact"/>
        <w:textAlignment w:val="auto"/>
        <w:rPr>
          <w:rFonts w:ascii="Times New Roman" w:hAnsi="Times New Roman" w:eastAsia="仿宋_GB2312" w:cs="Times New Roman"/>
          <w:color w:val="auto"/>
          <w:sz w:val="32"/>
          <w:szCs w:val="32"/>
        </w:rPr>
      </w:pPr>
      <w:r>
        <w:rPr>
          <w:rFonts w:hint="eastAsia" w:ascii="仿宋_GB2312" w:eastAsia="仿宋_GB2312"/>
          <w:color w:val="auto"/>
          <w:sz w:val="28"/>
          <w:szCs w:val="28"/>
        </w:rPr>
        <w:t>提示：申请人在网上办理，无需提交纸质材料。</w:t>
      </w:r>
    </w:p>
    <w:p w14:paraId="0F98FB52">
      <w:pPr>
        <w:keepNext w:val="0"/>
        <w:keepLines w:val="0"/>
        <w:pageBreakBefore w:val="0"/>
        <w:widowControl/>
        <w:kinsoku/>
        <w:overflowPunct/>
        <w:topLinePunct w:val="0"/>
        <w:autoSpaceDE/>
        <w:autoSpaceDN/>
        <w:bidi w:val="0"/>
        <w:adjustRightInd/>
        <w:snapToGrid/>
        <w:spacing w:beforeAutospacing="0" w:afterAutospacing="0" w:line="600" w:lineRule="exact"/>
        <w:jc w:val="left"/>
        <w:textAlignment w:val="auto"/>
        <w:rPr>
          <w:rFonts w:ascii="黑体" w:hAnsi="黑体" w:eastAsia="黑体"/>
          <w:color w:val="auto"/>
          <w:kern w:val="0"/>
          <w:sz w:val="32"/>
          <w:szCs w:val="32"/>
        </w:rPr>
        <w:sectPr>
          <w:footerReference r:id="rId3" w:type="default"/>
          <w:pgSz w:w="11906" w:h="16838"/>
          <w:pgMar w:top="1701" w:right="1417" w:bottom="1417" w:left="1474" w:header="851" w:footer="992" w:gutter="0"/>
          <w:pgNumType w:fmt="decimal"/>
          <w:cols w:space="0" w:num="1"/>
          <w:rtlGutter w:val="0"/>
          <w:docGrid w:type="lines" w:linePitch="319" w:charSpace="0"/>
        </w:sectPr>
      </w:pPr>
    </w:p>
    <w:p w14:paraId="1C876F3A">
      <w:pPr>
        <w:keepNext w:val="0"/>
        <w:keepLines w:val="0"/>
        <w:pageBreakBefore w:val="0"/>
        <w:kinsoku/>
        <w:wordWrap/>
        <w:overflowPunct/>
        <w:topLinePunct w:val="0"/>
        <w:autoSpaceDE/>
        <w:autoSpaceDN/>
        <w:bidi w:val="0"/>
        <w:adjustRightInd/>
        <w:snapToGrid/>
        <w:spacing w:beforeAutospacing="0" w:afterAutospacing="0" w:line="560" w:lineRule="exact"/>
        <w:ind w:firstLine="616" w:firstLineChars="200"/>
        <w:textAlignment w:val="auto"/>
        <w:rPr>
          <w:rFonts w:hint="eastAsia" w:ascii="仿宋_GB2312" w:eastAsia="仿宋_GB2312"/>
          <w:color w:val="auto"/>
          <w:spacing w:val="-6"/>
          <w:sz w:val="32"/>
          <w:szCs w:val="32"/>
          <w:lang w:eastAsia="zh-CN"/>
        </w:rPr>
      </w:pPr>
    </w:p>
    <w:sectPr>
      <w:footerReference r:id="rId4" w:type="default"/>
      <w:pgSz w:w="11906" w:h="16838"/>
      <w:pgMar w:top="1701" w:right="1417" w:bottom="1417" w:left="1474"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D539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900C7C">
                          <w:pPr>
                            <w:pStyle w:val="2"/>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900C7C">
                    <w:pPr>
                      <w:pStyle w:val="2"/>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B2E3C">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DE51F4">
                          <w:pPr>
                            <w:pStyle w:val="2"/>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FDE51F4">
                    <w:pPr>
                      <w:pStyle w:val="2"/>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hMTgwZjk0YWM0YTE2NjMyODE1NDJiMDVkYTdkMGYifQ=="/>
    <w:docVar w:name="KSO_WPS_MARK_KEY" w:val="14bccba1-8662-4a33-adec-db720ae38cd5"/>
  </w:docVars>
  <w:rsids>
    <w:rsidRoot w:val="76AE1E01"/>
    <w:rsid w:val="03B53475"/>
    <w:rsid w:val="04267901"/>
    <w:rsid w:val="0B1455D2"/>
    <w:rsid w:val="16DAC603"/>
    <w:rsid w:val="177F6F98"/>
    <w:rsid w:val="19F659CD"/>
    <w:rsid w:val="1F710E25"/>
    <w:rsid w:val="26420999"/>
    <w:rsid w:val="27C55876"/>
    <w:rsid w:val="28467074"/>
    <w:rsid w:val="29EF72B4"/>
    <w:rsid w:val="2BC646CF"/>
    <w:rsid w:val="3D0C3B68"/>
    <w:rsid w:val="3D8D2F28"/>
    <w:rsid w:val="3ECA50F2"/>
    <w:rsid w:val="42713E41"/>
    <w:rsid w:val="436110F4"/>
    <w:rsid w:val="442D4329"/>
    <w:rsid w:val="539A38A7"/>
    <w:rsid w:val="57BBFA9E"/>
    <w:rsid w:val="57DFE55C"/>
    <w:rsid w:val="5BF6B8BC"/>
    <w:rsid w:val="5DFF81F4"/>
    <w:rsid w:val="5FF7414C"/>
    <w:rsid w:val="61672F10"/>
    <w:rsid w:val="670A37E2"/>
    <w:rsid w:val="677B6280"/>
    <w:rsid w:val="6DF8BE86"/>
    <w:rsid w:val="6F361DCC"/>
    <w:rsid w:val="73FFC74F"/>
    <w:rsid w:val="76AE1E01"/>
    <w:rsid w:val="7DBFB79A"/>
    <w:rsid w:val="7E7F7369"/>
    <w:rsid w:val="7FFD1279"/>
    <w:rsid w:val="7FFFBF97"/>
    <w:rsid w:val="97FDAF6A"/>
    <w:rsid w:val="CD66BE36"/>
    <w:rsid w:val="CFFDC6FE"/>
    <w:rsid w:val="DCFB7D44"/>
    <w:rsid w:val="DDE90A3E"/>
    <w:rsid w:val="F7F337D6"/>
    <w:rsid w:val="F7FD4287"/>
    <w:rsid w:val="FEBFE0FD"/>
    <w:rsid w:val="FFDBC6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4856</Words>
  <Characters>5368</Characters>
  <Lines>0</Lines>
  <Paragraphs>0</Paragraphs>
  <TotalTime>77</TotalTime>
  <ScaleCrop>false</ScaleCrop>
  <LinksUpToDate>false</LinksUpToDate>
  <CharactersWithSpaces>5380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2024-05-27T16:21:00Z</dcterms:created>
  <dc:creator>yangsir</dc:creator>
  <cp:lastModifiedBy>kylin</cp:lastModifiedBy>
  <dcterms:modified xsi:type="dcterms:W3CDTF">2025-04-08T10:09:29Z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7376314C0FFF4956BDEA5CC328D21FEC_13</vt:lpwstr>
  </property>
</Properties>
</file>