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FFC2BD">
      <w:pPr>
        <w:ind w:firstLine="0" w:firstLineChars="0"/>
      </w:pPr>
      <w:r>
        <w:rPr>
          <w:rFonts w:hint="eastAsia"/>
        </w:rPr>
        <w:t>HNP</w:t>
      </w:r>
      <w:r>
        <w:t>R-2025-17005</w:t>
      </w:r>
    </w:p>
    <w:p w14:paraId="02EDE462">
      <w:pPr>
        <w:ind w:firstLine="0" w:firstLineChars="0"/>
        <w:rPr>
          <w:rFonts w:hint="eastAsia"/>
        </w:rPr>
      </w:pPr>
    </w:p>
    <w:p w14:paraId="2FC33302">
      <w:pPr>
        <w:spacing w:line="500" w:lineRule="atLeast"/>
        <w:ind w:left="0" w:leftChars="0" w:firstLine="0" w:firstLineChars="0"/>
        <w:jc w:val="center"/>
      </w:pPr>
      <w:r>
        <w:rPr>
          <w:color w:val="000000"/>
          <w:szCs w:val="32"/>
        </w:rPr>
        <w:t>湘农联〔2025〕19号</w:t>
      </w:r>
    </w:p>
    <w:p w14:paraId="12292120">
      <w:pPr>
        <w:spacing w:line="500" w:lineRule="atLeast"/>
        <w:ind w:firstLine="640"/>
      </w:pPr>
    </w:p>
    <w:p w14:paraId="19389B84">
      <w:pPr>
        <w:pStyle w:val="2"/>
        <w:rPr>
          <w:rStyle w:val="33"/>
          <w:b w:val="0"/>
          <w:bCs/>
        </w:rPr>
      </w:pPr>
      <w:r>
        <w:rPr>
          <w:rStyle w:val="33"/>
          <w:b w:val="0"/>
          <w:bCs/>
        </w:rPr>
        <w:t>关于规范高效实施2025年农业机械</w:t>
      </w:r>
    </w:p>
    <w:p w14:paraId="666087AA">
      <w:pPr>
        <w:pStyle w:val="2"/>
        <w:rPr>
          <w:rStyle w:val="33"/>
          <w:b w:val="0"/>
          <w:bCs/>
        </w:rPr>
      </w:pPr>
      <w:r>
        <w:rPr>
          <w:rStyle w:val="33"/>
          <w:b w:val="0"/>
          <w:bCs/>
        </w:rPr>
        <w:t>报废更新补贴政策的通知</w:t>
      </w:r>
    </w:p>
    <w:p w14:paraId="5E1CD88E">
      <w:pPr>
        <w:ind w:firstLine="640"/>
        <w:rPr>
          <w:shd w:val="clear" w:color="auto" w:fill="FFFFFF"/>
        </w:rPr>
      </w:pPr>
      <w:r>
        <w:rPr>
          <w:shd w:val="clear" w:color="auto" w:fill="FFFFFF"/>
        </w:rPr>
        <w:t xml:space="preserve"> </w:t>
      </w:r>
    </w:p>
    <w:p w14:paraId="3D33F696">
      <w:pPr>
        <w:ind w:firstLine="0" w:firstLineChars="0"/>
      </w:pPr>
      <w:r>
        <w:t>各市州、县市区农业农村局、发展和改革委员会（局）、财政局、粮食和物资储备局：</w:t>
      </w:r>
    </w:p>
    <w:p w14:paraId="793AA0C3">
      <w:pPr>
        <w:ind w:firstLine="632"/>
      </w:pPr>
      <w:r>
        <w:rPr>
          <w:spacing w:val="-2"/>
        </w:rPr>
        <w:t>根据《农业农村部办公厅 国家发展改革委办公厅 财政部办公厅 国家粮食和物资储备局办公室关于实施好2025年农业机械报废更新补贴政策的通知》（农办机〔2025〕3号）</w:t>
      </w:r>
      <w:r>
        <w:t>等文件精神，现就规范高效实施2025年农业机械报废更新补贴政策相关事项通知如下。</w:t>
      </w:r>
    </w:p>
    <w:p w14:paraId="5FE4DC7C">
      <w:pPr>
        <w:pStyle w:val="3"/>
        <w:ind w:firstLine="640"/>
        <w:rPr>
          <w:rStyle w:val="33"/>
          <w:b w:val="0"/>
          <w:bCs w:val="0"/>
        </w:rPr>
      </w:pPr>
      <w:r>
        <w:rPr>
          <w:rStyle w:val="33"/>
          <w:b w:val="0"/>
          <w:bCs w:val="0"/>
        </w:rPr>
        <w:t>一、补贴对象</w:t>
      </w:r>
    </w:p>
    <w:p w14:paraId="3A5F6693">
      <w:pPr>
        <w:ind w:firstLine="640"/>
      </w:pPr>
      <w:r>
        <w:t>补贴对象为从事农业生产的农民和农业生产经营组织。农业生产经营组织指农村集体经济组织、农民专业合作经济组织、农业企业和其他从事农业生产经营的组织。</w:t>
      </w:r>
    </w:p>
    <w:p w14:paraId="2D377553">
      <w:pPr>
        <w:pStyle w:val="3"/>
        <w:ind w:firstLine="640"/>
        <w:rPr>
          <w:rStyle w:val="33"/>
          <w:b w:val="0"/>
          <w:bCs w:val="0"/>
        </w:rPr>
      </w:pPr>
      <w:r>
        <w:rPr>
          <w:rStyle w:val="33"/>
          <w:b w:val="0"/>
          <w:bCs w:val="0"/>
        </w:rPr>
        <w:t>二、补贴种类</w:t>
      </w:r>
    </w:p>
    <w:p w14:paraId="48A71181">
      <w:pPr>
        <w:ind w:firstLine="643"/>
      </w:pPr>
      <w:r>
        <w:rPr>
          <w:rStyle w:val="21"/>
        </w:rPr>
        <w:t>1.全国补贴范围由9类扩大到15类。</w:t>
      </w:r>
      <w:r>
        <w:t>包括拖拉机、播种机、水稻插秧机、联合收割机</w:t>
      </w:r>
      <w:r>
        <w:rPr>
          <w:rFonts w:hint="eastAsia"/>
        </w:rPr>
        <w:t>（含</w:t>
      </w:r>
      <w:r>
        <w:t>粮</w:t>
      </w:r>
      <w:r>
        <w:rPr>
          <w:rFonts w:hint="eastAsia"/>
        </w:rPr>
        <w:t>棉</w:t>
      </w:r>
      <w:r>
        <w:t>油</w:t>
      </w:r>
      <w:r>
        <w:rPr>
          <w:rFonts w:hint="eastAsia"/>
        </w:rPr>
        <w:t>糖</w:t>
      </w:r>
      <w:r>
        <w:t>等作物联合收割所用机械）、</w:t>
      </w:r>
      <w:r>
        <w:rPr>
          <w:rFonts w:hint="eastAsia"/>
        </w:rPr>
        <w:t>农用</w:t>
      </w:r>
      <w:r>
        <w:t>北斗辅助驾驶系统、机动喷雾（粉）机、机动脱粒机、饲料（草）粉碎机、铡草机等9类和水稻抛秧机、田间作业监测</w:t>
      </w:r>
      <w:r>
        <w:rPr>
          <w:rFonts w:hint="eastAsia"/>
        </w:rPr>
        <w:t>终</w:t>
      </w:r>
      <w:r>
        <w:t>端、农用（植保）无人驾驶航空器（可含撒播等功能）、谷物（粮食）干燥机、色选机、磨粉机等6类。</w:t>
      </w:r>
    </w:p>
    <w:p w14:paraId="5774D2A6">
      <w:pPr>
        <w:ind w:firstLine="643"/>
      </w:pPr>
      <w:r>
        <w:rPr>
          <w:rStyle w:val="21"/>
        </w:rPr>
        <w:t>2.省级补贴范围由6类扩大到12类。</w:t>
      </w:r>
      <w:r>
        <w:t>包括履带自走式旋耕机、育秧（苗）播种设备、打（压）捆机、热风炉、温室大棚、茶叶初加工机械、微耕机、畜禽养殖机械、粮油仓储机械、粮油加工机械、粮油检测设备、变型拖拉机等12类。</w:t>
      </w:r>
    </w:p>
    <w:p w14:paraId="1F0AB026">
      <w:pPr>
        <w:pStyle w:val="3"/>
        <w:ind w:firstLine="640"/>
      </w:pPr>
      <w:r>
        <w:t>三、补贴标准</w:t>
      </w:r>
    </w:p>
    <w:p w14:paraId="05BEAE8A">
      <w:pPr>
        <w:ind w:firstLine="643"/>
      </w:pPr>
      <w:r>
        <w:rPr>
          <w:rStyle w:val="21"/>
        </w:rPr>
        <w:t>1.一般标准。</w:t>
      </w:r>
      <w:r>
        <w:t>农机报废补贴额度一般为同类型农机购置补贴额的30%或上年度市场平均售价的10%，并综合考虑运输拆解成本等因素确定。单台最高报废补贴额不超过2万元。</w:t>
      </w:r>
    </w:p>
    <w:p w14:paraId="315420EE">
      <w:pPr>
        <w:ind w:firstLine="643"/>
      </w:pPr>
      <w:r>
        <w:rPr>
          <w:rStyle w:val="21"/>
        </w:rPr>
        <w:t>2.提高标准。</w:t>
      </w:r>
      <w:r>
        <w:t>报废20马力以下拖拉机，单台最高报废补贴额由1000元提高到1500元。报废播种机、水稻插秧机、水稻抛秧机、联合收割机</w:t>
      </w:r>
      <w:r>
        <w:rPr>
          <w:rFonts w:hint="eastAsia"/>
        </w:rPr>
        <w:t>（含</w:t>
      </w:r>
      <w:r>
        <w:t>粮</w:t>
      </w:r>
      <w:r>
        <w:rPr>
          <w:rFonts w:hint="eastAsia"/>
        </w:rPr>
        <w:t>棉</w:t>
      </w:r>
      <w:r>
        <w:t>油</w:t>
      </w:r>
      <w:r>
        <w:rPr>
          <w:rFonts w:hint="eastAsia"/>
        </w:rPr>
        <w:t>糖</w:t>
      </w:r>
      <w:r>
        <w:t>等作物联合收割所用机械）等4类机具并新购置同种类机具，在现行补贴标准上按不超过50%提高报废补贴标准；如只报废不更新，按一般标准执行报废补贴。报废农用（植保）无人驾驶航空器（可含撒播等功能）、</w:t>
      </w:r>
      <w:r>
        <w:rPr>
          <w:rFonts w:hint="eastAsia"/>
        </w:rPr>
        <w:t>农用</w:t>
      </w:r>
      <w:r>
        <w:t>北斗辅助驾驶系统、田间作业监测</w:t>
      </w:r>
      <w:r>
        <w:rPr>
          <w:rFonts w:hint="eastAsia"/>
        </w:rPr>
        <w:t>终</w:t>
      </w:r>
      <w:r>
        <w:t>端等3类机具，要以新购置同种类机具为前提，且报废数量与购置数量相等，按50%提高报废补贴标准。报废并新购置采棉机，单台最高报废补贴额由6万元提高到8万元。变型拖拉机报废每台补贴8000元，每提前一年累加补贴1000元，每台最多补贴12000元。报废粮油仓储机械、粮油加工机械、粮油检测设备等3类粮油相关机具，必须提供购置发票，并按购置发票金额的10%补贴，最高不超过相应机具的最高补贴额。各机具报废补贴标准详见附件。</w:t>
      </w:r>
    </w:p>
    <w:p w14:paraId="28F577AC">
      <w:pPr>
        <w:pStyle w:val="3"/>
        <w:ind w:firstLine="640"/>
      </w:pPr>
      <w:r>
        <w:t>四、其他事项</w:t>
      </w:r>
    </w:p>
    <w:p w14:paraId="6EC1289F">
      <w:pPr>
        <w:pStyle w:val="5"/>
        <w:ind w:firstLine="640"/>
      </w:pPr>
      <w:r>
        <w:t>本通知明确的扩大报废补贴范围、提高报废补贴标准政策实施期限为2025年1月1日至12月31日，如有变动将另行通知。机具报废条件、操作流程等事项参照《湖南省农业农村厅</w:t>
      </w:r>
      <w:r>
        <w:rPr>
          <w:rFonts w:hint="eastAsia"/>
        </w:rPr>
        <w:t xml:space="preserve"> </w:t>
      </w:r>
      <w:r>
        <w:t>湖南省发展和改革</w:t>
      </w:r>
      <w:r>
        <w:rPr>
          <w:rFonts w:hint="eastAsia"/>
          <w:lang w:eastAsia="zh-CN"/>
        </w:rPr>
        <w:t>委员会</w:t>
      </w:r>
      <w:r>
        <w:rPr>
          <w:rFonts w:hint="eastAsia"/>
        </w:rPr>
        <w:t xml:space="preserve"> </w:t>
      </w:r>
      <w:r>
        <w:t>湖南省财政厅关于印发〈湖南省持续实施好农业机械报废更新补贴政策方案〉的通知》（湘农联</w:t>
      </w:r>
      <w:r>
        <w:rPr>
          <w:color w:val="000000"/>
          <w:szCs w:val="32"/>
        </w:rPr>
        <w:t>〔2024〕</w:t>
      </w:r>
      <w:r>
        <w:t>97号）要求执行。县级粮食和物资储备部门应参与色选机、磨粉机、粮油仓储机械、粮油加工机械、粮油检测设备等5类粮食相关设备现场拆解监督。</w:t>
      </w:r>
    </w:p>
    <w:p w14:paraId="3B0B341D">
      <w:pPr>
        <w:ind w:firstLine="640"/>
      </w:pPr>
      <w:r>
        <w:t>附件：2025年湖南省农业机械报废补贴额一览表</w:t>
      </w:r>
    </w:p>
    <w:p w14:paraId="101A3079">
      <w:pPr>
        <w:ind w:firstLine="640"/>
      </w:pPr>
    </w:p>
    <w:p w14:paraId="259B580E">
      <w:pPr>
        <w:ind w:firstLine="640"/>
        <w:rPr>
          <w:kern w:val="44"/>
        </w:rPr>
      </w:pPr>
      <w:r>
        <w:rPr>
          <w:kern w:val="44"/>
        </w:rPr>
        <w:t xml:space="preserve"> </w:t>
      </w:r>
    </w:p>
    <w:p w14:paraId="0B9253EA">
      <w:pPr>
        <w:pStyle w:val="5"/>
        <w:ind w:firstLine="800" w:firstLineChars="250"/>
        <w:rPr>
          <w:rFonts w:ascii="Times New Roman" w:hAnsi="Times New Roman" w:eastAsia="仿宋_GB2312" w:cs="Times New Roman"/>
          <w:bCs w:val="0"/>
          <w:kern w:val="2"/>
          <w:sz w:val="32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Cs w:val="0"/>
          <w:kern w:val="2"/>
          <w:sz w:val="32"/>
          <w:szCs w:val="24"/>
          <w:lang w:val="en-US" w:eastAsia="zh-CN" w:bidi="ar-SA"/>
        </w:rPr>
        <w:t>湖南省农业农村厅         湖南省发展和改革委员会</w:t>
      </w:r>
    </w:p>
    <w:p w14:paraId="2F1E01EA">
      <w:pPr>
        <w:ind w:left="0" w:leftChars="0" w:firstLine="0" w:firstLineChars="0"/>
        <w:rPr>
          <w:rFonts w:ascii="Times New Roman" w:hAnsi="Times New Roman" w:eastAsia="仿宋_GB2312" w:cs="Times New Roman"/>
          <w:bCs w:val="0"/>
          <w:kern w:val="2"/>
          <w:sz w:val="32"/>
          <w:szCs w:val="24"/>
          <w:lang w:val="en-US" w:eastAsia="zh-CN" w:bidi="ar-SA"/>
        </w:rPr>
      </w:pPr>
    </w:p>
    <w:p w14:paraId="1161B718">
      <w:pPr>
        <w:ind w:firstLine="640"/>
        <w:rPr>
          <w:rFonts w:ascii="Times New Roman" w:hAnsi="Times New Roman" w:eastAsia="仿宋_GB2312" w:cs="Times New Roman"/>
          <w:bCs w:val="0"/>
          <w:kern w:val="2"/>
          <w:sz w:val="32"/>
          <w:szCs w:val="24"/>
          <w:lang w:val="en-US" w:eastAsia="zh-CN" w:bidi="ar-SA"/>
        </w:rPr>
      </w:pPr>
    </w:p>
    <w:p w14:paraId="79EB2330">
      <w:pPr>
        <w:pStyle w:val="5"/>
        <w:ind w:firstLine="880" w:firstLineChars="275"/>
        <w:rPr>
          <w:rFonts w:ascii="Times New Roman" w:hAnsi="Times New Roman" w:eastAsia="仿宋_GB2312" w:cs="Times New Roman"/>
          <w:bCs w:val="0"/>
          <w:kern w:val="2"/>
          <w:sz w:val="32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Cs w:val="0"/>
          <w:kern w:val="2"/>
          <w:sz w:val="32"/>
          <w:szCs w:val="24"/>
          <w:lang w:val="en-US" w:eastAsia="zh-CN" w:bidi="ar-SA"/>
        </w:rPr>
        <w:t xml:space="preserve">湖南省财政厅     </w:t>
      </w:r>
      <w:r>
        <w:rPr>
          <w:rFonts w:hint="eastAsia" w:ascii="Times New Roman" w:hAnsi="Times New Roman" w:cs="Times New Roman"/>
          <w:bCs w:val="0"/>
          <w:kern w:val="2"/>
          <w:sz w:val="32"/>
          <w:szCs w:val="24"/>
          <w:lang w:val="en-US" w:eastAsia="zh-CN" w:bidi="ar-SA"/>
        </w:rPr>
        <w:t xml:space="preserve">     </w:t>
      </w:r>
      <w:r>
        <w:rPr>
          <w:rFonts w:ascii="Times New Roman" w:hAnsi="Times New Roman" w:eastAsia="仿宋_GB2312" w:cs="Times New Roman"/>
          <w:bCs w:val="0"/>
          <w:kern w:val="2"/>
          <w:sz w:val="32"/>
          <w:szCs w:val="24"/>
          <w:lang w:val="en-US" w:eastAsia="zh-CN" w:bidi="ar-SA"/>
        </w:rPr>
        <w:t xml:space="preserve">   湖南省粮食和物资储备局</w:t>
      </w:r>
    </w:p>
    <w:p w14:paraId="62AAA039">
      <w:pPr>
        <w:ind w:firstLine="5171" w:firstLineChars="1616"/>
        <w:rPr>
          <w:rFonts w:ascii="Times New Roman" w:hAnsi="Times New Roman" w:eastAsia="仿宋_GB2312" w:cs="Times New Roman"/>
          <w:bCs w:val="0"/>
          <w:kern w:val="2"/>
          <w:sz w:val="32"/>
          <w:szCs w:val="24"/>
          <w:lang w:val="en-US" w:eastAsia="zh-CN" w:bidi="ar-SA"/>
        </w:rPr>
      </w:pPr>
      <w:r>
        <w:rPr>
          <w:rFonts w:ascii="Times New Roman" w:hAnsi="Times New Roman" w:eastAsia="仿宋_GB2312" w:cs="Times New Roman"/>
          <w:bCs w:val="0"/>
          <w:kern w:val="2"/>
          <w:sz w:val="32"/>
          <w:szCs w:val="24"/>
          <w:lang w:val="en-US" w:eastAsia="zh-CN" w:bidi="ar-SA"/>
        </w:rPr>
        <w:t xml:space="preserve"> 2025年5月8日</w:t>
      </w:r>
    </w:p>
    <w:p w14:paraId="03567B5B">
      <w:pPr>
        <w:pStyle w:val="3"/>
        <w:ind w:firstLine="0" w:firstLineChars="0"/>
      </w:pPr>
      <w:r>
        <w:br w:type="page"/>
      </w:r>
      <w:r>
        <w:t>附件</w:t>
      </w:r>
    </w:p>
    <w:p w14:paraId="7D2BC0C8">
      <w:pPr>
        <w:adjustRightInd/>
        <w:snapToGrid/>
        <w:spacing w:before="60" w:beforeLines="25" w:after="60" w:afterLines="25" w:line="500" w:lineRule="exact"/>
        <w:ind w:firstLine="0" w:firstLineChars="0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2025年湖南省农业机械报废补贴额一览表</w:t>
      </w:r>
    </w:p>
    <w:tbl>
      <w:tblPr>
        <w:tblStyle w:val="15"/>
        <w:tblW w:w="5068" w:type="pct"/>
        <w:jc w:val="center"/>
        <w:tblLayout w:type="fixed"/>
        <w:tblCellMar>
          <w:top w:w="57" w:type="dxa"/>
          <w:left w:w="51" w:type="dxa"/>
          <w:bottom w:w="57" w:type="dxa"/>
          <w:right w:w="51" w:type="dxa"/>
        </w:tblCellMar>
      </w:tblPr>
      <w:tblGrid>
        <w:gridCol w:w="521"/>
        <w:gridCol w:w="604"/>
        <w:gridCol w:w="1210"/>
        <w:gridCol w:w="3731"/>
        <w:gridCol w:w="1701"/>
        <w:gridCol w:w="1301"/>
      </w:tblGrid>
      <w:tr w14:paraId="6E8D3AC8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715" w:hRule="atLeast"/>
          <w:tblHeader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A04BB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C1783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机型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88BF7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类    别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2EE5C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一般标准</w:t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报废补贴额</w:t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（元/台）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980685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提高标准</w:t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报废补贴额</w:t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eastAsia="黑体"/>
                <w:color w:val="000000"/>
                <w:kern w:val="0"/>
                <w:sz w:val="21"/>
                <w:szCs w:val="21"/>
              </w:rPr>
              <w:t>（元/台）</w:t>
            </w:r>
          </w:p>
        </w:tc>
      </w:tr>
      <w:tr w14:paraId="1F892B7A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9428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1063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全国补贴范围9类机具</w:t>
            </w: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1393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01A3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20马力以下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A46E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3684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1500</w:t>
            </w:r>
          </w:p>
        </w:tc>
      </w:tr>
      <w:tr w14:paraId="49048E2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29D6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2419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A12D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CBA8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20-50马力（含）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86AD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3850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DFD8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E67D9C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3FFE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A5FC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3953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A1E7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50-80马力（含）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6729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7860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3374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E55C3A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2CBF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2EBF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4354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FB30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80-100马力（含）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109D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10840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8376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CD0B13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94F4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2DBC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CA8C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3612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100-160马力（含）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38F9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13140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8F9B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CB14CC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1942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11BA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7F57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D72F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160-200马力（含）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92B0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18000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F741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007073A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C35F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259B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711E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951D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200马力以上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9189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20000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D00C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5D7BFF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0FCF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93AB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1787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播种机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51EC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6行以下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5331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1F65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900</w:t>
            </w:r>
          </w:p>
        </w:tc>
      </w:tr>
      <w:tr w14:paraId="59704B4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DB79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0927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6E62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1690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6—11行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362A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A6BEB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1800</w:t>
            </w:r>
          </w:p>
        </w:tc>
      </w:tr>
      <w:tr w14:paraId="4AD3B443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6E26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0575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D355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0223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12—18行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F4F7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1600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4F2BC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2400</w:t>
            </w:r>
          </w:p>
        </w:tc>
      </w:tr>
      <w:tr w14:paraId="5603FF44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AA4A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E19E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7EF6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4432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18行以上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9253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EEB6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3000</w:t>
            </w:r>
          </w:p>
        </w:tc>
      </w:tr>
      <w:tr w14:paraId="1905A5B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F807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D614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546C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自走式全喂入稻麦联合收割机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280A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喂入量0.5-1kg/s（含）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709A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3072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4500</w:t>
            </w:r>
          </w:p>
        </w:tc>
      </w:tr>
      <w:tr w14:paraId="2C7EDAB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927F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A974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1EC17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7214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喂入量1-3kg/s（含）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FEAF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5500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22A3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8250</w:t>
            </w:r>
          </w:p>
        </w:tc>
      </w:tr>
      <w:tr w14:paraId="578D7E6A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8375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C2B8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7A86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3DF0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喂入量3-4kg/s（含）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C9A9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7300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EBC7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10950</w:t>
            </w:r>
          </w:p>
        </w:tc>
      </w:tr>
      <w:tr w14:paraId="7982866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E1CD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8515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52AD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FB19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喂入量4kg/s以上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5E55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11000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C572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16500</w:t>
            </w:r>
          </w:p>
        </w:tc>
      </w:tr>
      <w:tr w14:paraId="6F7E0F1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1A68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D586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BBDB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自走式半喂入稻麦联合收割机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C78A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3行，35马力（含）以上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C47C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7200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AD71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10800</w:t>
            </w:r>
          </w:p>
        </w:tc>
      </w:tr>
      <w:tr w14:paraId="10C66C4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9DD3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9DC2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CF8D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6A4D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4行（含）以上，35马力（含）以上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9217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17500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B7BE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26250</w:t>
            </w:r>
          </w:p>
        </w:tc>
      </w:tr>
      <w:tr w14:paraId="0BFA680C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2715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63B6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A879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自走式玉米联合收割机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C1C4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BC99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7200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A7BD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10800</w:t>
            </w:r>
          </w:p>
        </w:tc>
      </w:tr>
      <w:tr w14:paraId="672E8003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C098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E1A8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7C9C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BB5B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F29C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12500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1D02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18750</w:t>
            </w:r>
          </w:p>
        </w:tc>
      </w:tr>
      <w:tr w14:paraId="4577259A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1725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B48F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D17D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7600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4行及以上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2A49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20000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51BC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30000</w:t>
            </w:r>
          </w:p>
        </w:tc>
      </w:tr>
      <w:tr w14:paraId="2A0E494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69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E964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73D2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DDF6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采棉机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F8FE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01C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D08D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80000</w:t>
            </w:r>
          </w:p>
        </w:tc>
      </w:tr>
      <w:tr w14:paraId="166E1364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BC63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DE23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E741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469F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2行，手扶步进式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0563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740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C730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1110</w:t>
            </w:r>
          </w:p>
        </w:tc>
      </w:tr>
      <w:tr w14:paraId="6A59D5A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1F25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A561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009B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501F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4行，手扶步进式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D8EA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1740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9964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2610</w:t>
            </w:r>
          </w:p>
        </w:tc>
      </w:tr>
      <w:tr w14:paraId="7F91865D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B233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1A95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6FD3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636F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6行及以上，手扶步进式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BFDA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2170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9919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3260</w:t>
            </w:r>
          </w:p>
        </w:tc>
      </w:tr>
      <w:tr w14:paraId="4FFF125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42E0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CF14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C323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8899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6行及以上，独轮乘坐式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B0C1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1720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F2E0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2580</w:t>
            </w:r>
          </w:p>
        </w:tc>
      </w:tr>
      <w:tr w14:paraId="35B6A9D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636F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B684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C4DD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AE49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4-5行，四轮乘坐式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0610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5400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A1FC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8100</w:t>
            </w:r>
          </w:p>
        </w:tc>
      </w:tr>
      <w:tr w14:paraId="6258534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D490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B7C0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9C5F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3F77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6-7行，四轮乘坐式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5878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9930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4141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14900</w:t>
            </w:r>
          </w:p>
        </w:tc>
      </w:tr>
      <w:tr w14:paraId="1D430EF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8D0C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078B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0C63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F5F0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8行及以上，四轮乘坐式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2821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12500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D768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18750</w:t>
            </w:r>
          </w:p>
        </w:tc>
      </w:tr>
      <w:tr w14:paraId="6C9F26E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1097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FB02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50C3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5EE5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/>
                <w:sz w:val="21"/>
                <w:szCs w:val="21"/>
              </w:rPr>
              <w:t>农用</w:t>
            </w:r>
            <w:r>
              <w:rPr>
                <w:rFonts w:eastAsia="宋体"/>
                <w:sz w:val="21"/>
                <w:szCs w:val="21"/>
              </w:rPr>
              <w:t>北斗辅助驾驶系统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373C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CE30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B3C5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1200</w:t>
            </w:r>
          </w:p>
        </w:tc>
      </w:tr>
      <w:tr w14:paraId="1442F888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5978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C837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A9D3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机动喷雾（粉）机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91DA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11-18马力，自走式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F81D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2AFE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78255D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E6C2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5845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D85D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EC5B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18-50马力，自走式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D2EC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3800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BCEF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43B968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A1E2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A5E3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054F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93EC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50-100马力，自走式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2D69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4300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0A02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F5A36B4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A3B8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F48E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E63D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46C9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100马力及以上，自走式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64EE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6060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4229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A9DBE7A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0925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FF33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1B99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机动脱粒机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4040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生产率≥300kg/h；含动力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C511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待定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2086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E7E85EF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6C6B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12D3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8DAD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饲料（草）粉碎机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6A9B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400mm≤转子直径＜550mm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2D6D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150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3A41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849647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3F41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6EE4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0202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E238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转子直径≥550mm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25CE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340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4100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5479DE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F989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8FF5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031F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铡草机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7BD9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3/h≤生产率＜6t/h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E52A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待定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956C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BFA590F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1668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A9A0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1FF4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7CFF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6/h≤生产率＜9t/h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31E7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待定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4F3B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77C44A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82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0AF1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0915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1907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C87E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9/h≤生产率＜15t/h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7D29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待定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C737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285C4D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6926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EB92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全国扩大报废补贴范围6类机具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FF05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抛秧机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0E05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13行及以上，四轮乘坐式，有序抛秧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6AA7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12600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76EF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18900</w:t>
            </w:r>
          </w:p>
        </w:tc>
      </w:tr>
      <w:tr w14:paraId="34E0926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48D54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5B7A0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F82422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田间作业监测</w:t>
            </w:r>
            <w:r>
              <w:rPr>
                <w:rFonts w:hint="eastAsia" w:eastAsia="宋体"/>
                <w:color w:val="000000"/>
                <w:kern w:val="0"/>
                <w:sz w:val="21"/>
                <w:szCs w:val="21"/>
              </w:rPr>
              <w:t>终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端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DC63D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B67C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2953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800</w:t>
            </w:r>
          </w:p>
        </w:tc>
      </w:tr>
      <w:tr w14:paraId="6419A594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32A8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096A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A027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农用（植保）无人驾驶航空器（可含撒播功能）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340F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10-20L多旋翼植保无人驾驶航空器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9F62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highlight w:val="red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F670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2700</w:t>
            </w:r>
          </w:p>
        </w:tc>
      </w:tr>
      <w:tr w14:paraId="339D341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BC89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1DC0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5BDD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D712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20-30L多旋翼植保无人驾驶航空器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6CE7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highlight w:val="red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E45B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4050</w:t>
            </w:r>
          </w:p>
        </w:tc>
      </w:tr>
      <w:tr w14:paraId="07D62EA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110C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FCEB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7BA4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E43F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30-50L多旋翼植保无人驾驶航空器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A594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highlight w:val="red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3E4B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5400</w:t>
            </w:r>
          </w:p>
        </w:tc>
      </w:tr>
      <w:tr w14:paraId="4FB587C4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271A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E6AF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9B1F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76FB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50L及以上多旋翼植保无人驾驶航空器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539F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highlight w:val="red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00BD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6450</w:t>
            </w:r>
          </w:p>
        </w:tc>
      </w:tr>
      <w:tr w14:paraId="4B50BAC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69D1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AA39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3097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4261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15L-25L单旋翼植保无人驾驶航空器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A213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highlight w:val="red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822D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4050</w:t>
            </w:r>
          </w:p>
        </w:tc>
      </w:tr>
      <w:tr w14:paraId="5ADF8974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18C5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604C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E161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52BE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25L及以上单旋翼植保无人驾驶航空器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BD54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highlight w:val="red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5C26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5400</w:t>
            </w:r>
          </w:p>
        </w:tc>
      </w:tr>
      <w:tr w14:paraId="440C55A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FDC7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F7F9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8616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谷物（粮食）干燥机（烘干机）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04C4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批处理量1-4t移动式谷物烘干机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7656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B3DA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CA1F89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3078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E730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4199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9DE6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批处理量4t及以上移动式谷物烘干机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CB74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3780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51E7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91AED1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56E2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176D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3DCB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0FB5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批处理量1-4t循环式谷物烘干机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A92B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1920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6255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7985AA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F5C8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A9E1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CF70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8DBD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批处理量4-10t循环式谷物烘干机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E3B5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5040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4FB3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58FC5D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1884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7D14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6F22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85B4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批处理量10-20t循环式谷物烘干机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77F8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7590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BC33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6CFA6C8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BF21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3A5A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D02B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3DED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批处理量20-30t循环式谷物烘干机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7944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9180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EA1C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079EB2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4CC4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4872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A4ED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0FD4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批处理量30t及以上循环式谷物烘干机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F109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14520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B374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8C9BD2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F173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7A7B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2B36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79AE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处理量20-50t/d连续式谷物烘干机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F540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5B1D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1A77BEC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ED9B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E99A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9C54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22D0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处理量50-100t/d连续式谷物烘干机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75D5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9300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2239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EBFE0A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1C91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17D2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F5F6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FE5C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处理量100-300t/d连续式谷物烘干机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E3E3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14070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E59F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607428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2073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3A9D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1886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043D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处理量300t/d及以上连续式谷物烘干机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831B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20000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3D63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CC2924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276E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65CD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5651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52B8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装载量3-5t批式静态谷物烘干机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EE4B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1620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BADF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302C58F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47A7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3C98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0D9A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20A4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装载量5t及以上批式静态谷物烘干机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BEDE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2970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74A9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81B990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74E8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B2EB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3CFC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色选机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D99D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执行单元数60—300粮食色选机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7A21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2850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245B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E57E75C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95C8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9DF4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E132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1F80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执行单元数300—450粮食色选机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F46F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9000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9223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84FBE83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67B8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212F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612A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7B59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执行单元数450及以上粮食色选机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5DCA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11400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6BF8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18EC80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5E7B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E977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048A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9D3A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总执行单元数 384 个以下茶叶色选机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C8C4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3600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D261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075708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C52A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E228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C5E4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4D32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总执行单元数 384 个及以上茶叶色</w:t>
            </w:r>
          </w:p>
          <w:p w14:paraId="3DE78BD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B7E3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15000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3A29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690E7A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E3DE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25DB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8878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磨粉机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3712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磨辊长度30-40cm磨粉机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4B85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A30E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EF06848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7DFC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8426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F33B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9351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磨辊长度40-50cm磨粉机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536D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750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4E83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EE35BE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E24A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2C6C28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75DA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2844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磨辊长度50cm及以上磨粉机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E505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E6D5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6CDF57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A5C20B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3DEA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省级补贴范围12类机具</w:t>
            </w: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6FA9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履带自走式旋耕机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2105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1.2-2m履带自走式旋耕机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4E2F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1740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2B33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FC7FB18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C49671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936B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2993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32D1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2m及以上履带自走式旋耕机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16C2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3870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0AE2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8A9616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703B7F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1BB8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92A3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育秧（苗）播种设备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D060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生产率200—500（盘/h）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E127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510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CB9D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24C6F6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E0B593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203F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E3BD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DC70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生产率500（盘/h）及以上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CC67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810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C647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9E2FC5C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5DCE27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5133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77C8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微耕机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8EF0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功率2-4kW微型耕耘机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F81B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330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5CBB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B6158B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41B03B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F587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70D5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134B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功率4kW及以上汽油机微型耕耘机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5A09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350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B805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BF20B9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4179E1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8F07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CDE4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784E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功率4kW及以上柴油机微型耕耘机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90BC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4DA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678A76C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130D0F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8A8D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737F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打（压）</w:t>
            </w:r>
          </w:p>
          <w:p w14:paraId="79D0E7E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捆机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FF6B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方捆；压缩室截面积（宽×高）≥0.1344m²；打结器数量≥2个；捡拾宽度≥1.2m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DE8D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2760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632C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3606AF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D3D03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4A13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7E1C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524B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方捆；压缩室截面积（宽×高）≥0.154m²；打结器数量≥2个；捡拾宽度≥1.7m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8065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4140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D68B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CFE345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75AFDB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DD62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54E9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5E5E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方捆；压缩室截面积（宽×高）≥0.162m²；打结器数量≥2个；捡拾宽度≥2.2m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2BF3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5970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A228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9373393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8F40F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02FC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0052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79EF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方捆；压缩室截面积（宽×高）≥0.1998m²；打结器数量≥3个；捡拾宽度≥2.2m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C376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7770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8AD7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1EBFE4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56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66C14E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75BB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2A25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8F43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圆捆；压缩室直径≥0.5m；压缩室宽度≥0.7m；捡拾宽度≥0.7m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7426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1620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A62D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F72503F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C5F0E6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C996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33CA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64E2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圆捆；压缩室直径≥0.8m；压缩室宽度≥0.8m；捡拾宽度≥1.2m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018A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3090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B093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C30AC7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736BA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E00B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FFC9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6CB2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圆捆；压缩室直径≥1m；压缩室宽度≥1m；捡拾宽度≥1.7m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745C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4140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BFEE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F31A8B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50F9F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60D3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FE48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4EDB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圆捆；压缩室直径≥1.2m；压缩室宽度≥1.2m；捡拾宽度≥2.2m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396F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6180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C5D5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6C51DB0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74A334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E45D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A208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840A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圆捆；压缩室直径≥0.52m；压缩室宽度≥0.52m；功率≥4kW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D62F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1620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A33E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863C70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7F707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FF52A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DDD3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A7FF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方捆；压缩室截面积（宽×高）≥0.081m²；7.5kW≤功率＜15kW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622C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690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369C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D9AEB1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2F95D6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FBC4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FB67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51BF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方捆；压缩室截面积（宽×高）≥0.105m²；功率≥15kW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EE34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1380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0B57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19BB74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4A8023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0A7A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46DE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25F8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方捆；压缩室截面积（宽×高）≥0.0936m²；捡拾宽度≥1.7m；自动套袋（网）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7E07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4140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57CF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C671CA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07BF6F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E08F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F3BF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31EB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方捆；压缩室截面积（宽×高）≥0.1344m²；捡拾宽度≥2.2m；自动套袋（网）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4649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5970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E8FA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5BE2044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DA00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3A8B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C2318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BD8E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圆捆；自走式；捡拾宽度≥1.7m；压缩室直径≥1m；压缩室宽度≥0.85m；捡拾器结构型式:圆盘式割台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F4B5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15000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CC28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1A92BD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188B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7809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C18C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kern w:val="0"/>
                <w:sz w:val="21"/>
                <w:szCs w:val="21"/>
              </w:rPr>
              <w:t>茶叶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初加工机械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C00F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滚筒直径30-40cm杀青机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3835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450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EDF6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86DEF1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5BEC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AFEE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CFF3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BF00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滚筒直径40-60cm杀青机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05C1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770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939C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72C0D1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CCEF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1C99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2BEF0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A72B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滚筒直径60cm及以上杀青机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3C82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1120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FBD4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2AB24B8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74D8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55A2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F518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B96B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揉筒直径25-35cm揉捻机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D242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140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DFAC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680A618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718E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069A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22C5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6EBB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揉筒直径35-50cm揉捻机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3E12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DAA6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987E10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4C55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8FEF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E4E7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CC6E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揉筒直径50-60cm揉捻机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4913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660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0B38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0703423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E60B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FD8A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FC50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0D61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揉筒直径60cm及以上揉捻机</w:t>
            </w:r>
          </w:p>
          <w:p w14:paraId="21F9E81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（含揉捻机组）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7AFF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1260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0B4F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16F8EA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09D0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07D9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10F4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DC8E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锅槽面积0.5-1m²理条烘干机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F841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560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0FD8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A3A0E9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791D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F486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84BF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09FA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锅槽面积1-2.5m²理条烘干机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AD88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680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2E20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B75827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3BA42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C611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B6FA9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D80A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锅槽面积2.5m²及以上理条烘干机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1F0B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38D0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83BB74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39FBE1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EA36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D0618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4C53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1-2锅（槽）全自动茶叶炒干机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462A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610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261A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ED5F8E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9E4FD6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FA04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9A3053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F5C8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3-4锅（槽）全自动茶叶炒干机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0948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1330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BD39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FB6E49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234FFE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8A83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79BC7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F045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烘干面积10m²以下百叶式茶叶烘干机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F20A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BB1E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0893148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E72FB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183A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033A0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DFE1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烘干面积10m²及以上百叶式茶叶烘干机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F48A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420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9C3E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DF86A5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C53A2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5B34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BF4ED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0EA7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烘干面积10m²以下连续自动式茶叶烘</w:t>
            </w:r>
          </w:p>
          <w:p w14:paraId="5B4C4A3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EBAD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1580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F44C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EB2431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6BF7B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DF07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567DA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D138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烘干面积10m²及以上连续自动式茶叶烘干机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0BE0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4570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5807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B5354CF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DF1541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D504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DEBE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B072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非全自动茶叶炒干机（含扁形茶炒制机）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4E12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340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9C1F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77830A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AABFD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3066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62EC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热风炉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4659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热功率</w:t>
            </w:r>
            <w:r>
              <w:rPr>
                <w:rFonts w:hint="eastAsia" w:eastAsia="宋体"/>
                <w:color w:val="000000"/>
                <w:kern w:val="0"/>
                <w:sz w:val="21"/>
                <w:szCs w:val="21"/>
                <w:lang w:eastAsia="zh-CN"/>
              </w:rPr>
              <w:t>10万-20万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Kcal/h生物质颗粒热</w:t>
            </w:r>
          </w:p>
          <w:p w14:paraId="3C0C2E7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风炉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137D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1350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9755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456451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E3BB05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9F12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97C3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0935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热功率</w:t>
            </w:r>
            <w:r>
              <w:rPr>
                <w:rFonts w:hint="eastAsia" w:eastAsia="宋体"/>
                <w:color w:val="000000"/>
                <w:kern w:val="0"/>
                <w:sz w:val="21"/>
                <w:szCs w:val="21"/>
                <w:lang w:eastAsia="zh-CN"/>
              </w:rPr>
              <w:t>20万-30万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Kcal/h生物质颗粒热</w:t>
            </w:r>
          </w:p>
          <w:p w14:paraId="009762B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风炉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CCE8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1710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5C25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96575D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8EC3BF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6995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7EF6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DBEB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热功率</w:t>
            </w:r>
            <w:r>
              <w:rPr>
                <w:rFonts w:hint="eastAsia" w:eastAsia="宋体"/>
                <w:color w:val="000000"/>
                <w:kern w:val="0"/>
                <w:sz w:val="21"/>
                <w:szCs w:val="21"/>
                <w:lang w:eastAsia="zh-CN"/>
              </w:rPr>
              <w:t>30万-60万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Kcal/h生物质颗粒热</w:t>
            </w:r>
          </w:p>
          <w:p w14:paraId="699F66C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风炉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677E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2700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B18F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EB53B8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315400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AF33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ACB0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BA12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热功率60万Kcal/h及以上生物质颗粒热风炉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7DED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B9A2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2A59E2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0BDB9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9296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BA3F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温室大棚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BB73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农用连栋钢架大棚GPL-625（不带外遮阳）（成套设施装备）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F02A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9元/平方米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97D5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4C83058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13D4A5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6A5F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D923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F14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农用连栋钢架大棚GPL-625（成套设施</w:t>
            </w:r>
          </w:p>
          <w:p w14:paraId="00E9750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装备）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2F8D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13元/平方米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26BB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DC7FFE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4DF302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55FB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B248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3BCD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农用连栋钢架大棚GPL-832（不带外遮阳）（成套设施装备）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AB9A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8元/平方米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0D83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4FF06C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3B6E29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2E45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5DBC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640A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农用连栋钢架大棚GPL-832（成套设施</w:t>
            </w:r>
          </w:p>
          <w:p w14:paraId="1E05646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装备）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BF3A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12元/平方米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408F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170006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D1B5E2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F1E1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0DED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9D13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农用连栋钢架大棚GPLG-832（不带外遮阳）（成套设施装备）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0121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9元/平方米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9014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05524DD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425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8980ED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AA79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E388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7981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农用连栋钢架大棚GPLG-832（成套设施装备）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5207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14元/平方米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F600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3D7382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577090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8D1E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5E5A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畜禽养殖</w:t>
            </w:r>
          </w:p>
          <w:p w14:paraId="513A66F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机械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22D3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蛋容量20000-50000枚孵化机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2846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4302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0DE1A4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260ADB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5651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10B9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F12C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蛋容量50000枚以上孵化机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CBBB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5410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5C41CC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CAC0ED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DBBD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4178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B149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机械养殖场舍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F7EDF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按购置额的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10%补贴，单个主体最高不超过100万元。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37BE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57A1E53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BA94F2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2933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E97F8C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变型拖拉机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F0B4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D633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spacing w:val="1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10"/>
                <w:kern w:val="0"/>
                <w:sz w:val="21"/>
                <w:szCs w:val="21"/>
              </w:rPr>
              <w:t>8000元/台，报废时限每提前一年增加1000元，最高补贴12000元/台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D4AB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7F3CBE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E2CAB9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282A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6AA7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粮油仓储</w:t>
            </w:r>
          </w:p>
          <w:p w14:paraId="0FF4B97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机械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502221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40吨及以上/小时输送机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1521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按购置发票金额的10%补贴，最高不超过2620元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5A3F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EBF9B9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0A509C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1259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1227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/>
            <w:vAlign w:val="center"/>
          </w:tcPr>
          <w:p w14:paraId="0E65C78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30吨及以上/小时吸粮机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C705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按购置发票金额的10%补贴，最高不超过20000元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B3C3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76D3EF0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C1E7A3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F181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720F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/>
            <w:vAlign w:val="center"/>
          </w:tcPr>
          <w:p w14:paraId="2902642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固定式扦样机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B2849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按购置发票金额的10%补贴，最高不超过5800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49B0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03CF94F0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3EBC82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02C4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D4B8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/>
            <w:vAlign w:val="center"/>
          </w:tcPr>
          <w:p w14:paraId="4417101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移动式扦样机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DA5A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按购置发票金额的10%补贴，最高不超过15000元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7DCE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7F15D6D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9C12EA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16A7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9D4F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3EC8EB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50吨及以上/小时卸粮机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94B1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按购置发票金额的10%补贴，最高不超过2460元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3DF4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BCD4B7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17E64A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E9A9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9CB8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2049663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40吨及以上/小时扒粮机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D3EA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按购置发票金额的10%补贴，最高不超过5500元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C493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A371DEC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E45547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5F3D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DED9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280D57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2.2KW及以上充气泵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2222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按购置发票金额的10%补贴，最高不超过3000元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5C2A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605028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64B60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BC0E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EAE5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3561CF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功率：7.5kw及以上离心风机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05F5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按购置发票金额的10%补贴，最高不超过1570元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FFF0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058E6E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24E59A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C3D1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F442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4C060A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功率：1.1</w:t>
            </w:r>
            <w:r>
              <w:rPr>
                <w:rFonts w:hint="eastAsia" w:eastAsia="宋体"/>
                <w:color w:val="000000"/>
                <w:kern w:val="0"/>
                <w:sz w:val="21"/>
                <w:szCs w:val="21"/>
                <w:lang w:eastAsia="zh-CN"/>
              </w:rPr>
              <w:t>kW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及以上轴流风机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A24F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按购置发票金额的10%补贴，最高不超过400元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8AEF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5B7659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6102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150A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E566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05BE90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功率：1.1</w:t>
            </w:r>
            <w:r>
              <w:rPr>
                <w:rFonts w:hint="eastAsia" w:eastAsia="宋体"/>
                <w:color w:val="000000"/>
                <w:kern w:val="0"/>
                <w:sz w:val="21"/>
                <w:szCs w:val="21"/>
                <w:lang w:eastAsia="zh-CN"/>
              </w:rPr>
              <w:t>kW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及以上单管风机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3189E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按购置发票金额的10%补贴，最高不超过980元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EA65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C7201CF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1827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81AA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078A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粮油加工</w:t>
            </w:r>
          </w:p>
          <w:p w14:paraId="1540532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机械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1DF233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100T以及上平面回转清理筛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F19D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按购置发票金额的10%补贴，最高不超过2400元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33E51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5AD1B5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3911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637C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86A7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6B89B2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100T及以上旋振清理筛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3856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按购置发票金额的10%补贴，最高不超过6180元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CDE4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06B8D2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8153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22A3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439F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C81672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</w:t>
            </w:r>
            <w:bookmarkStart w:id="0" w:name="_GoBack"/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-</w:t>
            </w:r>
            <w:bookmarkEnd w:id="0"/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300T去石机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5A77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按购置发票金额的10%补贴，最高不超过2480元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C33A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CBFB183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E3FC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D238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93FC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8FD686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300T及以上去石机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E7A7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按购置发票金额的10%补贴，最高不超过3540元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E569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3985CA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CEEA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5820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F5BB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A671E0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100T-200T砻谷机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D57C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按购置发票金额的10%补贴，最高不超过8500元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14EE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45FF87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B021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E4BB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9E00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2274F1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200T及以上砻谷机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4E4C7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按购置发票金额的10%补贴，最高不超过13000元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1D4E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F66CF3D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53D21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A5D6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0AAC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AE720C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100T-300T谷糙分离机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00C5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按购置发票金额的10%补贴，最高不超过2480元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B0AE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E78F90D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42BB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0537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C52C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86751F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300T及以上谷糙分离机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89B7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按购置发票金额的10%补贴，最高不超过4240元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4FAD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D4B7E9D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83DA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5E08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6560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973794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100T及以上抛光机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ADCD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按购置发票金额的10%补贴，最高不超过5800元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D262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069083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3E23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2D62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A0F3C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D99337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100T及以上复式回转白米筛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13E8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按购置发票金额的10%补贴，最高不超过4000元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CC7B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6CCE4C9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92376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1AC20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CCDD4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92898E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100T及以上滚筒精选机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38A4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按购置发票金额的10%补贴，最高不超过2160元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86DA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45C5949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1523A7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8D7A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D41AB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6D76EA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100T及以上高压脉冲除尘器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D43C7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按购置发票金额的10%补贴，最高不超过3300元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3B4B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7A4E42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FC60E1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D26D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FED20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627CBA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100T及以上斗式提升机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3FE2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按购置发票金额的10%补贴，最高不超过1260元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6A77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8B5CF77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53CC0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1982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74B15D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A2E161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100T及以上皮带输送机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2E22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按购置发票金额的10%补贴，最高不超过1200元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A1823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13C6BCA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13D6CE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512D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3FDCA0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452461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100T及以上环链式刮板输送机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A041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按购置发票金额的10%补贴，最高不超过2500元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D46B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62B01545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31D7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9132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EF4E8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1A9936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100T及以上通用刮板输送机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C34A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按购置发票金额的10%补贴，最高不超过1800元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56CB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28B46B7D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B64E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C2F0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0D1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粮油检测</w:t>
            </w:r>
          </w:p>
          <w:p w14:paraId="02A4241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设备</w:t>
            </w: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E3FC6C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精度：千分之一电子天平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7BB0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按购置发票金额的10%补贴，最高不超过1200元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4D1A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BF8BB3F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5FFC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053A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CCB1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F7130E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精度：万分之一电子天平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B135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F0AD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CB4457D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1ACF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8B08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15CDB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9DA54B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全自动测镉仪20-45位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A020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按购置发票金额的10%补贴，最高不超过20000元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9F6D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79814CA1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BADF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0044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3FCD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BDB6E1C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重金属检测仪：电热蒸发原子吸收法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5E63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按购置发票金额的10%补贴，最高不超过20000元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0AE1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F384C0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255DE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5957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DED6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AC2AAC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重金属检测仪：X射线荧光光谱法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C8D7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按购置发票金额的10%补贴，最高不超过20000元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5565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E379A62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527C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A16D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93344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1BD0148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便携式重金属检测仪：原子吸收法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E509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按购置发票金额的10%补贴，最高不超过18000元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16EB6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5696FD6E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B05EA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7015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A279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996C52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便携式单通道、双通道重金属检测仪：电化学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E4D0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按购置发票金额的10%补贴，最高不超过5800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194E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32672DB6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4D935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A0EC9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4391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C506AE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全自动重金属检测仪：电化学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9272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按购置发票金额的10%补贴，最高不超过16800元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144FF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  <w:tr w14:paraId="155B83EB">
        <w:tblPrEx>
          <w:tblCellMar>
            <w:top w:w="57" w:type="dxa"/>
            <w:left w:w="51" w:type="dxa"/>
            <w:bottom w:w="57" w:type="dxa"/>
            <w:right w:w="51" w:type="dxa"/>
          </w:tblCellMar>
        </w:tblPrEx>
        <w:trPr>
          <w:trHeight w:val="397" w:hRule="atLeast"/>
          <w:jc w:val="center"/>
        </w:trPr>
        <w:tc>
          <w:tcPr>
            <w:tcW w:w="5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D4B51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04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2B64BD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E87842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6043D37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全自动铅镉分析仪：原子吸收法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B17A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按购置发票金额的10%补贴，最高不超过20000元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1D504">
            <w:pPr>
              <w:widowControl/>
              <w:adjustRightInd/>
              <w:spacing w:line="280" w:lineRule="exact"/>
              <w:ind w:firstLine="0" w:firstLineChars="0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</w:rPr>
            </w:pPr>
          </w:p>
        </w:tc>
      </w:tr>
    </w:tbl>
    <w:p w14:paraId="58D7AAB7">
      <w:pPr>
        <w:adjustRightInd/>
        <w:snapToGrid/>
        <w:spacing w:line="560" w:lineRule="exact"/>
        <w:ind w:firstLine="0" w:firstLineChars="0"/>
        <w:rPr>
          <w:szCs w:val="32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2098" w:right="1474" w:bottom="1985" w:left="1588" w:header="851" w:footer="1588" w:gutter="0"/>
          <w:cols w:space="720" w:num="1"/>
          <w:docGrid w:linePitch="579" w:charSpace="0"/>
        </w:sectPr>
      </w:pPr>
    </w:p>
    <w:p w14:paraId="1CE5B336">
      <w:pPr>
        <w:adjustRightInd/>
        <w:snapToGrid/>
        <w:spacing w:line="560" w:lineRule="exact"/>
        <w:ind w:firstLine="0" w:firstLineChars="0"/>
        <w:rPr>
          <w:szCs w:val="32"/>
        </w:rPr>
      </w:pPr>
      <w:r>
        <w:rPr>
          <w:szCs w:val="32"/>
        </w:rPr>
        <w:br w:type="page"/>
      </w:r>
    </w:p>
    <w:p w14:paraId="31344686">
      <w:pPr>
        <w:pStyle w:val="3"/>
        <w:ind w:firstLine="0" w:firstLineChars="0"/>
        <w:rPr>
          <w:sz w:val="28"/>
          <w:szCs w:val="28"/>
        </w:rPr>
      </w:pPr>
    </w:p>
    <w:p w14:paraId="0E13A09A">
      <w:pPr>
        <w:ind w:firstLine="640"/>
      </w:pPr>
    </w:p>
    <w:p w14:paraId="15F77BAA">
      <w:pPr>
        <w:ind w:firstLine="640"/>
      </w:pPr>
    </w:p>
    <w:p w14:paraId="5BCF9F46">
      <w:pPr>
        <w:ind w:firstLine="640"/>
      </w:pPr>
    </w:p>
    <w:p w14:paraId="0B64428C">
      <w:pPr>
        <w:ind w:firstLine="640"/>
      </w:pPr>
    </w:p>
    <w:p w14:paraId="56FDD9A5">
      <w:pPr>
        <w:ind w:firstLine="640"/>
      </w:pPr>
    </w:p>
    <w:p w14:paraId="368819F5">
      <w:pPr>
        <w:ind w:firstLine="640"/>
      </w:pPr>
    </w:p>
    <w:p w14:paraId="37BF1738">
      <w:pPr>
        <w:ind w:firstLine="640"/>
      </w:pPr>
    </w:p>
    <w:p w14:paraId="5F447097">
      <w:pPr>
        <w:ind w:firstLine="640"/>
      </w:pPr>
    </w:p>
    <w:p w14:paraId="10F18A0C">
      <w:pPr>
        <w:ind w:firstLine="640"/>
      </w:pPr>
    </w:p>
    <w:p w14:paraId="5E97E662">
      <w:pPr>
        <w:ind w:firstLine="640"/>
      </w:pPr>
    </w:p>
    <w:p w14:paraId="3D75C0E6">
      <w:pPr>
        <w:ind w:firstLine="640"/>
      </w:pPr>
    </w:p>
    <w:p w14:paraId="79F4FC17">
      <w:pPr>
        <w:ind w:firstLine="640"/>
      </w:pPr>
    </w:p>
    <w:p w14:paraId="0590B0DB">
      <w:pPr>
        <w:ind w:firstLine="640"/>
      </w:pPr>
    </w:p>
    <w:p w14:paraId="29EEB125">
      <w:pPr>
        <w:ind w:firstLine="640"/>
      </w:pPr>
    </w:p>
    <w:p w14:paraId="75A1D4DC">
      <w:pPr>
        <w:ind w:firstLine="640"/>
      </w:pPr>
    </w:p>
    <w:p w14:paraId="09CA5EAE">
      <w:pPr>
        <w:ind w:firstLine="640"/>
      </w:pPr>
    </w:p>
    <w:p w14:paraId="305ABF33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0C264E84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1B107D37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4152A84C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3675321E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7900E678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16B058FF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4FF37178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0BDDE62D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73EBCAF9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4A2ACA3D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069A60B2">
      <w:pPr>
        <w:spacing w:line="100" w:lineRule="exact"/>
        <w:ind w:firstLine="0" w:firstLineChars="0"/>
        <w:rPr>
          <w:rFonts w:eastAsia="黑体"/>
          <w:sz w:val="28"/>
          <w:szCs w:val="28"/>
        </w:rPr>
      </w:pPr>
    </w:p>
    <w:p w14:paraId="036E7D6E">
      <w:pPr>
        <w:spacing w:line="520" w:lineRule="exact"/>
        <w:ind w:firstLine="0" w:firstLineChars="0"/>
        <w:rPr>
          <w:szCs w:val="32"/>
        </w:rPr>
      </w:pPr>
      <w:r>
        <w:rPr>
          <w:rFonts w:eastAsia="黑体"/>
          <w:sz w:val="28"/>
          <w:szCs w:val="28"/>
        </w:rPr>
        <w:t>信息公开选项：</w:t>
      </w:r>
      <w:r>
        <w:rPr>
          <w:rFonts w:eastAsia="方正小标宋简体"/>
          <w:sz w:val="28"/>
          <w:szCs w:val="28"/>
        </w:rPr>
        <w:t>公开</w:t>
      </w:r>
    </w:p>
    <w:p w14:paraId="317D482A">
      <w:pPr>
        <w:spacing w:line="520" w:lineRule="exact"/>
        <w:ind w:firstLine="280" w:firstLineChars="100"/>
      </w:pPr>
      <w:r>
        <w:rPr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27305</wp:posOffset>
                </wp:positionV>
                <wp:extent cx="5615940" cy="0"/>
                <wp:effectExtent l="0" t="4445" r="0" b="5080"/>
                <wp:wrapNone/>
                <wp:docPr id="1" name="直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444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4" o:spid="_x0000_s1026" o:spt="20" style="position:absolute;left:0pt;margin-left:-0.3pt;margin-top:2.15pt;height:0pt;width:442.2pt;z-index:251659264;mso-width-relative:page;mso-height-relative:page;" filled="f" stroked="t" coordsize="21600,21600" o:gfxdata="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fnqFntUA&#10;AAAFAQAADwAAAAAAAAABACAAAAAiAAAAZHJzL2Rvd25yZXYueG1sUEsBAhQAFAAAAAgAh07iQES3&#10;JSHpAQAA3AMAAA4AAAAAAAAAAQAgAAAAJAEAAGRycy9lMm9Eb2MueG1sUEsFBgAAAAAGAAYAWQEA&#10;AH8FAAAAAA==&#10;">
                <v:fill on="f" focussize="0,0"/>
                <v:stroke weight="0.3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386715</wp:posOffset>
                </wp:positionV>
                <wp:extent cx="5615940" cy="0"/>
                <wp:effectExtent l="0" t="4445" r="0" b="5080"/>
                <wp:wrapNone/>
                <wp:docPr id="2" name="直线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444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5" o:spid="_x0000_s1026" o:spt="20" style="position:absolute;left:0pt;margin-left:0pt;margin-top:30.45pt;height:0pt;width:442.2pt;z-index:251660288;mso-width-relative:page;mso-height-relative:page;" filled="f" stroked="t" coordsize="21600,21600" o:gfxdata="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mGZvvW&#10;AAAABgEAAA8AAAAAAAAAAQAgAAAAIgAAAGRycy9kb3ducmV2LnhtbFBLAQIUABQAAAAIAIdO4kBy&#10;DUG16QEAANwDAAAOAAAAAAAAAAEAIAAAACUBAABkcnMvZTJvRG9jLnhtbFBLBQYAAAAABgAGAFkB&#10;AACABQAAAAA=&#10;">
                <v:fill on="f" focussize="0,0"/>
                <v:stroke weight="0.3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000000"/>
          <w:sz w:val="28"/>
          <w:szCs w:val="28"/>
        </w:rPr>
        <w:t>湖南省农业农村厅办公室                  2025年5月</w:t>
      </w:r>
      <w:r>
        <w:rPr>
          <w:rFonts w:hint="eastAsia"/>
          <w:color w:val="000000"/>
          <w:sz w:val="28"/>
          <w:szCs w:val="28"/>
        </w:rPr>
        <w:t>14</w:t>
      </w:r>
      <w:r>
        <w:rPr>
          <w:color w:val="000000"/>
          <w:sz w:val="28"/>
          <w:szCs w:val="28"/>
        </w:rPr>
        <w:t>日印发</w:t>
      </w:r>
    </w:p>
    <w:sectPr>
      <w:footerReference r:id="rId11" w:type="default"/>
      <w:footerReference r:id="rId12" w:type="even"/>
      <w:pgSz w:w="11906" w:h="16838"/>
      <w:pgMar w:top="2098" w:right="1474" w:bottom="1985" w:left="1588" w:header="851" w:footer="1588" w:gutter="0"/>
      <w:cols w:space="720" w:num="1"/>
      <w:docGrid w:linePitch="57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8EE698D-5816-4D4C-8578-8799212D30F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A2744E44-67D6-4BF6-AA3E-F0D504A9E40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D04E6B">
    <w:pPr>
      <w:pStyle w:val="11"/>
      <w:ind w:firstLine="560"/>
      <w:jc w:val="right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13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6F92E">
    <w:pPr>
      <w:pStyle w:val="11"/>
      <w:ind w:firstLine="0" w:firstLineChars="0"/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14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BE9ABC">
    <w:pPr>
      <w:pStyle w:val="11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C0E54A">
    <w:pPr>
      <w:pStyle w:val="11"/>
      <w:ind w:firstLine="560"/>
      <w:jc w:val="right"/>
      <w:rPr>
        <w:sz w:val="28"/>
        <w:szCs w:val="2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E2CAA"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463A1F">
    <w:pPr>
      <w:pStyle w:val="12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1A62FF">
    <w:pPr>
      <w:pStyle w:val="12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D4CAEA">
    <w:pPr>
      <w:pStyle w:val="12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markup="0"/>
  <w:documentProtection w:enforcement="0"/>
  <w:defaultTabStop w:val="420"/>
  <w:hyphenationZone w:val="360"/>
  <w:evenAndOddHeaders w:val="1"/>
  <w:drawingGridHorizontalSpacing w:val="160"/>
  <w:drawingGridVerticalSpacing w:val="579"/>
  <w:displayHorizontalDrawingGridEvery w:val="0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D1"/>
    <w:rsid w:val="00006C32"/>
    <w:rsid w:val="00007908"/>
    <w:rsid w:val="00007930"/>
    <w:rsid w:val="00015384"/>
    <w:rsid w:val="00026A2A"/>
    <w:rsid w:val="000357C4"/>
    <w:rsid w:val="00036F5F"/>
    <w:rsid w:val="00057849"/>
    <w:rsid w:val="0009001B"/>
    <w:rsid w:val="000A4161"/>
    <w:rsid w:val="000C0B9F"/>
    <w:rsid w:val="000D3ADA"/>
    <w:rsid w:val="000D7E84"/>
    <w:rsid w:val="000E2A6E"/>
    <w:rsid w:val="000F3A9C"/>
    <w:rsid w:val="000F65AD"/>
    <w:rsid w:val="000F75DA"/>
    <w:rsid w:val="00100547"/>
    <w:rsid w:val="00103846"/>
    <w:rsid w:val="00110E2F"/>
    <w:rsid w:val="0012569B"/>
    <w:rsid w:val="00135B52"/>
    <w:rsid w:val="00136317"/>
    <w:rsid w:val="00137536"/>
    <w:rsid w:val="001377BA"/>
    <w:rsid w:val="00141407"/>
    <w:rsid w:val="001434CB"/>
    <w:rsid w:val="00152CBC"/>
    <w:rsid w:val="00154AFE"/>
    <w:rsid w:val="0015554F"/>
    <w:rsid w:val="001631E3"/>
    <w:rsid w:val="001B01BD"/>
    <w:rsid w:val="001B5254"/>
    <w:rsid w:val="001D487E"/>
    <w:rsid w:val="001F128B"/>
    <w:rsid w:val="001F7324"/>
    <w:rsid w:val="001F7E44"/>
    <w:rsid w:val="0020637D"/>
    <w:rsid w:val="0022371B"/>
    <w:rsid w:val="0023391C"/>
    <w:rsid w:val="002375EC"/>
    <w:rsid w:val="0023788E"/>
    <w:rsid w:val="00237E8F"/>
    <w:rsid w:val="00251ED1"/>
    <w:rsid w:val="002743E6"/>
    <w:rsid w:val="00281594"/>
    <w:rsid w:val="0028258E"/>
    <w:rsid w:val="002873F4"/>
    <w:rsid w:val="002A0915"/>
    <w:rsid w:val="002C2BE9"/>
    <w:rsid w:val="002D5F5D"/>
    <w:rsid w:val="002E2656"/>
    <w:rsid w:val="003326BD"/>
    <w:rsid w:val="003356D6"/>
    <w:rsid w:val="0036402B"/>
    <w:rsid w:val="00366BAD"/>
    <w:rsid w:val="00376F4E"/>
    <w:rsid w:val="00380160"/>
    <w:rsid w:val="00383C45"/>
    <w:rsid w:val="00390B5C"/>
    <w:rsid w:val="003B61D2"/>
    <w:rsid w:val="003B6F33"/>
    <w:rsid w:val="003C2A71"/>
    <w:rsid w:val="003D1A2E"/>
    <w:rsid w:val="003D468E"/>
    <w:rsid w:val="003E6E7A"/>
    <w:rsid w:val="003F6AF4"/>
    <w:rsid w:val="00416403"/>
    <w:rsid w:val="0042011E"/>
    <w:rsid w:val="00433F75"/>
    <w:rsid w:val="00453CC2"/>
    <w:rsid w:val="00457133"/>
    <w:rsid w:val="00476AB4"/>
    <w:rsid w:val="0048169E"/>
    <w:rsid w:val="0048606E"/>
    <w:rsid w:val="00490C4F"/>
    <w:rsid w:val="004A4F35"/>
    <w:rsid w:val="004B4FE9"/>
    <w:rsid w:val="004C2184"/>
    <w:rsid w:val="004D0131"/>
    <w:rsid w:val="004E6FE0"/>
    <w:rsid w:val="004F36C2"/>
    <w:rsid w:val="0050070A"/>
    <w:rsid w:val="005023BE"/>
    <w:rsid w:val="005110C5"/>
    <w:rsid w:val="00527AFA"/>
    <w:rsid w:val="005406AF"/>
    <w:rsid w:val="00543109"/>
    <w:rsid w:val="005513D6"/>
    <w:rsid w:val="00574D30"/>
    <w:rsid w:val="005842A5"/>
    <w:rsid w:val="005B16E7"/>
    <w:rsid w:val="005B249C"/>
    <w:rsid w:val="005B2D51"/>
    <w:rsid w:val="005C00DA"/>
    <w:rsid w:val="005D697B"/>
    <w:rsid w:val="005E320E"/>
    <w:rsid w:val="005F3FF1"/>
    <w:rsid w:val="005F5909"/>
    <w:rsid w:val="00620A06"/>
    <w:rsid w:val="006225F3"/>
    <w:rsid w:val="00651BE5"/>
    <w:rsid w:val="006874D6"/>
    <w:rsid w:val="0069343F"/>
    <w:rsid w:val="00696FFA"/>
    <w:rsid w:val="006A58D5"/>
    <w:rsid w:val="006A5D35"/>
    <w:rsid w:val="006B2A1B"/>
    <w:rsid w:val="006C1E2E"/>
    <w:rsid w:val="006C4145"/>
    <w:rsid w:val="006D180D"/>
    <w:rsid w:val="006D3289"/>
    <w:rsid w:val="006E5060"/>
    <w:rsid w:val="006E5C7E"/>
    <w:rsid w:val="006F63B1"/>
    <w:rsid w:val="00702354"/>
    <w:rsid w:val="00706782"/>
    <w:rsid w:val="00711091"/>
    <w:rsid w:val="00721622"/>
    <w:rsid w:val="00725418"/>
    <w:rsid w:val="007328CB"/>
    <w:rsid w:val="00734BEF"/>
    <w:rsid w:val="0073790C"/>
    <w:rsid w:val="0075390B"/>
    <w:rsid w:val="00753FFD"/>
    <w:rsid w:val="007568E8"/>
    <w:rsid w:val="00756986"/>
    <w:rsid w:val="00770C9A"/>
    <w:rsid w:val="007759AD"/>
    <w:rsid w:val="007871E1"/>
    <w:rsid w:val="007934A6"/>
    <w:rsid w:val="007A4D76"/>
    <w:rsid w:val="007A5355"/>
    <w:rsid w:val="007B1497"/>
    <w:rsid w:val="007C7113"/>
    <w:rsid w:val="007D02AB"/>
    <w:rsid w:val="007D3A6D"/>
    <w:rsid w:val="007E39B1"/>
    <w:rsid w:val="007F19AC"/>
    <w:rsid w:val="0080406F"/>
    <w:rsid w:val="00812925"/>
    <w:rsid w:val="00820BE2"/>
    <w:rsid w:val="008213BF"/>
    <w:rsid w:val="00821DD4"/>
    <w:rsid w:val="00824B52"/>
    <w:rsid w:val="00835EA0"/>
    <w:rsid w:val="008413A8"/>
    <w:rsid w:val="008623AE"/>
    <w:rsid w:val="0087469D"/>
    <w:rsid w:val="008756A5"/>
    <w:rsid w:val="0088162C"/>
    <w:rsid w:val="00897B46"/>
    <w:rsid w:val="008A18F4"/>
    <w:rsid w:val="008B2EAC"/>
    <w:rsid w:val="008B6A32"/>
    <w:rsid w:val="008C17DA"/>
    <w:rsid w:val="008C36E9"/>
    <w:rsid w:val="008C619D"/>
    <w:rsid w:val="008D0FC0"/>
    <w:rsid w:val="008D32D2"/>
    <w:rsid w:val="008D418C"/>
    <w:rsid w:val="008E7182"/>
    <w:rsid w:val="008F579D"/>
    <w:rsid w:val="00901CF8"/>
    <w:rsid w:val="00920DD7"/>
    <w:rsid w:val="00977FED"/>
    <w:rsid w:val="009935AF"/>
    <w:rsid w:val="009935C7"/>
    <w:rsid w:val="009A6FFC"/>
    <w:rsid w:val="009E07E8"/>
    <w:rsid w:val="009F168E"/>
    <w:rsid w:val="009F1928"/>
    <w:rsid w:val="00A01C13"/>
    <w:rsid w:val="00A06FBD"/>
    <w:rsid w:val="00A23531"/>
    <w:rsid w:val="00A31182"/>
    <w:rsid w:val="00A6012A"/>
    <w:rsid w:val="00A67F3B"/>
    <w:rsid w:val="00A70CA8"/>
    <w:rsid w:val="00A826EB"/>
    <w:rsid w:val="00A92460"/>
    <w:rsid w:val="00AC54F9"/>
    <w:rsid w:val="00AD3EE8"/>
    <w:rsid w:val="00AD4BBF"/>
    <w:rsid w:val="00AE253A"/>
    <w:rsid w:val="00B02E3A"/>
    <w:rsid w:val="00B0529F"/>
    <w:rsid w:val="00B10150"/>
    <w:rsid w:val="00B11137"/>
    <w:rsid w:val="00B139AA"/>
    <w:rsid w:val="00B142D4"/>
    <w:rsid w:val="00B23AFB"/>
    <w:rsid w:val="00B23B84"/>
    <w:rsid w:val="00B32D4B"/>
    <w:rsid w:val="00B37628"/>
    <w:rsid w:val="00B45824"/>
    <w:rsid w:val="00B45DEE"/>
    <w:rsid w:val="00B51627"/>
    <w:rsid w:val="00B54BBB"/>
    <w:rsid w:val="00B700E5"/>
    <w:rsid w:val="00B76D1A"/>
    <w:rsid w:val="00B8517D"/>
    <w:rsid w:val="00BA0EB5"/>
    <w:rsid w:val="00BA1694"/>
    <w:rsid w:val="00BA7C79"/>
    <w:rsid w:val="00BB1ABF"/>
    <w:rsid w:val="00BB3912"/>
    <w:rsid w:val="00BB3DE4"/>
    <w:rsid w:val="00BB65B3"/>
    <w:rsid w:val="00BD741D"/>
    <w:rsid w:val="00BE376F"/>
    <w:rsid w:val="00BF022D"/>
    <w:rsid w:val="00C05AAA"/>
    <w:rsid w:val="00C07722"/>
    <w:rsid w:val="00C2394D"/>
    <w:rsid w:val="00C26A71"/>
    <w:rsid w:val="00C304B0"/>
    <w:rsid w:val="00C4632B"/>
    <w:rsid w:val="00C66523"/>
    <w:rsid w:val="00C73CAE"/>
    <w:rsid w:val="00C86A8F"/>
    <w:rsid w:val="00C975DF"/>
    <w:rsid w:val="00CA54C3"/>
    <w:rsid w:val="00CC2C40"/>
    <w:rsid w:val="00CC6D71"/>
    <w:rsid w:val="00CD10A8"/>
    <w:rsid w:val="00CD47FD"/>
    <w:rsid w:val="00CE702C"/>
    <w:rsid w:val="00D20223"/>
    <w:rsid w:val="00D258C0"/>
    <w:rsid w:val="00D30ED8"/>
    <w:rsid w:val="00D46088"/>
    <w:rsid w:val="00D91440"/>
    <w:rsid w:val="00D92ECD"/>
    <w:rsid w:val="00DA0A3D"/>
    <w:rsid w:val="00DB1D7E"/>
    <w:rsid w:val="00DB20E7"/>
    <w:rsid w:val="00DB4ABF"/>
    <w:rsid w:val="00DC36B6"/>
    <w:rsid w:val="00DC37CA"/>
    <w:rsid w:val="00DD3AB8"/>
    <w:rsid w:val="00DE0051"/>
    <w:rsid w:val="00DE4A7A"/>
    <w:rsid w:val="00DF0156"/>
    <w:rsid w:val="00DF1B80"/>
    <w:rsid w:val="00E00497"/>
    <w:rsid w:val="00E0239F"/>
    <w:rsid w:val="00E1324C"/>
    <w:rsid w:val="00E3159F"/>
    <w:rsid w:val="00E35410"/>
    <w:rsid w:val="00E373AB"/>
    <w:rsid w:val="00E6368A"/>
    <w:rsid w:val="00E67FF3"/>
    <w:rsid w:val="00E73AEB"/>
    <w:rsid w:val="00E80EB8"/>
    <w:rsid w:val="00E922AC"/>
    <w:rsid w:val="00E95FB7"/>
    <w:rsid w:val="00EB13FB"/>
    <w:rsid w:val="00EB73DF"/>
    <w:rsid w:val="00EC7DD2"/>
    <w:rsid w:val="00ED4B84"/>
    <w:rsid w:val="00EF3047"/>
    <w:rsid w:val="00EF36D4"/>
    <w:rsid w:val="00F0471F"/>
    <w:rsid w:val="00F143F0"/>
    <w:rsid w:val="00F450ED"/>
    <w:rsid w:val="00F509BB"/>
    <w:rsid w:val="00F567D6"/>
    <w:rsid w:val="00F75FD2"/>
    <w:rsid w:val="00F8471D"/>
    <w:rsid w:val="00F933B7"/>
    <w:rsid w:val="00F93740"/>
    <w:rsid w:val="00F97870"/>
    <w:rsid w:val="00FB550D"/>
    <w:rsid w:val="00FC4DD3"/>
    <w:rsid w:val="00FE430D"/>
    <w:rsid w:val="00FE71C3"/>
    <w:rsid w:val="00FF1E10"/>
    <w:rsid w:val="00FF5905"/>
    <w:rsid w:val="089B73B8"/>
    <w:rsid w:val="4FE917A0"/>
    <w:rsid w:val="5B7700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700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0"/>
    <w:pPr>
      <w:keepNext/>
      <w:keepLines/>
      <w:ind w:firstLine="200" w:firstLineChars="200"/>
      <w:outlineLvl w:val="1"/>
    </w:pPr>
    <w:rPr>
      <w:rFonts w:eastAsia="黑体"/>
      <w:bCs/>
      <w:szCs w:val="32"/>
    </w:rPr>
  </w:style>
  <w:style w:type="paragraph" w:styleId="4">
    <w:name w:val="heading 3"/>
    <w:basedOn w:val="1"/>
    <w:next w:val="1"/>
    <w:link w:val="21"/>
    <w:qFormat/>
    <w:uiPriority w:val="0"/>
    <w:pPr>
      <w:keepNext/>
      <w:keepLines/>
      <w:outlineLvl w:val="2"/>
    </w:pPr>
    <w:rPr>
      <w:rFonts w:eastAsia="楷体_GB2312"/>
      <w:b/>
      <w:bCs/>
      <w:szCs w:val="32"/>
    </w:rPr>
  </w:style>
  <w:style w:type="paragraph" w:styleId="5">
    <w:name w:val="heading 4"/>
    <w:basedOn w:val="1"/>
    <w:next w:val="1"/>
    <w:link w:val="22"/>
    <w:qFormat/>
    <w:uiPriority w:val="0"/>
    <w:pPr>
      <w:outlineLvl w:val="3"/>
    </w:pPr>
    <w:rPr>
      <w:bCs/>
      <w:szCs w:val="28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3"/>
    <w:basedOn w:val="1"/>
    <w:uiPriority w:val="0"/>
    <w:pPr>
      <w:spacing w:after="120"/>
    </w:pPr>
    <w:rPr>
      <w:sz w:val="16"/>
      <w:szCs w:val="16"/>
    </w:rPr>
  </w:style>
  <w:style w:type="paragraph" w:styleId="7">
    <w:name w:val="Body Text"/>
    <w:basedOn w:val="1"/>
    <w:link w:val="23"/>
    <w:qFormat/>
    <w:uiPriority w:val="0"/>
    <w:pPr>
      <w:adjustRightInd/>
      <w:snapToGrid/>
      <w:spacing w:after="120" w:line="240" w:lineRule="auto"/>
      <w:ind w:firstLine="0" w:firstLineChars="0"/>
    </w:pPr>
    <w:rPr>
      <w:rFonts w:ascii="Calibri" w:hAnsi="Calibri" w:eastAsia="宋体"/>
      <w:sz w:val="21"/>
    </w:rPr>
  </w:style>
  <w:style w:type="paragraph" w:styleId="8">
    <w:name w:val="Date"/>
    <w:basedOn w:val="1"/>
    <w:next w:val="1"/>
    <w:uiPriority w:val="0"/>
    <w:pPr>
      <w:ind w:left="100" w:leftChars="2500"/>
    </w:pPr>
  </w:style>
  <w:style w:type="paragraph" w:styleId="9">
    <w:name w:val="Body Text Indent 2"/>
    <w:basedOn w:val="1"/>
    <w:uiPriority w:val="0"/>
    <w:pPr>
      <w:adjustRightInd/>
      <w:snapToGrid/>
      <w:spacing w:line="240" w:lineRule="auto"/>
      <w:ind w:firstLine="420"/>
    </w:pPr>
    <w:rPr>
      <w:rFonts w:ascii="仿宋_GB2312"/>
      <w:color w:val="FF6600"/>
      <w:sz w:val="21"/>
    </w:rPr>
  </w:style>
  <w:style w:type="paragraph" w:styleId="10">
    <w:name w:val="Balloon Text"/>
    <w:basedOn w:val="1"/>
    <w:link w:val="24"/>
    <w:uiPriority w:val="0"/>
    <w:pPr>
      <w:adjustRightInd/>
      <w:snapToGrid/>
      <w:spacing w:line="240" w:lineRule="auto"/>
      <w:ind w:firstLine="0" w:firstLineChars="0"/>
    </w:pPr>
    <w:rPr>
      <w:rFonts w:eastAsia="宋体"/>
      <w:sz w:val="18"/>
      <w:szCs w:val="18"/>
    </w:rPr>
  </w:style>
  <w:style w:type="paragraph" w:styleId="11">
    <w:name w:val="footer"/>
    <w:basedOn w:val="1"/>
    <w:link w:val="25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2">
    <w:name w:val="header"/>
    <w:basedOn w:val="1"/>
    <w:link w:val="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3">
    <w:name w:val="Normal (Web)"/>
    <w:basedOn w:val="1"/>
    <w:uiPriority w:val="0"/>
    <w:pPr>
      <w:adjustRightInd/>
      <w:snapToGrid/>
      <w:spacing w:before="100" w:beforeAutospacing="1" w:after="100" w:afterAutospacing="1" w:line="240" w:lineRule="auto"/>
      <w:ind w:firstLine="0" w:firstLineChars="0"/>
      <w:jc w:val="left"/>
    </w:pPr>
    <w:rPr>
      <w:rFonts w:ascii="Calibri" w:hAnsi="Calibri" w:eastAsia="宋体"/>
      <w:kern w:val="0"/>
      <w:sz w:val="24"/>
    </w:rPr>
  </w:style>
  <w:style w:type="paragraph" w:styleId="14">
    <w:name w:val="Body Text First Indent"/>
    <w:basedOn w:val="7"/>
    <w:link w:val="27"/>
    <w:qFormat/>
    <w:uiPriority w:val="0"/>
    <w:pPr>
      <w:ind w:firstLine="880" w:firstLineChars="200"/>
    </w:pPr>
  </w:style>
  <w:style w:type="table" w:styleId="16">
    <w:name w:val="Table Grid"/>
    <w:basedOn w:val="15"/>
    <w:qFormat/>
    <w:uiPriority w:val="0"/>
    <w:pPr>
      <w:widowControl w:val="0"/>
      <w:adjustRightInd w:val="0"/>
      <w:snapToGrid w:val="0"/>
      <w:spacing w:line="590" w:lineRule="atLeast"/>
      <w:ind w:firstLine="200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character" w:styleId="19">
    <w:name w:val="Hyperlink"/>
    <w:unhideWhenUsed/>
    <w:qFormat/>
    <w:uiPriority w:val="99"/>
    <w:rPr>
      <w:color w:val="0000FF"/>
      <w:u w:val="single"/>
    </w:rPr>
  </w:style>
  <w:style w:type="character" w:customStyle="1" w:styleId="20">
    <w:name w:val="标题 2 Char"/>
    <w:link w:val="3"/>
    <w:qFormat/>
    <w:uiPriority w:val="9"/>
    <w:rPr>
      <w:rFonts w:eastAsia="黑体"/>
      <w:bCs/>
      <w:kern w:val="2"/>
      <w:sz w:val="32"/>
      <w:szCs w:val="32"/>
      <w:lang w:val="en-US" w:eastAsia="zh-CN" w:bidi="ar-SA"/>
    </w:rPr>
  </w:style>
  <w:style w:type="character" w:customStyle="1" w:styleId="21">
    <w:name w:val="标题 3 Char"/>
    <w:link w:val="4"/>
    <w:qFormat/>
    <w:uiPriority w:val="9"/>
    <w:rPr>
      <w:rFonts w:eastAsia="楷体_GB2312"/>
      <w:b/>
      <w:bCs/>
      <w:kern w:val="2"/>
      <w:sz w:val="32"/>
      <w:szCs w:val="32"/>
      <w:lang w:val="en-US" w:eastAsia="zh-CN" w:bidi="ar-SA"/>
    </w:rPr>
  </w:style>
  <w:style w:type="character" w:customStyle="1" w:styleId="22">
    <w:name w:val="标题 4 Char"/>
    <w:link w:val="5"/>
    <w:qFormat/>
    <w:uiPriority w:val="0"/>
    <w:rPr>
      <w:rFonts w:eastAsia="仿宋_GB2312"/>
      <w:bCs/>
      <w:kern w:val="2"/>
      <w:sz w:val="32"/>
      <w:szCs w:val="28"/>
      <w:lang w:val="en-US" w:eastAsia="zh-CN" w:bidi="ar-SA"/>
    </w:rPr>
  </w:style>
  <w:style w:type="character" w:customStyle="1" w:styleId="23">
    <w:name w:val="正文文本 Char"/>
    <w:link w:val="7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4">
    <w:name w:val="批注框文本 Char"/>
    <w:link w:val="10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5">
    <w:name w:val="页脚 Char"/>
    <w:link w:val="11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6">
    <w:name w:val="页眉 Char"/>
    <w:link w:val="12"/>
    <w:qFormat/>
    <w:uiPriority w:val="0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27">
    <w:name w:val="正文首行缩进 Char"/>
    <w:basedOn w:val="23"/>
    <w:link w:val="14"/>
    <w:qFormat/>
    <w:uiPriority w:val="0"/>
  </w:style>
  <w:style w:type="paragraph" w:customStyle="1" w:styleId="28">
    <w:name w:val="样式1"/>
    <w:basedOn w:val="2"/>
    <w:next w:val="1"/>
    <w:qFormat/>
    <w:uiPriority w:val="0"/>
    <w:pPr>
      <w:adjustRightInd/>
      <w:snapToGrid/>
      <w:spacing w:before="340" w:after="100" w:afterLines="100" w:line="660" w:lineRule="exact"/>
    </w:pPr>
    <w:rPr>
      <w:rFonts w:ascii="Calibri" w:hAnsi="Calibri"/>
      <w:bCs w:val="0"/>
      <w:szCs w:val="24"/>
    </w:rPr>
  </w:style>
  <w:style w:type="paragraph" w:customStyle="1" w:styleId="29">
    <w:name w:val="表头"/>
    <w:basedOn w:val="1"/>
    <w:qFormat/>
    <w:uiPriority w:val="0"/>
    <w:pPr>
      <w:spacing w:before="80" w:after="80" w:line="280" w:lineRule="atLeast"/>
      <w:ind w:firstLine="0" w:firstLineChars="0"/>
      <w:jc w:val="center"/>
    </w:pPr>
    <w:rPr>
      <w:rFonts w:eastAsia="黑体" w:cs="宋体"/>
      <w:sz w:val="24"/>
    </w:rPr>
  </w:style>
  <w:style w:type="paragraph" w:customStyle="1" w:styleId="30">
    <w:name w:val="表内文字"/>
    <w:basedOn w:val="1"/>
    <w:qFormat/>
    <w:uiPriority w:val="0"/>
    <w:pPr>
      <w:spacing w:before="60" w:after="60" w:line="280" w:lineRule="atLeast"/>
      <w:ind w:firstLine="0" w:firstLineChars="0"/>
    </w:pPr>
    <w:rPr>
      <w:sz w:val="24"/>
    </w:rPr>
  </w:style>
  <w:style w:type="paragraph" w:customStyle="1" w:styleId="31">
    <w:name w:val="p0"/>
    <w:basedOn w:val="1"/>
    <w:qFormat/>
    <w:uiPriority w:val="0"/>
    <w:pPr>
      <w:widowControl/>
      <w:adjustRightInd/>
      <w:snapToGrid/>
      <w:spacing w:line="240" w:lineRule="auto"/>
      <w:ind w:firstLine="0" w:firstLineChars="0"/>
    </w:pPr>
    <w:rPr>
      <w:rFonts w:eastAsia="宋体"/>
      <w:kern w:val="0"/>
      <w:sz w:val="21"/>
      <w:szCs w:val="21"/>
    </w:rPr>
  </w:style>
  <w:style w:type="paragraph" w:customStyle="1" w:styleId="32">
    <w:name w:val="List Paragraph"/>
    <w:basedOn w:val="1"/>
    <w:qFormat/>
    <w:uiPriority w:val="0"/>
    <w:pPr>
      <w:adjustRightInd/>
      <w:snapToGrid/>
      <w:spacing w:line="240" w:lineRule="auto"/>
      <w:ind w:firstLine="420"/>
    </w:pPr>
    <w:rPr>
      <w:rFonts w:ascii="Calibri" w:hAnsi="Calibri" w:eastAsia="宋体"/>
      <w:sz w:val="21"/>
      <w:szCs w:val="21"/>
    </w:rPr>
  </w:style>
  <w:style w:type="character" w:customStyle="1" w:styleId="33">
    <w:name w:val="15"/>
    <w:qFormat/>
    <w:uiPriority w:val="0"/>
    <w:rPr>
      <w:rFonts w:hint="default" w:ascii="Times New Roman" w:hAnsi="Times New Roman" w:cs="Times New Roman"/>
      <w:b/>
      <w:bCs/>
    </w:rPr>
  </w:style>
  <w:style w:type="character" w:customStyle="1" w:styleId="34">
    <w:name w:val="16"/>
    <w:qFormat/>
    <w:uiPriority w:val="0"/>
    <w:rPr>
      <w:rFonts w:hint="default" w:ascii="Times New Roman" w:hAnsi="Times New Roman" w:cs="Times New Roman"/>
      <w:b/>
      <w:bCs/>
    </w:rPr>
  </w:style>
  <w:style w:type="character" w:customStyle="1" w:styleId="35">
    <w:name w:val="标题 4 Char1"/>
    <w:qFormat/>
    <w:locked/>
    <w:uiPriority w:val="0"/>
    <w:rPr>
      <w:rFonts w:eastAsia="仿宋_GB2312"/>
      <w:bCs/>
      <w:kern w:val="2"/>
      <w:sz w:val="32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15</Pages>
  <Words>4347</Words>
  <Characters>5711</Characters>
  <Lines>49</Lines>
  <Paragraphs>13</Paragraphs>
  <TotalTime>3</TotalTime>
  <ScaleCrop>false</ScaleCrop>
  <LinksUpToDate>false</LinksUpToDate>
  <CharactersWithSpaces>5767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2018-01-30T08:22:00Z</dcterms:created>
  <dc:creator>walkinnet</dc:creator>
  <cp:lastModifiedBy>Rocy</cp:lastModifiedBy>
  <cp:lastPrinted>2025-05-14T02:28:00Z</cp:lastPrinted>
  <dcterms:modified xsi:type="dcterms:W3CDTF">2025-05-15T01:33:51Z</dcterms:modified>
  <dc:title>湘农业函〔2014〕  号</dc:title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eyJoZGlkIjoiYjY3ZGExZjYwMTI4YmMyMDhjZTQxZmYxZDI0ZTcyMmYiLCJ1c2VySWQiOiIzNzEwMTY1OTEifQ==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DC277AB44DC940F58FC7A649705B08C8_13</vt:lpwstr>
  </property>
</Properties>
</file>