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600" w:lineRule="exact"/>
        <w:jc w:val="center"/>
        <w:textAlignment w:val="auto"/>
        <w:rPr>
          <w:rFonts w:hint="eastAsia" w:ascii="Times New Roman" w:hAnsi="Times New Roman" w:eastAsia="方正小标宋简体" w:cs="Times New Roman"/>
          <w:color w:val="000000"/>
          <w:sz w:val="44"/>
          <w:szCs w:val="44"/>
          <w:lang w:val="en-US" w:eastAsia="zh-CN"/>
        </w:rPr>
      </w:pPr>
      <w:r>
        <w:rPr>
          <w:rFonts w:hint="eastAsia" w:ascii="Times New Roman" w:hAnsi="Times New Roman" w:eastAsia="方正小标宋简体" w:cs="Times New Roman"/>
          <w:color w:val="000000"/>
          <w:sz w:val="44"/>
          <w:szCs w:val="44"/>
          <w:lang w:val="en-US" w:eastAsia="zh-CN"/>
        </w:rPr>
        <w:t>长沙市望城区农业农村局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工作总结和计划</w:t>
      </w:r>
    </w:p>
    <w:p>
      <w:pPr>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楷体_GB2312" w:hAnsi="楷体_GB2312" w:eastAsia="楷体_GB2312" w:cs="楷体_GB2312"/>
          <w:b/>
          <w:bCs/>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方正小标宋简体"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Times New Roman" w:hAnsi="Times New Roman" w:eastAsia="黑体"/>
          <w:color w:val="000000" w:themeColor="text1"/>
          <w:sz w:val="32"/>
          <w:szCs w:val="32"/>
          <w:lang w:eastAsia="zh-CN"/>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一、</w:t>
      </w:r>
      <w:r>
        <w:rPr>
          <w:rFonts w:hint="eastAsia" w:ascii="Times New Roman" w:hAnsi="Times New Roman" w:eastAsia="黑体"/>
          <w:color w:val="000000" w:themeColor="text1"/>
          <w:sz w:val="32"/>
          <w:szCs w:val="32"/>
          <w:lang w:eastAsia="zh-CN"/>
          <w14:textFill>
            <w14:solidFill>
              <w14:schemeClr w14:val="tx1"/>
            </w14:solidFill>
          </w14:textFill>
        </w:rPr>
        <w:t>工作总结</w:t>
      </w:r>
    </w:p>
    <w:p>
      <w:pPr>
        <w:keepNext w:val="0"/>
        <w:keepLines w:val="0"/>
        <w:pageBreakBefore w:val="0"/>
        <w:widowControl w:val="0"/>
        <w:kinsoku/>
        <w:wordWrap/>
        <w:overflowPunct/>
        <w:topLinePunct w:val="0"/>
        <w:autoSpaceDE/>
        <w:autoSpaceDN/>
        <w:bidi w:val="0"/>
        <w:adjustRightInd/>
        <w:snapToGrid/>
        <w:spacing w:line="600" w:lineRule="atLeast"/>
        <w:ind w:firstLine="643" w:firstLineChars="200"/>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（一）脱贫攻坚工作</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强化资金保障，</w:t>
      </w:r>
      <w:r>
        <w:rPr>
          <w:rFonts w:hint="eastAsia" w:ascii="仿宋_GB2312" w:hAnsi="仿宋_GB2312" w:eastAsia="仿宋_GB2312" w:cs="仿宋_GB2312"/>
          <w:color w:val="000000" w:themeColor="text1"/>
          <w:kern w:val="0"/>
          <w:sz w:val="32"/>
          <w:szCs w:val="32"/>
          <w14:textFill>
            <w14:solidFill>
              <w14:schemeClr w14:val="tx1"/>
            </w14:solidFill>
          </w14:textFill>
        </w:rPr>
        <w:t>每年安排扶贫预算资金2000万元</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累计投入扶贫资金12.46亿元</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bCs/>
          <w:color w:val="000000" w:themeColor="text1"/>
          <w:sz w:val="32"/>
          <w:szCs w:val="32"/>
          <w14:textFill>
            <w14:solidFill>
              <w14:schemeClr w14:val="tx1"/>
            </w14:solidFill>
          </w14:textFill>
        </w:rPr>
        <w:t>派出</w:t>
      </w:r>
      <w:r>
        <w:rPr>
          <w:rFonts w:hint="eastAsia" w:ascii="仿宋_GB2312" w:hAnsi="仿宋_GB2312" w:eastAsia="仿宋_GB2312" w:cs="仿宋_GB2312"/>
          <w:color w:val="000000" w:themeColor="text1"/>
          <w:kern w:val="0"/>
          <w:sz w:val="32"/>
          <w:szCs w:val="32"/>
          <w14:textFill>
            <w14:solidFill>
              <w14:schemeClr w14:val="tx1"/>
            </w14:solidFill>
          </w14:textFill>
        </w:rPr>
        <w:t>98个区直联点帮扶单位，108个驻村工作队、198名队员，安排4215名结对帮扶干部，低保人均救助水平由183元/月提高至426元/月。</w:t>
      </w:r>
      <w:r>
        <w:rPr>
          <w:rFonts w:hint="eastAsia" w:ascii="仿宋_GB2312" w:hAnsi="仿宋_GB2312" w:eastAsia="仿宋_GB2312" w:cs="仿宋_GB2312"/>
          <w:color w:val="000000" w:themeColor="text1"/>
          <w:sz w:val="32"/>
          <w:szCs w:val="32"/>
          <w14:textFill>
            <w14:solidFill>
              <w14:schemeClr w14:val="tx1"/>
            </w14:solidFill>
          </w14:textFill>
        </w:rPr>
        <w:t>全区8个贫困村全部出列，5475户16239名贫困人口全部脱贫，2019年农村居民人均可支配收入达35106元，位居全省第一。</w:t>
      </w:r>
      <w:r>
        <w:rPr>
          <w:rFonts w:hint="eastAsia" w:ascii="仿宋_GB2312" w:hAnsi="仿宋_GB2312" w:eastAsia="仿宋_GB2312" w:cs="仿宋_GB2312"/>
          <w:color w:val="000000" w:themeColor="text1"/>
          <w:kern w:val="0"/>
          <w:sz w:val="32"/>
          <w:szCs w:val="32"/>
          <w14:textFill>
            <w14:solidFill>
              <w14:schemeClr w14:val="tx1"/>
            </w14:solidFill>
          </w14:textFill>
        </w:rPr>
        <w:t>派出两支工作队，投入资金8000余万元，帮助龙山县洗车河镇、农车镇全面脱贫摘帽。</w:t>
      </w:r>
      <w:r>
        <w:rPr>
          <w:rFonts w:hint="eastAsia" w:ascii="仿宋_GB2312" w:hAnsi="仿宋_GB2312" w:eastAsia="仿宋_GB2312" w:cs="仿宋_GB2312"/>
          <w:color w:val="000000" w:themeColor="text1"/>
          <w:sz w:val="32"/>
          <w:szCs w:val="32"/>
          <w14:textFill>
            <w14:solidFill>
              <w14:schemeClr w14:val="tx1"/>
            </w14:solidFill>
          </w14:textFill>
        </w:rPr>
        <w:t>望城先后获评湖南省脱贫攻坚先进县、湖南省“互联网+”社会扶贫工作先进单位。</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1.</w:t>
      </w:r>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坚持综合施策，克服疫情影响。</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实施122个</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产业扶贫</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项目，投入2240万元，帮扶5220户贫困户，产业扶贫覆盖95%以上的贫困户，户均增收3000元以上。全面开展返乡回流人员帮扶行动，率先全国开通</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返岗爱心大巴</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专车，</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门对门</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跟车接回</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2457</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名员工返岗，转移就业</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4517</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人。建成就业扶贫车间</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38</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家，吸纳贫困劳动力</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400</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余人。区财政安排</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1</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万元</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人</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年的补贴，打造</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15</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分钟就业服务圈，安排</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254</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个公益性岗位。有就业意愿未就业的贫困劳动力实现动态清零。共兑现就业扶贫交通补贴</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66.44</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万元，发放就业扶贫岗位补贴</w:t>
      </w:r>
      <w:r>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t>166.95</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万元。</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紧盯目标任务，推进重点工作。</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扎实推进“五个一批”重点工作。完成危房改造245户，教育扶贫资助12897人次1559万元，健康扶贫“一站式”结算贫困人口住院达13742人次，住院费用综合报销比例达89%。疫情期间发放城乡特殊困难对象慰问帮扶资金320万元，低保救助金2000万元，特困供养金1004万元，残疾人两项补贴492万元。</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强化省会担当，落实协作任务。</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落实对口帮扶龙山县洗车河镇、农车镇资金2000余万元，实施项目30余个，有力加速了当地全面建成小康社会步伐。</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（二）乡村振兴工作</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0"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color w:val="000000" w:themeColor="text1"/>
          <w:szCs w:val="32"/>
          <w:lang w:val="en-US" w:eastAsia="zh-CN"/>
          <w14:textFill>
            <w14:solidFill>
              <w14:schemeClr w14:val="tx1"/>
            </w14:solidFill>
          </w14:textFill>
        </w:rPr>
        <w:t>2018年以来，坚持把农村人居环境整治作为实施乡村振兴战略的第一仗，突出打好治厕、治垃圾、治水、治房、治风等农村“五治”组合拳，扎实开展村庄清洁行动，在区委、区政府坚强领导下，在全区各部门齐心协力下，全区农村人居环境整治工作取得阶段性成效，农村人居环境整体水平得到大幅提升，农民群众的获得感幸福感不断增强，被省委农村工作领导小组授予“2019年度农村人居环境整治先进区县市”称号。</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1.治厕。</w:t>
      </w:r>
      <w:r>
        <w:rPr>
          <w:rFonts w:hint="eastAsia" w:ascii="仿宋_GB2312" w:hAnsi="仿宋_GB2312" w:eastAsia="仿宋_GB2312" w:cs="仿宋_GB2312"/>
          <w:color w:val="000000" w:themeColor="text1"/>
          <w:szCs w:val="32"/>
          <w:lang w:val="en-US" w:eastAsia="zh-CN"/>
          <w14:textFill>
            <w14:solidFill>
              <w14:schemeClr w14:val="tx1"/>
            </w14:solidFill>
          </w14:textFill>
        </w:rPr>
        <w:t>2018-2020年全区完成无害化厕所改造38509座，全区无害化厕所普及率已超过95%（2020年市定农村改厕任务12000座，我区计划完成15000座新（改）建任务，目前已完成改厕12271座）。</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2.治垃圾。</w:t>
      </w:r>
      <w:r>
        <w:rPr>
          <w:rFonts w:hint="eastAsia" w:ascii="仿宋_GB2312" w:hAnsi="仿宋_GB2312" w:eastAsia="仿宋_GB2312" w:cs="仿宋_GB2312"/>
          <w:color w:val="000000" w:themeColor="text1"/>
          <w:szCs w:val="32"/>
          <w:lang w:val="en-US" w:eastAsia="zh-CN"/>
          <w14:textFill>
            <w14:solidFill>
              <w14:schemeClr w14:val="tx1"/>
            </w14:solidFill>
          </w14:textFill>
        </w:rPr>
        <w:t>全区各街镇都建立了生活垃圾转运站，各村（社）建成了镇级垃圾分类总站和村分拣中心，共有市级垃圾分类示范村84个，2020年新创建21个市级垃圾分类减量村，年底将实现市级垃圾分类减量示范村全覆盖，农村区域分类减量覆盖率达到100%。2019年4月，省委办公厅对望城推进垃圾分类减量的创新探索在全省进行了工作情况交流;2019年9月29日《湖南日报》以“推进垃圾分类减量，扮靓城市一街一角”为标题，整版推介垃圾分类“望城模式”。</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3.治水。</w:t>
      </w:r>
      <w:r>
        <w:rPr>
          <w:rFonts w:hint="eastAsia" w:ascii="仿宋_GB2312" w:hAnsi="仿宋_GB2312" w:eastAsia="仿宋_GB2312" w:cs="仿宋_GB2312"/>
          <w:color w:val="000000" w:themeColor="text1"/>
          <w:szCs w:val="32"/>
          <w:lang w:val="en-US" w:eastAsia="zh-CN"/>
          <w14:textFill>
            <w14:solidFill>
              <w14:schemeClr w14:val="tx1"/>
            </w14:solidFill>
          </w14:textFill>
        </w:rPr>
        <w:t>大力推广“三池一地”农村散户生活污水处理模式，2019年完成20个村农村生活污水治理试点建设任务，2020年开展17个村农村散户生活污水治理项目已完成12个，预计12月底全部完成验收。2019年，创建了湘江村等4个市级小微水体管护示范片区，2020年继续高标准创建月圆村等4处示范片区以及八曲河、马桥河两条美丽河流，目前已完成验收。积极推进乡镇污水管网建设，2019年完成乡镇污水配套管网建设20公里以及分散式污水处理设施2座，2020年完成乡镇污水配套管网建设任务15公里。</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4.治房</w:t>
      </w:r>
      <w:r>
        <w:rPr>
          <w:rFonts w:hint="eastAsia" w:ascii="仿宋_GB2312" w:hAnsi="仿宋_GB2312" w:eastAsia="仿宋_GB2312" w:cs="仿宋_GB2312"/>
          <w:color w:val="000000" w:themeColor="text1"/>
          <w:szCs w:val="32"/>
          <w:lang w:val="en-US" w:eastAsia="zh-CN"/>
          <w14:textFill>
            <w14:solidFill>
              <w14:schemeClr w14:val="tx1"/>
            </w14:solidFill>
          </w14:textFill>
        </w:rPr>
        <w:t>。积极推进乡村规划编制，《望城区村庄规划分类和布局规划》（2019—2025）已由区人民政府于2020年1月13日批复。全面启动经区政府认定的城镇开发边界外的76个村的“多规合一”村庄规划编制。切实加强农村建房管理，出台《长沙市望城区个人建房管理办法》，深入推进“空心房”整治工作，结合城乡建设用地增减挂钩政策，着力解决农村房屋“一户多宅”“空心房”等问题，推动土地资源高效集约使用，2019年拆除“空心房”1146栋。</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5.治风。</w:t>
      </w:r>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开展</w:t>
      </w:r>
      <w:r>
        <w:rPr>
          <w:rFonts w:hint="eastAsia" w:ascii="仿宋_GB2312" w:hAnsi="仿宋_GB2312" w:eastAsia="仿宋_GB2312" w:cs="仿宋_GB2312"/>
          <w:color w:val="000000" w:themeColor="text1"/>
          <w:szCs w:val="32"/>
          <w:lang w:val="en-US" w:eastAsia="zh-CN"/>
          <w14:textFill>
            <w14:solidFill>
              <w14:schemeClr w14:val="tx1"/>
            </w14:solidFill>
          </w14:textFill>
        </w:rPr>
        <w:t>“整治婚丧陋习 推进移风易俗”活动，以乡风文明建设助推乡村全面振兴。全区110个涉农村（社）已全部建立红白理事会，推动社会风气发生显著变化。持续开展“学雷锋先进个人”“身边雷锋·望城好人”“文明市民”“文明经营示范门店”“文明家庭”“好婆婆 好媳妇”等评选活动，树立看得见、学得来的身边典型。</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6.典型引领，打造美丽乡村建设样板。</w:t>
      </w:r>
      <w:r>
        <w:rPr>
          <w:rFonts w:hint="eastAsia" w:ascii="仿宋_GB2312" w:hAnsi="仿宋_GB2312" w:eastAsia="仿宋_GB2312" w:cs="仿宋_GB2312"/>
          <w:color w:val="000000" w:themeColor="text1"/>
          <w:szCs w:val="32"/>
          <w:lang w:val="en-US" w:eastAsia="zh-CN"/>
          <w14:textFill>
            <w14:solidFill>
              <w14:schemeClr w14:val="tx1"/>
            </w14:solidFill>
          </w14:textFill>
        </w:rPr>
        <w:t>2016年以来，我区深入贯彻落实中央和省、市关于美丽乡村建设精神，以“布局美、产业美、环境美、生活美、风尚美”为重点建设内容，坚持以点带面，全域化、全覆盖推进美丽乡村建设。2016年全区完成22个市级示范村、特色村均创建任务；茶亭镇大龙村、桥驿镇群力村获得全省美丽乡村示范村授牌。2017年，全区共建设美丽乡村40个，其中市级示范村14个、市级特色村6个、区级达标村20个；高塘岭街道湘江村获得全省美丽乡村示范村授牌。2018年重点支持建设14个区级美丽乡村示范村、6个美丽特色村、10个面上村；乔口镇盘龙岭村获得全省美丽乡村示范村授牌。2019年打造35个市区两级乡村振兴示范镇村（市级示范镇1个，市级示范村15个，区级示范镇4个，区级示范村15个）；靖港镇新峰村、铜官街道中山村获得全省美丽乡村示范村授牌。2020年创建省级美丽乡村2个、“示范屋场”10个、“美丽屋场”35个。45个美丽屋场已完成项目建设；21个市级美丽屋场完成考核验收，14个屋场获评市级五星级美丽屋场，7个屋场获评市级四星级美丽屋场，五星级美丽屋场数量全市第一，五星级屋场比重遥遥领先。</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Cs w:val="32"/>
          <w:lang w:val="en-US" w:eastAsia="zh-CN"/>
          <w14:textFill>
            <w14:solidFill>
              <w14:schemeClr w14:val="tx1"/>
            </w14:solidFill>
          </w14:textFill>
        </w:rPr>
        <w:t>（三）农业产业发展。</w:t>
      </w:r>
      <w:r>
        <w:rPr>
          <w:rFonts w:hint="eastAsia" w:ascii="仿宋_GB2312" w:hAnsi="仿宋_GB2312" w:eastAsia="仿宋_GB2312" w:cs="仿宋_GB2312"/>
          <w:color w:val="000000" w:themeColor="text1"/>
          <w:szCs w:val="32"/>
          <w:lang w:val="en-US" w:eastAsia="zh-CN"/>
          <w14:textFill>
            <w14:solidFill>
              <w14:schemeClr w14:val="tx1"/>
            </w14:solidFill>
          </w14:textFill>
        </w:rPr>
        <w:t>根据省、市安排，近年来我区着力发展“一县一特”蔬菜、小龙虾两大产业，通过近三年的持续发力，两大产业取得了较为丰硕的成果。全区小龙虾养殖面积已达8.3万亩，产量8580吨，拥有小龙虾无公害产品认证企业21家，形成“望城荷花虾”“有虾有钳”“维记”“虾米小镇”为代表的望城小龙虾本土品牌，其中“望城小龙虾”正在申请中国农产品地理标志。蔬菜播种面积38.24万亩，产量84.75万吨，蔬菜种植企业126家，基地面积2.18万亩，蔬菜加工企业4家。</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楷体_GB2312" w:hAnsi="楷体_GB2312" w:eastAsia="楷体_GB2312" w:cs="楷体_GB2312"/>
          <w:b/>
          <w:bCs/>
          <w:color w:val="000000" w:themeColor="text1"/>
          <w:lang w:val="en-US" w:eastAsia="zh-CN"/>
          <w14:textFill>
            <w14:solidFill>
              <w14:schemeClr w14:val="tx1"/>
            </w14:solidFill>
          </w14:textFill>
        </w:rPr>
      </w:pPr>
      <w:r>
        <w:rPr>
          <w:rFonts w:hint="eastAsia" w:ascii="楷体_GB2312" w:hAnsi="楷体_GB2312" w:eastAsia="楷体_GB2312" w:cs="楷体_GB2312"/>
          <w:b/>
          <w:bCs/>
          <w:color w:val="000000" w:themeColor="text1"/>
          <w:lang w:val="en-US" w:eastAsia="zh-CN"/>
          <w14:textFill>
            <w14:solidFill>
              <w14:schemeClr w14:val="tx1"/>
            </w14:solidFill>
          </w14:textFill>
        </w:rPr>
        <w:t>（四）集体经济发展</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0" w:firstLineChars="200"/>
        <w:textAlignment w:val="auto"/>
        <w:rPr>
          <w:rFonts w:hint="eastAsia"/>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lang w:val="en-US" w:eastAsia="zh-CN"/>
          <w14:textFill>
            <w14:solidFill>
              <w14:schemeClr w14:val="tx1"/>
            </w14:solidFill>
          </w14:textFill>
        </w:rPr>
        <w:t>近年来，全区村级党组织引领发展的能力不断增强，村级集体经济发展态势持续向好，收入不断增加。全区共110个农村村（社区）。2018年全区集体经济收入在5万元以下的薄弱村71个，2019年实现集体经济薄弱村全面清零。2020年全区110个农村村（社区）集体经济收入率先全市全面提标至20万元以上。主要做法是:一是抓政策引导。制定《长沙市望城区发展壮大新型村级集体经济三年行动计划（2020-2022年）》，把发展壮大集体经济作为考核重要指标，常抓不懈。二是抓资金保障。2020年区财政安排村集体经济发展激励引导资金1500万元，设置“脱薄奖”、“台阶奖”、“增幅奖”用于激励村级集体经济发展。三是抓激励措施。对2019年完成目标任务的村（社区）一次性兑现相关政策奖励535.51万元。四是抓分类推进。结合各村资源禀赋和发展基础，制定了一村一策的措施，积极开辟发展壮大村级集体经济的有效路径和模式。通过采取盘活集体资源资产、发挥区位优势开发、新型经营主体促进增收、调整产业结构、扩大多种经营、发挥能人带动、加大财政金融支持力度、推进产权改革工作等多种有效措施全力推进发展壮大村级集体经济。</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0" w:firstLineChars="200"/>
        <w:textAlignment w:val="auto"/>
        <w:rPr>
          <w:rFonts w:hint="eastAsia" w:ascii="Times New Roman" w:hAnsi="Times New Roman" w:eastAsia="黑体"/>
          <w:color w:val="000000" w:themeColor="text1"/>
          <w:szCs w:val="32"/>
          <w:lang w:val="en-US" w:eastAsia="zh-CN"/>
          <w14:textFill>
            <w14:solidFill>
              <w14:schemeClr w14:val="tx1"/>
            </w14:solidFill>
          </w14:textFill>
        </w:rPr>
      </w:pPr>
      <w:r>
        <w:rPr>
          <w:rFonts w:hint="eastAsia" w:ascii="Times New Roman" w:hAnsi="Times New Roman" w:eastAsia="黑体"/>
          <w:color w:val="000000" w:themeColor="text1"/>
          <w:szCs w:val="32"/>
          <w:lang w:val="en-US" w:eastAsia="zh-CN"/>
          <w14:textFill>
            <w14:solidFill>
              <w14:schemeClr w14:val="tx1"/>
            </w14:solidFill>
          </w14:textFill>
        </w:rPr>
        <w:t>二、工作思路</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楷体_GB2312" w:hAnsi="楷体_GB2312" w:eastAsia="楷体_GB2312" w:cs="楷体_GB2312"/>
          <w:b/>
          <w:bCs/>
          <w:color w:val="000000" w:themeColor="text1"/>
          <w:szCs w:val="32"/>
          <w:lang w:eastAsia="zh-CN"/>
          <w14:textFill>
            <w14:solidFill>
              <w14:schemeClr w14:val="tx1"/>
            </w14:solidFill>
          </w14:textFill>
        </w:rPr>
      </w:pPr>
      <w:r>
        <w:rPr>
          <w:rFonts w:hint="eastAsia" w:ascii="楷体_GB2312" w:hAnsi="楷体_GB2312" w:eastAsia="楷体_GB2312" w:cs="楷体_GB2312"/>
          <w:b/>
          <w:bCs/>
          <w:color w:val="000000" w:themeColor="text1"/>
          <w:szCs w:val="32"/>
          <w:lang w:eastAsia="zh-CN"/>
          <w14:textFill>
            <w14:solidFill>
              <w14:schemeClr w14:val="tx1"/>
            </w14:solidFill>
          </w14:textFill>
        </w:rPr>
        <w:t>（一）“十四五”发展规划</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Cs w:val="32"/>
          <w:lang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1.脱贫攻坚。</w:t>
      </w:r>
      <w:r>
        <w:rPr>
          <w:rFonts w:hint="eastAsia" w:ascii="仿宋_GB2312" w:hAnsi="仿宋_GB2312" w:eastAsia="仿宋_GB2312" w:cs="仿宋_GB2312"/>
          <w:color w:val="000000" w:themeColor="text1"/>
          <w:szCs w:val="32"/>
          <w:lang w:eastAsia="zh-CN"/>
          <w14:textFill>
            <w14:solidFill>
              <w14:schemeClr w14:val="tx1"/>
            </w14:solidFill>
          </w14:textFill>
        </w:rPr>
        <w:t>以“巩固拓展脱贫攻坚成果、全面推进乡村振兴”为主要目标，以巩固脱贫成果为重点，全面加强乡村产业、人才、生态、文化、组织五大建设，织牢织密防返贫监测防护网，将脱贫攻坚形成的政策、制度和工作体系等一整套行之有效的办法移植到乡村振兴中，着力推进脱贫攻坚同乡村振兴有效衔接。</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2.乡村振兴工作。持续推进农村人居环境整治。</w:t>
      </w:r>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根据中央《农村人居环境整治提升五年行动方案（2021- 2025）》工作要求以及省、市、区工作部署，进一步建立健全有制度、有标准、有队伍、有经费、有督查的农村人居环境管护长效机制，继续协调各部门统筹抓好农村人居环境整治工作，让望城乡村成为山更绿、水更清、村庄更宜居的家园。</w:t>
      </w:r>
      <w:r>
        <w:rPr>
          <w:rFonts w:hint="eastAsia" w:ascii="仿宋_GB2312" w:hAnsi="仿宋_GB2312" w:eastAsia="仿宋_GB2312" w:cs="仿宋_GB2312"/>
          <w:b/>
          <w:bCs/>
          <w:color w:val="000000" w:themeColor="text1"/>
          <w:szCs w:val="32"/>
          <w:lang w:val="en-US" w:eastAsia="zh-CN"/>
          <w14:textFill>
            <w14:solidFill>
              <w14:schemeClr w14:val="tx1"/>
            </w14:solidFill>
          </w14:textFill>
        </w:rPr>
        <w:t>进一步打造一批“美丽屋场”。</w:t>
      </w:r>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根据长沙市乡村振兴“十四五”规划（草拟稿）以及望城区“十四五”规划纲要（草拟稿）安排部署，“十四五”期间在全区继续打造100个以上“美丽屋场”，通过办点示范、树立典型、推动全局，全域推进美丽乡村建设，擦亮全区乡村振兴底色。</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3.农业产业发展。</w:t>
      </w:r>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坚持</w:t>
      </w:r>
      <w:bookmarkStart w:id="0" w:name="_GoBack"/>
      <w:bookmarkEnd w:id="0"/>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发展现代都市农业的定位，做大做强蔬菜和小龙虾产业，着力打造集生产、观光、休闲、体验、消费于一体的现代都市农业聚集区。坚持以全产业链思维抓蔬菜、小龙虾产业发展，聚焦育种育苗、精深加工、冷链物流等环节，实施“建基地、扶龙头、强品牌”行动，突出抓好蔬菜公共服务平台和望城荷花虾乔口大市场建设，进一步扩大蔬菜基地面积和小龙虾养殖面积。</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default"/>
          <w:color w:val="000000" w:themeColor="text1"/>
          <w:lang w:val="en-US" w:eastAsia="zh-CN"/>
          <w14:textFill>
            <w14:solidFill>
              <w14:schemeClr w14:val="tx1"/>
            </w14:solidFill>
          </w14:textFill>
        </w:rPr>
      </w:pPr>
      <w:r>
        <w:rPr>
          <w:rFonts w:hint="eastAsia" w:ascii="仿宋_GB2312" w:hAnsi="仿宋_GB2312" w:eastAsia="仿宋_GB2312" w:cs="仿宋_GB2312"/>
          <w:b/>
          <w:bCs/>
          <w:color w:val="000000" w:themeColor="text1"/>
          <w:szCs w:val="32"/>
          <w:lang w:val="en-US" w:eastAsia="zh-CN"/>
          <w14:textFill>
            <w14:solidFill>
              <w14:schemeClr w14:val="tx1"/>
            </w14:solidFill>
          </w14:textFill>
        </w:rPr>
        <w:t>4.集体经济发展。</w:t>
      </w:r>
      <w:r>
        <w:rPr>
          <w:rFonts w:hint="eastAsia" w:ascii="仿宋_GB2312" w:hAnsi="仿宋_GB2312" w:eastAsia="仿宋_GB2312" w:cs="仿宋_GB2312"/>
          <w:b w:val="0"/>
          <w:bCs w:val="0"/>
          <w:color w:val="000000" w:themeColor="text1"/>
          <w:szCs w:val="32"/>
          <w:lang w:val="en-US" w:eastAsia="zh-CN"/>
          <w14:textFill>
            <w14:solidFill>
              <w14:schemeClr w14:val="tx1"/>
            </w14:solidFill>
          </w14:textFill>
        </w:rPr>
        <w:t>坚持“一村一策”，创新实践“六型”发展模式，鼓励和支持村级集体经济组织以集体资产和资源采取租赁、承包、参股等方式与社会经济主体合作，构建产权关系明晰、组织机构健全、经营管理规范的新型村级集体经济体系，逐步建立村级集体经济稳定增长机制。激发村级土地合作社、农业生产社会化专业服务组织、“互联网＋”等载体平台合力，促进产业规范化、集约化、规模化经营，实现农村一、二、三产业融合发展。</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default" w:ascii="楷体_GB2312" w:hAnsi="楷体_GB2312" w:eastAsia="楷体_GB2312" w:cs="楷体_GB2312"/>
          <w:b/>
          <w:bCs/>
          <w:color w:val="000000" w:themeColor="text1"/>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Cs w:val="32"/>
          <w:lang w:val="en-US" w:eastAsia="zh-CN"/>
          <w14:textFill>
            <w14:solidFill>
              <w14:schemeClr w14:val="tx1"/>
            </w14:solidFill>
          </w14:textFill>
        </w:rPr>
        <w:t>（二）2021年工作计划</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1.脱贫攻坚工作。</w:t>
      </w:r>
      <w:r>
        <w:rPr>
          <w:rFonts w:hint="eastAsia" w:ascii="仿宋_GB2312" w:hAnsi="仿宋_GB2312" w:eastAsia="仿宋_GB2312" w:cs="仿宋_GB2312"/>
          <w:b/>
          <w:color w:val="000000" w:themeColor="text1"/>
          <w:kern w:val="2"/>
          <w:sz w:val="32"/>
          <w:szCs w:val="32"/>
          <w:lang w:val="en-US" w:eastAsia="zh-CN" w:bidi="ar-SA"/>
          <w14:textFill>
            <w14:solidFill>
              <w14:schemeClr w14:val="tx1"/>
            </w14:solidFill>
          </w14:textFill>
        </w:rPr>
        <w:t>全面巩固脱贫成果。</w:t>
      </w:r>
      <w:r>
        <w:rPr>
          <w:rFonts w:hint="eastAsia" w:ascii="仿宋_GB2312" w:hAnsi="仿宋_GB2312" w:eastAsia="仿宋_GB2312" w:cs="仿宋_GB2312"/>
          <w:color w:val="000000" w:themeColor="text1"/>
          <w:sz w:val="32"/>
          <w:szCs w:val="32"/>
          <w14:textFill>
            <w14:solidFill>
              <w14:schemeClr w14:val="tx1"/>
            </w14:solidFill>
          </w14:textFill>
        </w:rPr>
        <w:t>严格落实“四个不摘”要求，对已出列贫困村和已脱贫人口继续落实原有扶持政策。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全力做好贫困劳动力稳岗就业工作，千方百计帮助贫困户增收补损。加强驻村和结对帮扶，重点做好脱贫监测户和边缘易致贫户的帮扶</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组织驻村工作队、帮扶责任人等定期走访排查，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坚决遏制各类返贫致贫风险</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做好</w:t>
      </w:r>
      <w:r>
        <w:rPr>
          <w:rFonts w:hint="eastAsia" w:ascii="仿宋_GB2312" w:hAnsi="仿宋_GB2312" w:eastAsia="仿宋_GB2312" w:cs="仿宋_GB2312"/>
          <w:b/>
          <w:bCs/>
          <w:color w:val="000000" w:themeColor="text1"/>
          <w:sz w:val="32"/>
          <w:szCs w:val="32"/>
          <w14:textFill>
            <w14:solidFill>
              <w14:schemeClr w14:val="tx1"/>
            </w14:solidFill>
          </w14:textFill>
        </w:rPr>
        <w:t>脱贫攻坚与乡村振兴</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有效衔接</w:t>
      </w: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抓紧谋划打赢脱贫攻坚战之后各项工作，研究建立解决相对贫困的长效机制，实现脱贫攻坚和实施乡村振兴战略政策衔接、工作衔接、队伍衔接</w:t>
      </w:r>
      <w:r>
        <w:rPr>
          <w:rFonts w:hint="eastAsia" w:ascii="仿宋_GB2312" w:hAnsi="仿宋_GB2312" w:eastAsia="仿宋_GB2312" w:cs="仿宋_GB2312"/>
          <w:color w:val="000000" w:themeColor="text1"/>
          <w:sz w:val="32"/>
          <w:szCs w:val="32"/>
          <w:lang w:eastAsia="zh-CN"/>
          <w14:textFill>
            <w14:solidFill>
              <w14:schemeClr w14:val="tx1"/>
            </w14:solidFill>
          </w14:textFill>
        </w:rPr>
        <w:t>，努力打造脱贫攻坚和乡村振兴结合的“望城样本”。</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eastAsia" w:ascii="仿宋_GB2312" w:hAnsi="仿宋_GB2312" w:eastAsia="仿宋_GB2312" w:cs="仿宋_GB2312"/>
          <w:b w:val="0"/>
          <w:bCs w:val="0"/>
          <w:color w:val="000000" w:themeColor="text1"/>
          <w:lang w:val="en-US" w:eastAsia="zh-CN"/>
          <w14:textFill>
            <w14:solidFill>
              <w14:schemeClr w14:val="tx1"/>
            </w14:solidFill>
          </w14:textFill>
        </w:rPr>
      </w:pPr>
      <w:r>
        <w:rPr>
          <w:rFonts w:hint="eastAsia" w:ascii="仿宋_GB2312" w:hAnsi="仿宋_GB2312" w:eastAsia="仿宋_GB2312" w:cs="仿宋_GB2312"/>
          <w:b/>
          <w:bCs/>
          <w:color w:val="000000" w:themeColor="text1"/>
          <w:lang w:val="en-US" w:eastAsia="zh-CN"/>
          <w14:textFill>
            <w14:solidFill>
              <w14:schemeClr w14:val="tx1"/>
            </w14:solidFill>
          </w14:textFill>
        </w:rPr>
        <w:t>2.乡村振兴工作。统筹抓好全区农村人居环境整治。</w:t>
      </w:r>
      <w:r>
        <w:rPr>
          <w:rFonts w:hint="eastAsia" w:ascii="仿宋_GB2312" w:hAnsi="仿宋_GB2312" w:eastAsia="仿宋_GB2312" w:cs="仿宋_GB2312"/>
          <w:b w:val="0"/>
          <w:bCs w:val="0"/>
          <w:color w:val="000000" w:themeColor="text1"/>
          <w:lang w:val="en-US" w:eastAsia="zh-CN"/>
          <w14:textFill>
            <w14:solidFill>
              <w14:schemeClr w14:val="tx1"/>
            </w14:solidFill>
          </w14:textFill>
        </w:rPr>
        <w:t>根据中央及省、市、区要求，牵头出台全区工作方案，明确工作任务、工作职责，继续协调各部门统筹抓好农村人居环境整治各项工作。</w:t>
      </w:r>
      <w:r>
        <w:rPr>
          <w:rFonts w:hint="eastAsia" w:ascii="仿宋_GB2312" w:hAnsi="仿宋_GB2312" w:eastAsia="仿宋_GB2312" w:cs="仿宋_GB2312"/>
          <w:b/>
          <w:bCs/>
          <w:color w:val="000000" w:themeColor="text1"/>
          <w:lang w:val="en-US" w:eastAsia="zh-CN"/>
          <w14:textFill>
            <w14:solidFill>
              <w14:schemeClr w14:val="tx1"/>
            </w14:solidFill>
          </w14:textFill>
        </w:rPr>
        <w:t>继续谋划全区美丽屋场建设。</w:t>
      </w:r>
      <w:r>
        <w:rPr>
          <w:rFonts w:hint="eastAsia" w:ascii="仿宋_GB2312" w:hAnsi="仿宋_GB2312" w:eastAsia="仿宋_GB2312" w:cs="仿宋_GB2312"/>
          <w:b w:val="0"/>
          <w:bCs w:val="0"/>
          <w:color w:val="000000" w:themeColor="text1"/>
          <w:lang w:val="en-US" w:eastAsia="zh-CN"/>
          <w14:textFill>
            <w14:solidFill>
              <w14:schemeClr w14:val="tx1"/>
            </w14:solidFill>
          </w14:textFill>
        </w:rPr>
        <w:t>总结2020年全区“美丽屋场”创建经验，坚持大战略、小切口，以美丽屋场创建为抓手，进一步突出特色、挖掘亮点，以点串线、以点带面，科学铺排全区美丽屋场工作，因地制宜全力推进美丽乡村建设。</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43" w:firstLineChars="200"/>
        <w:textAlignment w:val="auto"/>
        <w:rPr>
          <w:rFonts w:hint="default" w:ascii="Times New Roman" w:hAnsi="Times New Roman" w:eastAsia="仿宋_GB2312" w:cs="Times New Roman"/>
          <w:color w:val="000000" w:themeColor="text1"/>
          <w:spacing w:val="-6"/>
          <w:kern w:val="0"/>
          <w:sz w:val="32"/>
          <w:szCs w:val="32"/>
          <w:lang w:val="en-US" w:eastAsia="zh-CN"/>
          <w14:textFill>
            <w14:solidFill>
              <w14:schemeClr w14:val="tx1"/>
            </w14:solidFill>
          </w14:textFill>
        </w:rPr>
      </w:pPr>
      <w:r>
        <w:rPr>
          <w:rFonts w:hint="eastAsia" w:ascii="仿宋_GB2312" w:hAnsi="仿宋_GB2312" w:eastAsia="仿宋_GB2312" w:cs="仿宋_GB2312"/>
          <w:b/>
          <w:bCs/>
          <w:i w:val="0"/>
          <w:caps w:val="0"/>
          <w:color w:val="000000" w:themeColor="text1"/>
          <w:spacing w:val="0"/>
          <w:kern w:val="2"/>
          <w:sz w:val="32"/>
          <w:szCs w:val="32"/>
          <w:shd w:val="clear" w:color="auto" w:fill="FFFFFF"/>
          <w:lang w:val="en-US" w:eastAsia="zh-CN" w:bidi="ar-SA"/>
          <w14:textFill>
            <w14:solidFill>
              <w14:schemeClr w14:val="tx1"/>
            </w14:solidFill>
          </w14:textFill>
        </w:rPr>
        <w:t>3.</w:t>
      </w:r>
      <w:r>
        <w:rPr>
          <w:rFonts w:hint="default" w:ascii="仿宋_GB2312" w:hAnsi="仿宋_GB2312" w:eastAsia="仿宋_GB2312" w:cs="仿宋_GB2312"/>
          <w:b/>
          <w:bCs/>
          <w:i w:val="0"/>
          <w:caps w:val="0"/>
          <w:color w:val="000000" w:themeColor="text1"/>
          <w:spacing w:val="0"/>
          <w:kern w:val="2"/>
          <w:sz w:val="32"/>
          <w:szCs w:val="32"/>
          <w:shd w:val="clear" w:color="auto" w:fill="FFFFFF"/>
          <w:lang w:val="en-US" w:eastAsia="zh-CN" w:bidi="ar-SA"/>
          <w14:textFill>
            <w14:solidFill>
              <w14:schemeClr w14:val="tx1"/>
            </w14:solidFill>
          </w14:textFill>
        </w:rPr>
        <w:t>农业产业</w:t>
      </w:r>
      <w:r>
        <w:rPr>
          <w:rFonts w:hint="eastAsia" w:ascii="仿宋_GB2312" w:hAnsi="仿宋_GB2312" w:eastAsia="仿宋_GB2312" w:cs="仿宋_GB2312"/>
          <w:b/>
          <w:bCs/>
          <w:i w:val="0"/>
          <w:caps w:val="0"/>
          <w:color w:val="000000" w:themeColor="text1"/>
          <w:spacing w:val="0"/>
          <w:kern w:val="2"/>
          <w:sz w:val="32"/>
          <w:szCs w:val="32"/>
          <w:shd w:val="clear" w:color="auto" w:fill="FFFFFF"/>
          <w:lang w:val="en-US" w:eastAsia="zh-CN" w:bidi="ar-SA"/>
          <w14:textFill>
            <w14:solidFill>
              <w14:schemeClr w14:val="tx1"/>
            </w14:solidFill>
          </w14:textFill>
        </w:rPr>
        <w:t>发展</w:t>
      </w:r>
      <w:r>
        <w:rPr>
          <w:rFonts w:hint="default" w:ascii="仿宋_GB2312" w:hAnsi="仿宋_GB2312" w:eastAsia="仿宋_GB2312" w:cs="仿宋_GB2312"/>
          <w:b/>
          <w:bCs/>
          <w:i w:val="0"/>
          <w:caps w:val="0"/>
          <w:color w:val="000000" w:themeColor="text1"/>
          <w:spacing w:val="0"/>
          <w:kern w:val="2"/>
          <w:sz w:val="32"/>
          <w:szCs w:val="32"/>
          <w:shd w:val="clear" w:color="auto" w:fill="FFFFFF"/>
          <w:lang w:val="en-US" w:eastAsia="zh-CN" w:bidi="ar-SA"/>
          <w14:textFill>
            <w14:solidFill>
              <w14:schemeClr w14:val="tx1"/>
            </w14:solidFill>
          </w14:textFill>
        </w:rPr>
        <w:t>。</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一是</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加强与科研院校的合作，</w:t>
      </w:r>
      <w:r>
        <w:rPr>
          <w:rStyle w:val="8"/>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强化科技支撑，引进培育</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专业技术人才队伍，加强</w:t>
      </w:r>
      <w:r>
        <w:rPr>
          <w:rStyle w:val="8"/>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小龙虾研究院、良种繁育基地建设，</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提高种养</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殖</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技术水平。</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二是</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加强基础设施建设，做好万亩蔬菜示范片与设施蔬菜示范园提质扩面工作，打造9个荷花虾高标准示范基地，精心指导公共服务平台服务工作，为企业提供集中育苗、农机、农资、检测、冷链、包装、配送、销售等公共服务。</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三是</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推进产业融合发展，大力开展项目招商，积极争取国家级、省级冷链物流和精深加工示范应用项目，</w:t>
      </w:r>
      <w:r>
        <w:rPr>
          <w:rStyle w:val="8"/>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支持乔口荷花虾交易中心建设，</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培育一批省级、市级产业化龙头企业，引领一二三产业融合发展。</w:t>
      </w:r>
      <w:r>
        <w:rPr>
          <w:rFonts w:hint="default" w:ascii="Times New Roman" w:hAnsi="Times New Roman" w:eastAsia="仿宋_GB2312" w:cs="Times New Roman"/>
          <w:b/>
          <w:bCs/>
          <w:color w:val="000000" w:themeColor="text1"/>
          <w:sz w:val="32"/>
          <w:szCs w:val="32"/>
          <w:lang w:val="en-US" w:eastAsia="zh-CN"/>
          <w14:textFill>
            <w14:solidFill>
              <w14:schemeClr w14:val="tx1"/>
            </w14:solidFill>
          </w14:textFill>
        </w:rPr>
        <w:t>四是</w:t>
      </w:r>
      <w:r>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t>加强品牌建设。结合乡村休闲旅游，充分运用望城电视台、网络直播带货等融媒体手段，对望城蔬菜、荷花虾品牌进行超精准、高强度地推广，合力打造“望城蔬菜”“望城荷花虾”区域公共品牌。大力鼓励企业开展“两品一标”的申报认证工作，培育发展更多的绿色食品、有机农产品和地理标志农产品</w:t>
      </w:r>
      <w:r>
        <w:rPr>
          <w:rFonts w:hint="default" w:ascii="Times New Roman" w:hAnsi="Times New Roman" w:eastAsia="仿宋_GB2312" w:cs="Times New Roman"/>
          <w:color w:val="000000" w:themeColor="text1"/>
          <w:spacing w:val="-6"/>
          <w:kern w:val="0"/>
          <w:sz w:val="32"/>
          <w:szCs w:val="32"/>
          <w:lang w:val="en-US" w:eastAsia="zh-CN"/>
          <w14:textFill>
            <w14:solidFill>
              <w14:schemeClr w14:val="tx1"/>
            </w14:solidFill>
          </w14:textFill>
        </w:rPr>
        <w:t>。</w:t>
      </w:r>
    </w:p>
    <w:p>
      <w:pPr>
        <w:keepNext w:val="0"/>
        <w:keepLines w:val="0"/>
        <w:pageBreakBefore w:val="0"/>
        <w:widowControl w:val="0"/>
        <w:pBdr>
          <w:bottom w:val="single" w:color="FFFFFF" w:sz="4" w:space="30"/>
        </w:pBdr>
        <w:tabs>
          <w:tab w:val="left" w:pos="1440"/>
        </w:tabs>
        <w:kinsoku/>
        <w:wordWrap/>
        <w:overflowPunct/>
        <w:topLinePunct w:val="0"/>
        <w:autoSpaceDE/>
        <w:autoSpaceDN/>
        <w:bidi w:val="0"/>
        <w:adjustRightInd/>
        <w:snapToGrid/>
        <w:spacing w:line="600" w:lineRule="atLeast"/>
        <w:ind w:firstLine="619" w:firstLineChars="200"/>
        <w:textAlignment w:val="auto"/>
        <w:rPr>
          <w:rFonts w:hint="eastAsia" w:cs="Times New Roman"/>
          <w:color w:val="000000" w:themeColor="text1"/>
          <w:spacing w:val="-6"/>
          <w:kern w:val="0"/>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pacing w:val="-6"/>
          <w:kern w:val="0"/>
          <w:sz w:val="32"/>
          <w:szCs w:val="32"/>
          <w:lang w:val="en-US" w:eastAsia="zh-CN"/>
          <w14:textFill>
            <w14:solidFill>
              <w14:schemeClr w14:val="tx1"/>
            </w14:solidFill>
          </w14:textFill>
        </w:rPr>
        <w:t>4.集体经济发展</w:t>
      </w:r>
      <w:r>
        <w:rPr>
          <w:rFonts w:hint="eastAsia" w:ascii="仿宋_GB2312" w:hAnsi="仿宋_GB2312" w:cs="仿宋_GB2312"/>
          <w:b/>
          <w:bCs/>
          <w:color w:val="000000" w:themeColor="text1"/>
          <w:spacing w:val="-6"/>
          <w:kern w:val="0"/>
          <w:sz w:val="32"/>
          <w:szCs w:val="32"/>
          <w:lang w:val="en-US" w:eastAsia="zh-CN"/>
          <w14:textFill>
            <w14:solidFill>
              <w14:schemeClr w14:val="tx1"/>
            </w14:solidFill>
          </w14:textFill>
        </w:rPr>
        <w:t>。</w:t>
      </w:r>
      <w:r>
        <w:rPr>
          <w:rFonts w:hint="eastAsia" w:cs="Times New Roman"/>
          <w:color w:val="000000" w:themeColor="text1"/>
          <w:spacing w:val="-6"/>
          <w:kern w:val="0"/>
          <w:sz w:val="32"/>
          <w:szCs w:val="32"/>
          <w:lang w:val="en-US" w:eastAsia="zh-CN"/>
          <w14:textFill>
            <w14:solidFill>
              <w14:schemeClr w14:val="tx1"/>
            </w14:solidFill>
          </w14:textFill>
        </w:rPr>
        <w:t>围绕“消除薄弱村、壮大中等村、打造示范村”目标，因村施策发展集体经济，编制农业产业发展规划。推进集体产权制度改革，全面建立健全农村集体经济组织，有序推进集体经营性资产股份合作制改革。按照“一村一社”标准，推进村级土地合作社建设，促进农业适度规模经营。积极探索土地合作、乡村服务、资源开发、物业经营、产业带动、农房合作等集体经济发展路子，全面消除集体经济薄弱村，打造一批示范强村，并打造一批集体经济的示范村、明星村。</w:t>
      </w:r>
    </w:p>
    <w:p>
      <w:pPr>
        <w:pStyle w:val="2"/>
        <w:rPr>
          <w:rFonts w:hint="eastAsia"/>
          <w:lang w:val="en-US" w:eastAsia="zh-CN"/>
        </w:rPr>
      </w:pPr>
    </w:p>
    <w:p>
      <w:pPr>
        <w:pStyle w:val="2"/>
        <w:rPr>
          <w:rFonts w:hint="default"/>
          <w:lang w:val="en-US" w:eastAsia="zh-CN"/>
        </w:rPr>
      </w:pPr>
      <w:r>
        <w:rPr>
          <w:rFonts w:hint="eastAsia"/>
          <w:lang w:val="en-US" w:eastAsia="zh-CN"/>
        </w:rPr>
        <w:t xml:space="preserve">  </w:t>
      </w:r>
    </w:p>
    <w:p>
      <w:pPr>
        <w:keepNext w:val="0"/>
        <w:keepLines w:val="0"/>
        <w:pageBreakBefore w:val="0"/>
        <w:widowControl w:val="0"/>
        <w:pBdr>
          <w:bottom w:val="single" w:color="FFFFFF" w:sz="4" w:space="30"/>
        </w:pBdr>
        <w:tabs>
          <w:tab w:val="left" w:pos="1440"/>
        </w:tabs>
        <w:kinsoku/>
        <w:wordWrap/>
        <w:overflowPunct/>
        <w:topLinePunct w:val="0"/>
        <w:autoSpaceDE/>
        <w:autoSpaceDN/>
        <w:bidi w:val="0"/>
        <w:snapToGrid/>
        <w:spacing w:line="600" w:lineRule="exact"/>
        <w:ind w:firstLine="640" w:firstLineChars="200"/>
        <w:textAlignment w:val="auto"/>
        <w:rPr>
          <w:rFonts w:hint="eastAsia" w:ascii="仿宋_GB2312" w:hAnsi="仿宋_GB2312" w:eastAsia="仿宋_GB2312" w:cs="仿宋_GB2312"/>
          <w:szCs w:val="32"/>
          <w:lang w:val="en-US" w:eastAsia="zh-CN"/>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0MTQ4YmJhYzQ2Y2M5NTVmN2ZkZjFhNDJjMmRkZGEifQ=="/>
    <w:docVar w:name="KSO_WPS_MARK_KEY" w:val="e8fb5227-9757-4468-b761-748bf02a69a1"/>
  </w:docVars>
  <w:rsids>
    <w:rsidRoot w:val="27865CAD"/>
    <w:rsid w:val="0EA33F78"/>
    <w:rsid w:val="18145B72"/>
    <w:rsid w:val="1C863AB0"/>
    <w:rsid w:val="1D504B89"/>
    <w:rsid w:val="1D90441A"/>
    <w:rsid w:val="27865CAD"/>
    <w:rsid w:val="27D57ED2"/>
    <w:rsid w:val="29C92DB1"/>
    <w:rsid w:val="2DCF709B"/>
    <w:rsid w:val="32E765FB"/>
    <w:rsid w:val="37920D75"/>
    <w:rsid w:val="4F3D6D41"/>
    <w:rsid w:val="54BE6E71"/>
    <w:rsid w:val="75DA3860"/>
    <w:rsid w:val="78EF323F"/>
    <w:rsid w:val="7EDB7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
    <w:qFormat/>
    <w:uiPriority w:val="0"/>
    <w:pPr>
      <w:widowControl w:val="0"/>
      <w:jc w:val="both"/>
    </w:pPr>
    <w:rPr>
      <w:rFonts w:eastAsia="仿宋" w:asciiTheme="minorAscii" w:hAnsiTheme="minorAscii" w:cstheme="minorBidi"/>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style>
  <w:style w:type="paragraph" w:styleId="3">
    <w:name w:val="Body Text Indent"/>
    <w:basedOn w:val="1"/>
    <w:unhideWhenUsed/>
    <w:qFormat/>
    <w:uiPriority w:val="99"/>
    <w:pPr>
      <w:spacing w:after="120"/>
      <w:ind w:left="420" w:leftChars="200"/>
    </w:pPr>
  </w:style>
  <w:style w:type="paragraph" w:styleId="4">
    <w:name w:val="toc 5"/>
    <w:basedOn w:val="1"/>
    <w:next w:val="1"/>
    <w:qFormat/>
    <w:uiPriority w:val="0"/>
    <w:pPr>
      <w:ind w:left="1680" w:leftChars="800"/>
    </w:pPr>
    <w:rPr>
      <w:rFonts w:ascii="Times New Roman" w:hAnsi="Times New Roman"/>
    </w:rPr>
  </w:style>
  <w:style w:type="paragraph" w:styleId="5">
    <w:name w:val="Body Text First Indent 2"/>
    <w:basedOn w:val="3"/>
    <w:unhideWhenUsed/>
    <w:qFormat/>
    <w:uiPriority w:val="99"/>
    <w:pPr>
      <w:ind w:firstLine="420" w:firstLineChars="200"/>
    </w:pPr>
  </w:style>
  <w:style w:type="character" w:customStyle="1" w:styleId="8">
    <w:name w:val="NormalCharacter"/>
    <w:link w:val="1"/>
    <w:semiHidden/>
    <w:qFormat/>
    <w:uiPriority w:val="0"/>
    <w:rPr>
      <w:rFonts w:eastAsia="仿宋" w:asciiTheme="minorAscii" w:hAnsiTheme="minorAsci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4697</Words>
  <Characters>5011</Characters>
  <Lines>0</Lines>
  <Paragraphs>0</Paragraphs>
  <TotalTime>1</TotalTime>
  <ScaleCrop>false</ScaleCrop>
  <LinksUpToDate>false</LinksUpToDate>
  <CharactersWithSpaces>5016</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2020-12-03T07:26:00Z</dcterms:created>
  <dc:creator>Administrator</dc:creator>
  <cp:lastModifiedBy>丁杰</cp:lastModifiedBy>
  <dcterms:modified xsi:type="dcterms:W3CDTF">2025-01-16T04:03:33Z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BA33BB4501DC4576BA9238F7410A9905</vt:lpwstr>
  </property>
</Properties>
</file>