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区农业农村局2022年度工作总结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长沙市望城区农业农村局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2022年12月23日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一、2022年完成情况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1.持续巩固脱贫成果。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强化区、街镇、村（社区）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三级责任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促落实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抓实回头看、政策落实、产业帮扶、就业帮扶“四大行动”，健全监测帮扶、资金投入、项目库建设、扶贫资产管护、督导考核“五项机制”强保障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。全区共有脱贫人口和监测对象5100户14357人，未发生1例返贫和新致贫。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脱贫人口人均纯收入17137元，增幅14.5%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实现人均纯收入1万元以下的动态清零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，2021年人均纯收入低于1万元的脱贫人口年人均纯收入增速为33.49％。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2.扛牢粮食安全责任。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成立区粮食生产工作领导小组，制定《长沙市望城区2022年推进粮食生产工作意见》，明确9条工作举措及粮食生产扶持政策。坚决遏制耕地抛荒，印发《关于开展2022年度抛荒治理工作督查方的通知》，成立抛荒督查小组，将粮食生产任务、遏制耕地抛荒工作纳入对街镇的考核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完成早稻集中育秧9.5万亩。全年完成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粮食播种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面积61万亩，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其中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早稻24.3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万亩，预计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产量27.5万吨。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3.推进农业产业发展。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落实生猪稳产保供工作，督促指导乌山锦牧和桥驿泉新两个万头生猪养殖场建设，预计全区年末存栏生猪18万头、能繁母猪存栏1.6万头，累计实现生猪出栏32万头。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渔业生产经营状况稳步发展，全区水产养殖面积8.7万亩，总产量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超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4万吨；稻虾综合种养面积7.3万亩，虾类产量1.2万吨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渔业经济总产值预计16亿。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积极申报农业项目，申报市级高质量高水平发展项目93个、省级农业特色产业园项目1个。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提升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村级集体经济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制定了《长沙市望城区发展壮大村级集体经济三年行动计划（2022-2024）》《长沙市望城区扶持村集体经济发展补助资金和项目管理办法》《长沙市望城区关于推进村级集体经济发展壮大奖励办法》系列政策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文件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，从政策措施、项目扶持、奖励办法等方面，助力村级集体经济发展。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集体经济收入超过50万元的村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社区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71个，占比76%，超过市级40%的考核指标。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.建设美丽宜居村庄。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坚持产业为基、文化为魂、环境为本、群众为主、配套为要，深入推进美丽宜居村庄建设，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落实“十不十要”建设理念，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围绕生态美、村庄美、产业美、生活美、风尚美的“五美”目标，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2022年我区计划投入2.18亿元，提质连片建设104个，升级扩面8大集群，目前已全部建成，超额完成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市定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目标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任务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zh-TW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全力整治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人居环境。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zh-TW" w:eastAsia="zh-CN" w:bidi="ar-SA"/>
        </w:rPr>
        <w:t>成立工作专班，组成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zh-TW" w:eastAsia="zh-CN" w:bidi="ar-SA"/>
        </w:rPr>
        <w:t>个集镇检查组，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zh-TW" w:eastAsia="zh-CN" w:bidi="ar-SA"/>
        </w:rPr>
        <w:t>个村（社区）检查组，每个街镇随机抽查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zh-TW" w:eastAsia="zh-CN" w:bidi="ar-SA"/>
        </w:rPr>
        <w:t>个集镇、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zh-TW" w:eastAsia="zh-CN" w:bidi="ar-SA"/>
        </w:rPr>
        <w:t>个重建地，围绕长效机制、环境卫生、厕所革命、垃圾分类、生活污水治理、美丽乡村管护、秸秆禁烧、农业面源污染治理等，对农村区域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zh-TW" w:eastAsia="zh-CN" w:bidi="ar-SA"/>
        </w:rPr>
        <w:t>个街镇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88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zh-TW" w:eastAsia="zh-CN" w:bidi="ar-SA"/>
        </w:rPr>
        <w:t>个村（社区）、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18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zh-TW" w:eastAsia="zh-CN" w:bidi="ar-SA"/>
        </w:rPr>
        <w:t>个集镇（重建地）进行全覆盖督导，交办问题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千余条，均已整改到位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zh-TW" w:eastAsia="zh-CN" w:bidi="ar-SA"/>
        </w:rPr>
        <w:t>，农村人居环境基本实现常态化管理。</w:t>
      </w:r>
    </w:p>
    <w:p>
      <w:pPr>
        <w:spacing w:line="560" w:lineRule="exact"/>
        <w:ind w:firstLine="643" w:firstLineChars="200"/>
        <w:rPr>
          <w:rFonts w:hint="eastAsia" w:ascii="仿宋_GB2312" w:eastAsia="仿宋_GB2312" w:hAnsiTheme="majorEastAsia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 w:bidi="ar-SA"/>
        </w:rPr>
        <w:t>7.做好其他方面工作。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一是农村宅基地管理工作。启动《长沙市望城区个人建房管理办法》修订工作，印发了《长沙市望城区农村宅基地和村民住宅建设审批管理办法》《长沙市望城区农村宅基地和村民住宅建设审批管理操作指南》，今年以来办理农村宅基地批准书365本；积极开展宅基地动态巡查，有效遏制违法违规建住宅问题。二是高标准农田建设。完成2021年度高标准农田建设3.15万亩，其中高效节水0.19万亩，总投资4880万元；启动2022年度高标准农田建设相关工作，任务2.22万亩，目前已开工建设。三是农机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今年共推广机具422台套，补贴总金额达到965.609万元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建成</w:t>
      </w:r>
      <w:r>
        <w:rPr>
          <w:rFonts w:hint="eastAsia" w:ascii="仿宋_GB2312" w:hAnsi="仿宋_GB2312" w:eastAsia="仿宋_GB2312" w:cs="仿宋_GB2312"/>
          <w:sz w:val="32"/>
          <w:szCs w:val="32"/>
        </w:rPr>
        <w:t>4个大型水稻智能化、标准化育秧工厂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全年完成水稻机插机抛秧服务面积11.5626万亩。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全区全年水稻机械化种植率提升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%，全程机械化率提升1.5%。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四是农药化肥减量工作。实施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主要农作物病虫害专业化统防统治面积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  <w:t>17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.78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病虫害绿色防控面积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绿色防控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覆盖率达4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，绿色农药应用比例保持在90%以上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_GB2312" w:eastAsia="仿宋_GB2312" w:hAnsiTheme="majorEastAsia"/>
          <w:color w:val="auto"/>
          <w:sz w:val="32"/>
          <w:szCs w:val="32"/>
        </w:rPr>
        <w:t>全</w:t>
      </w:r>
      <w:r>
        <w:rPr>
          <w:rFonts w:hint="eastAsia" w:ascii="仿宋_GB2312" w:eastAsia="仿宋_GB2312" w:hAnsiTheme="majorEastAsia"/>
          <w:color w:val="auto"/>
          <w:sz w:val="32"/>
          <w:szCs w:val="32"/>
          <w:lang w:eastAsia="zh-CN"/>
        </w:rPr>
        <w:t>区</w:t>
      </w:r>
      <w:r>
        <w:rPr>
          <w:rFonts w:ascii="仿宋_GB2312" w:eastAsia="仿宋_GB2312" w:hAnsiTheme="majorEastAsia"/>
          <w:color w:val="auto"/>
          <w:sz w:val="32"/>
          <w:szCs w:val="32"/>
        </w:rPr>
        <w:t>测土配方施肥技术推广面积</w:t>
      </w:r>
      <w:r>
        <w:rPr>
          <w:rFonts w:hint="eastAsia" w:ascii="仿宋_GB2312" w:hAnsiTheme="majorEastAsia"/>
          <w:color w:val="auto"/>
          <w:sz w:val="32"/>
          <w:szCs w:val="32"/>
          <w:lang w:val="en-US" w:eastAsia="zh-CN"/>
        </w:rPr>
        <w:t>127</w:t>
      </w:r>
      <w:r>
        <w:rPr>
          <w:rFonts w:hint="eastAsia" w:ascii="仿宋_GB2312" w:eastAsia="仿宋_GB2312" w:hAnsiTheme="majorEastAsia"/>
          <w:color w:val="auto"/>
          <w:sz w:val="32"/>
          <w:szCs w:val="32"/>
          <w:lang w:val="en-US" w:eastAsia="zh-CN"/>
        </w:rPr>
        <w:t>万</w:t>
      </w:r>
      <w:r>
        <w:rPr>
          <w:rFonts w:ascii="仿宋_GB2312" w:eastAsia="仿宋_GB2312" w:hAnsiTheme="majorEastAsia"/>
          <w:color w:val="auto"/>
          <w:sz w:val="32"/>
          <w:szCs w:val="32"/>
        </w:rPr>
        <w:t>亩次以上</w:t>
      </w:r>
      <w:r>
        <w:rPr>
          <w:rFonts w:hint="eastAsia" w:ascii="仿宋_GB2312" w:eastAsia="仿宋_GB2312" w:hAnsiTheme="majorEastAsia"/>
          <w:color w:val="auto"/>
          <w:sz w:val="32"/>
          <w:szCs w:val="32"/>
          <w:lang w:eastAsia="zh-CN"/>
        </w:rPr>
        <w:t>，</w:t>
      </w:r>
      <w:r>
        <w:rPr>
          <w:rFonts w:ascii="仿宋_GB2312" w:eastAsia="仿宋_GB2312" w:hAnsiTheme="majorEastAsia"/>
          <w:color w:val="auto"/>
          <w:sz w:val="32"/>
          <w:szCs w:val="32"/>
        </w:rPr>
        <w:t>技术覆盖率保持在9</w:t>
      </w:r>
      <w:r>
        <w:rPr>
          <w:rFonts w:hint="eastAsia" w:ascii="仿宋_GB2312" w:eastAsia="仿宋_GB2312" w:hAnsiTheme="majorEastAsia"/>
          <w:color w:val="auto"/>
          <w:sz w:val="32"/>
          <w:szCs w:val="32"/>
          <w:lang w:val="en-US" w:eastAsia="zh-CN"/>
        </w:rPr>
        <w:t>5</w:t>
      </w:r>
      <w:r>
        <w:rPr>
          <w:rFonts w:ascii="仿宋_GB2312" w:eastAsia="仿宋_GB2312" w:hAnsiTheme="majorEastAsia"/>
          <w:color w:val="auto"/>
          <w:sz w:val="32"/>
          <w:szCs w:val="32"/>
        </w:rPr>
        <w:t>%以上</w:t>
      </w:r>
      <w:r>
        <w:rPr>
          <w:rFonts w:hint="eastAsia" w:ascii="仿宋_GB2312" w:eastAsia="仿宋_GB2312" w:hAnsiTheme="majorEastAsia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eastAsia="仿宋_GB2312" w:hAnsiTheme="majorEastAsia"/>
          <w:color w:val="auto"/>
          <w:sz w:val="32"/>
          <w:szCs w:val="32"/>
          <w:lang w:val="en-US" w:eastAsia="zh-CN"/>
        </w:rPr>
        <w:t>五是受污染耕地安全利用。</w:t>
      </w:r>
      <w:r>
        <w:rPr>
          <w:rFonts w:hint="eastAsia" w:ascii="仿宋_GB2312" w:eastAsia="仿宋_GB2312" w:hAnsiTheme="majorEastAsia"/>
          <w:color w:val="auto"/>
          <w:sz w:val="32"/>
          <w:szCs w:val="32"/>
          <w:lang w:eastAsia="zh-CN"/>
        </w:rPr>
        <w:t>完成11.95万亩轻中度污染耕地安全利用和212.9亩重度污染耕地严格管控任务。</w:t>
      </w:r>
      <w:r>
        <w:rPr>
          <w:rFonts w:hint="eastAsia" w:ascii="仿宋_GB2312" w:eastAsia="仿宋_GB2312" w:hAnsiTheme="majorEastAsia"/>
          <w:color w:val="auto"/>
          <w:sz w:val="32"/>
          <w:szCs w:val="32"/>
          <w:lang w:val="en-US" w:eastAsia="zh-CN"/>
        </w:rPr>
        <w:t>六是动物疫病防控。</w:t>
      </w:r>
      <w:r>
        <w:rPr>
          <w:rFonts w:hint="eastAsia" w:ascii="仿宋_GB2312" w:eastAsia="仿宋_GB2312" w:hAnsiTheme="majorEastAsia"/>
          <w:color w:val="auto"/>
          <w:sz w:val="32"/>
          <w:szCs w:val="32"/>
          <w:lang w:eastAsia="zh-CN"/>
        </w:rPr>
        <w:t>春防免疫抗体合格率为牲畜口蹄疫O型78.33%，禽流感88.33%（AIVH5）、禽流感86.67%（AIVH7），羊小反刍兽疫100%；秋防免疫抗体合格率为牲畜口蹄疫O型70%，禽流感98.4%（AIVH5）、禽流感91.8%（AIVH7），羊小反刍兽疫100%。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二、2023年工作计划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jc w:val="both"/>
        <w:textAlignment w:val="auto"/>
        <w:rPr>
          <w:rFonts w:hint="eastAsia"/>
          <w:lang w:val="en-US" w:eastAsia="zh-CN"/>
        </w:rPr>
      </w:pPr>
      <w:r>
        <w:rPr>
          <w:rStyle w:val="13"/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1.守牢工作底线。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守住不发生规模性返贫底线，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常态化开展防返贫动态监测与帮扶，扎实推进有效衔接突出问题排查整改，巩固“两不愁三保障”和饮水安全成果，扎实推进产业帮扶与就业帮扶，帮助脱贫群众持续稳定增收</w:t>
      </w:r>
      <w:r>
        <w:rPr>
          <w:rStyle w:val="13"/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守好粮食生产责任底线，</w:t>
      </w:r>
      <w:r>
        <w:rPr>
          <w:rStyle w:val="13"/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落实粮食生产政策措施，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继续实施高标准农田建设项目，继续推进耕地抛荒治理，继续推广好“良种＋良法＋良机”，继续提升农业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社会化服务能力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，层层落实粮食生产责任，层层传导粮食生产压力，确保每年圆满完成粮食生产的政治任务。</w:t>
      </w:r>
    </w:p>
    <w:p>
      <w:pPr>
        <w:keepNext w:val="0"/>
        <w:keepLines w:val="0"/>
        <w:pageBreakBefore w:val="0"/>
        <w:widowControl w:val="0"/>
        <w:pBdr>
          <w:bottom w:val="single" w:color="FFFFFF" w:sz="4" w:space="31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Style w:val="13"/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/>
          <w:lang w:val="en-US" w:eastAsia="zh-CN"/>
        </w:rPr>
        <w:t>2.推进产业发展。</w:t>
      </w:r>
      <w:r>
        <w:rPr>
          <w:rStyle w:val="13"/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持续实施“六大强农”行动，发展好绿色农业、设施农业、观光农业、院士农业，推进产学研深度融合。围绕农业</w:t>
      </w:r>
      <w:bookmarkStart w:id="0" w:name="_GoBack"/>
      <w:bookmarkEnd w:id="0"/>
      <w:r>
        <w:rPr>
          <w:rStyle w:val="13"/>
          <w:rFonts w:hint="eastAsia" w:ascii="仿宋_GB2312" w:hAnsi="仿宋_GB2312" w:eastAsia="仿宋_GB2312" w:cs="仿宋_GB2312"/>
          <w:b w:val="0"/>
          <w:bCs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产业和乡村旅游发展，开展农业产业补链行动，推动望城荷花虾、望城鮊鱼特色农业品牌化。全面推行“六型”发展模式，因村施策、因地制宜，促进村集体经济发展壮大。</w:t>
      </w:r>
    </w:p>
    <w:p>
      <w:pPr>
        <w:keepNext w:val="0"/>
        <w:keepLines w:val="0"/>
        <w:pageBreakBefore w:val="0"/>
        <w:widowControl w:val="0"/>
        <w:pBdr>
          <w:bottom w:val="single" w:color="FFFFFF" w:sz="4" w:space="31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/>
          <w:lang w:val="en-US" w:eastAsia="zh-CN"/>
        </w:rPr>
      </w:pPr>
      <w:r>
        <w:rPr>
          <w:rStyle w:val="13"/>
          <w:rFonts w:hint="eastAsia" w:ascii="仿宋_GB2312" w:hAnsi="仿宋_GB2312" w:eastAsia="仿宋_GB2312" w:cs="仿宋_GB2312"/>
          <w:b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提升乡村环境。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健全农村人居环境工作机制，全面落实好“河湖长制”，做好农村沟塘渠坝小微水体管护工作，继续打造小微水体示范片、“水美湘村”等项目，推广“三池一地”农村散户污水处理设施建设，推进乡镇污水管网建设与修复，继续完善“户分类、村收集、镇转运、区处理”的农村生活垃圾分类减量体系，推动裸露白色垃圾、农村旱厕动态清零，加强农村杆线整治，提升乡村风貌，实现全区村容村貌“干净美观”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MTQ4YmJhYzQ2Y2M5NTVmN2ZkZjFhNDJjMmRkZGEifQ=="/>
  </w:docVars>
  <w:rsids>
    <w:rsidRoot w:val="4D1B6800"/>
    <w:rsid w:val="027F4D04"/>
    <w:rsid w:val="08962C39"/>
    <w:rsid w:val="28E62B38"/>
    <w:rsid w:val="31CA7404"/>
    <w:rsid w:val="358B6F41"/>
    <w:rsid w:val="3D507899"/>
    <w:rsid w:val="43840C75"/>
    <w:rsid w:val="4D1B6800"/>
    <w:rsid w:val="51B80C66"/>
    <w:rsid w:val="60ED1E38"/>
    <w:rsid w:val="785C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</w:style>
  <w:style w:type="paragraph" w:styleId="3">
    <w:name w:val="Body Text 2"/>
    <w:basedOn w:val="1"/>
    <w:qFormat/>
    <w:uiPriority w:val="0"/>
    <w:pPr>
      <w:spacing w:after="120" w:line="480" w:lineRule="auto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 Indent"/>
    <w:basedOn w:val="1"/>
    <w:next w:val="6"/>
    <w:qFormat/>
    <w:uiPriority w:val="99"/>
    <w:pPr>
      <w:spacing w:after="120"/>
      <w:ind w:left="420" w:leftChars="200"/>
    </w:pPr>
  </w:style>
  <w:style w:type="paragraph" w:styleId="6">
    <w:name w:val="annotation subject"/>
    <w:basedOn w:val="4"/>
    <w:next w:val="1"/>
    <w:qFormat/>
    <w:uiPriority w:val="0"/>
    <w:rPr>
      <w:b/>
      <w:bCs/>
    </w:rPr>
  </w:style>
  <w:style w:type="paragraph" w:styleId="7">
    <w:name w:val="toc 5"/>
    <w:basedOn w:val="1"/>
    <w:next w:val="1"/>
    <w:semiHidden/>
    <w:qFormat/>
    <w:uiPriority w:val="99"/>
    <w:pPr>
      <w:ind w:left="1680" w:leftChars="800"/>
    </w:pPr>
  </w:style>
  <w:style w:type="paragraph" w:styleId="8">
    <w:name w:val="Body Text First Indent 2"/>
    <w:basedOn w:val="5"/>
    <w:next w:val="1"/>
    <w:qFormat/>
    <w:uiPriority w:val="0"/>
    <w:pPr>
      <w:ind w:firstLine="420" w:firstLineChars="200"/>
    </w:pPr>
    <w:rPr>
      <w:rFonts w:eastAsia="仿宋"/>
      <w:sz w:val="32"/>
    </w:rPr>
  </w:style>
  <w:style w:type="paragraph" w:customStyle="1" w:styleId="11">
    <w:name w:val="BodyText1I2"/>
    <w:basedOn w:val="12"/>
    <w:qFormat/>
    <w:uiPriority w:val="0"/>
    <w:pPr>
      <w:spacing w:after="120"/>
      <w:ind w:left="420" w:leftChars="200" w:firstLine="420" w:firstLineChars="200"/>
      <w:jc w:val="both"/>
      <w:textAlignment w:val="baseline"/>
    </w:pPr>
  </w:style>
  <w:style w:type="paragraph" w:customStyle="1" w:styleId="12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  <w:style w:type="character" w:customStyle="1" w:styleId="13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2185</Words>
  <Characters>2389</Characters>
  <Lines>0</Lines>
  <Paragraphs>0</Paragraphs>
  <TotalTime>1047</TotalTime>
  <ScaleCrop>false</ScaleCrop>
  <LinksUpToDate>false</LinksUpToDate>
  <CharactersWithSpaces>2389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2022-10-21T06:25:00Z</dcterms:created>
  <dc:creator>Administrator</dc:creator>
  <cp:lastModifiedBy>Ding</cp:lastModifiedBy>
  <cp:lastPrinted>2022-10-21T12:21:00Z</cp:lastPrinted>
  <dcterms:modified xsi:type="dcterms:W3CDTF">2022-12-30T06:17:08Z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0C4978FE6E184807B147226F60CB603D</vt:lpwstr>
  </property>
</Properties>
</file>