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sz w:val="44"/>
          <w:szCs w:val="44"/>
        </w:rPr>
      </w:pPr>
    </w:p>
    <w:p>
      <w:pPr>
        <w:spacing w:line="560" w:lineRule="exact"/>
        <w:jc w:val="center"/>
        <w:rPr>
          <w:rFonts w:eastAsia="方正小标宋简体"/>
          <w:sz w:val="44"/>
          <w:szCs w:val="44"/>
        </w:rPr>
      </w:pPr>
    </w:p>
    <w:p>
      <w:pPr>
        <w:spacing w:line="560" w:lineRule="exact"/>
        <w:jc w:val="center"/>
        <w:rPr>
          <w:rFonts w:eastAsia="方正小标宋简体"/>
          <w:sz w:val="44"/>
          <w:szCs w:val="44"/>
        </w:rPr>
      </w:pPr>
    </w:p>
    <w:p>
      <w:pPr>
        <w:spacing w:line="560" w:lineRule="exact"/>
        <w:jc w:val="center"/>
        <w:rPr>
          <w:rFonts w:eastAsia="方正小标宋简体"/>
          <w:sz w:val="44"/>
          <w:szCs w:val="44"/>
        </w:rPr>
      </w:pPr>
    </w:p>
    <w:p>
      <w:pPr>
        <w:spacing w:line="560" w:lineRule="exact"/>
        <w:jc w:val="center"/>
        <w:rPr>
          <w:rFonts w:eastAsia="方正小标宋简体"/>
          <w:sz w:val="44"/>
          <w:szCs w:val="44"/>
        </w:rPr>
      </w:pPr>
    </w:p>
    <w:p>
      <w:pPr>
        <w:jc w:val="center"/>
        <w:rPr>
          <w:rFonts w:eastAsia="方正小标宋简体"/>
          <w:sz w:val="56"/>
        </w:rPr>
      </w:pPr>
      <w:r>
        <w:rPr>
          <w:rFonts w:eastAsia="方正小标宋简体"/>
          <w:sz w:val="56"/>
        </w:rPr>
        <w:t>长沙市</w:t>
      </w:r>
      <w:r>
        <w:rPr>
          <w:rFonts w:hint="eastAsia" w:eastAsia="方正小标宋简体"/>
          <w:sz w:val="56"/>
        </w:rPr>
        <w:t>望城区</w:t>
      </w:r>
      <w:r>
        <w:rPr>
          <w:rFonts w:eastAsia="方正小标宋简体"/>
          <w:sz w:val="56"/>
        </w:rPr>
        <w:t>“十四五”人力资源和社会保障事业发展规划</w:t>
      </w:r>
    </w:p>
    <w:p>
      <w:pPr>
        <w:jc w:val="left"/>
      </w:pPr>
    </w:p>
    <w:p>
      <w:pPr>
        <w:jc w:val="left"/>
      </w:pPr>
    </w:p>
    <w:p>
      <w:pPr>
        <w:jc w:val="left"/>
      </w:pPr>
    </w:p>
    <w:p>
      <w:pPr>
        <w:jc w:val="left"/>
      </w:pPr>
    </w:p>
    <w:p>
      <w:pPr>
        <w:jc w:val="left"/>
      </w:pPr>
    </w:p>
    <w:p>
      <w:pPr>
        <w:jc w:val="left"/>
      </w:pPr>
    </w:p>
    <w:p>
      <w:pPr>
        <w:jc w:val="center"/>
        <w:rPr>
          <w:rFonts w:eastAsia="楷体_GB2312"/>
          <w:sz w:val="36"/>
        </w:rPr>
      </w:pPr>
    </w:p>
    <w:p>
      <w:pPr>
        <w:jc w:val="center"/>
        <w:rPr>
          <w:rFonts w:eastAsia="楷体_GB2312"/>
          <w:sz w:val="36"/>
        </w:rPr>
      </w:pPr>
    </w:p>
    <w:p>
      <w:pPr>
        <w:jc w:val="center"/>
        <w:rPr>
          <w:rFonts w:eastAsia="楷体_GB2312"/>
          <w:sz w:val="36"/>
        </w:rPr>
      </w:pPr>
    </w:p>
    <w:p>
      <w:pPr>
        <w:jc w:val="center"/>
        <w:rPr>
          <w:rFonts w:eastAsia="楷体_GB2312"/>
          <w:sz w:val="36"/>
        </w:rPr>
      </w:pPr>
    </w:p>
    <w:p>
      <w:pPr>
        <w:jc w:val="center"/>
        <w:rPr>
          <w:rFonts w:eastAsia="楷体_GB2312"/>
          <w:sz w:val="36"/>
        </w:rPr>
      </w:pPr>
    </w:p>
    <w:p>
      <w:pPr>
        <w:jc w:val="center"/>
        <w:rPr>
          <w:rFonts w:eastAsia="楷体_GB2312"/>
          <w:sz w:val="36"/>
        </w:rPr>
      </w:pPr>
    </w:p>
    <w:p>
      <w:pPr>
        <w:pStyle w:val="2"/>
      </w:pPr>
    </w:p>
    <w:p>
      <w:pPr>
        <w:jc w:val="center"/>
        <w:rPr>
          <w:rFonts w:eastAsia="楷体_GB2312"/>
          <w:sz w:val="36"/>
        </w:rPr>
      </w:pPr>
      <w:r>
        <w:rPr>
          <w:rFonts w:eastAsia="楷体_GB2312"/>
          <w:sz w:val="36"/>
        </w:rPr>
        <w:t>202</w:t>
      </w:r>
      <w:r>
        <w:rPr>
          <w:rFonts w:hint="eastAsia" w:eastAsia="楷体_GB2312"/>
          <w:sz w:val="36"/>
        </w:rPr>
        <w:t>2</w:t>
      </w:r>
      <w:r>
        <w:rPr>
          <w:rFonts w:eastAsia="楷体_GB2312"/>
          <w:sz w:val="36"/>
        </w:rPr>
        <w:t>年</w:t>
      </w:r>
      <w:r>
        <w:rPr>
          <w:rFonts w:hint="eastAsia" w:eastAsia="楷体_GB2312"/>
          <w:sz w:val="36"/>
        </w:rPr>
        <w:t>3</w:t>
      </w:r>
      <w:r>
        <w:rPr>
          <w:rFonts w:eastAsia="楷体_GB2312"/>
          <w:sz w:val="36"/>
        </w:rPr>
        <w:t>月</w:t>
      </w:r>
    </w:p>
    <w:p>
      <w:pPr>
        <w:spacing w:line="960" w:lineRule="auto"/>
        <w:jc w:val="center"/>
        <w:rPr>
          <w:rFonts w:eastAsia="黑体"/>
          <w:sz w:val="44"/>
        </w:rPr>
        <w:sectPr>
          <w:pgSz w:w="11906" w:h="16838"/>
          <w:pgMar w:top="1440" w:right="1800" w:bottom="1440" w:left="1800" w:header="851" w:footer="992" w:gutter="0"/>
          <w:pgNumType w:fmt="numberInDash" w:start="0"/>
          <w:cols w:space="720" w:num="1"/>
          <w:docGrid w:type="lines" w:linePitch="312" w:charSpace="0"/>
        </w:sectPr>
      </w:pPr>
    </w:p>
    <w:p>
      <w:pPr>
        <w:adjustRightInd w:val="0"/>
        <w:snapToGrid w:val="0"/>
        <w:spacing w:line="550" w:lineRule="exact"/>
        <w:jc w:val="center"/>
        <w:rPr>
          <w:rFonts w:eastAsia="黑体"/>
          <w:sz w:val="44"/>
        </w:rPr>
      </w:pPr>
      <w:r>
        <w:rPr>
          <w:rFonts w:eastAsia="黑体"/>
          <w:sz w:val="44"/>
        </w:rPr>
        <w:t>目   录</w:t>
      </w:r>
    </w:p>
    <w:p>
      <w:pPr>
        <w:adjustRightInd w:val="0"/>
        <w:snapToGrid w:val="0"/>
        <w:spacing w:line="550" w:lineRule="exact"/>
        <w:rPr>
          <w:rFonts w:eastAsia="黑体"/>
          <w:sz w:val="32"/>
        </w:rPr>
      </w:pPr>
    </w:p>
    <w:p>
      <w:pPr>
        <w:adjustRightInd w:val="0"/>
        <w:snapToGrid w:val="0"/>
        <w:spacing w:line="550" w:lineRule="exact"/>
        <w:jc w:val="distribute"/>
        <w:rPr>
          <w:rFonts w:eastAsia="黑体"/>
          <w:sz w:val="32"/>
        </w:rPr>
      </w:pPr>
      <w:r>
        <w:rPr>
          <w:rFonts w:ascii="黑体" w:hAnsi="黑体" w:eastAsia="黑体"/>
          <w:sz w:val="32"/>
        </w:rPr>
        <w:t xml:space="preserve">第一章  </w:t>
      </w:r>
      <w:r>
        <w:rPr>
          <w:rFonts w:ascii="黑体" w:hAnsi="黑体" w:eastAsia="黑体"/>
          <w:bCs/>
          <w:sz w:val="32"/>
        </w:rPr>
        <w:t>发展基础</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t>1</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第一节  </w:t>
      </w:r>
      <w:r>
        <w:rPr>
          <w:rFonts w:hint="eastAsia" w:ascii="楷体_GB2312" w:hAnsi="方正粗黑宋简体" w:eastAsia="楷体_GB2312" w:cs="方正粗黑宋简体"/>
          <w:sz w:val="32"/>
          <w:szCs w:val="32"/>
        </w:rPr>
        <w:t>“十三五”时期主要成绩</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p>
    <w:p>
      <w:pPr>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第二节  </w:t>
      </w:r>
      <w:r>
        <w:rPr>
          <w:rFonts w:hint="eastAsia" w:ascii="楷体_GB2312" w:hAnsi="方正粗黑宋简体" w:eastAsia="楷体_GB2312" w:cs="方正粗黑宋简体"/>
          <w:sz w:val="32"/>
          <w:szCs w:val="32"/>
        </w:rPr>
        <w:t>“十四五”时期面临的发展形势</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4</w:t>
      </w:r>
    </w:p>
    <w:p>
      <w:pPr>
        <w:adjustRightInd w:val="0"/>
        <w:snapToGrid w:val="0"/>
        <w:spacing w:line="550" w:lineRule="exact"/>
        <w:jc w:val="distribute"/>
        <w:rPr>
          <w:rFonts w:eastAsia="黑体"/>
          <w:sz w:val="32"/>
        </w:rPr>
      </w:pPr>
      <w:r>
        <w:rPr>
          <w:rFonts w:eastAsia="黑体"/>
          <w:sz w:val="32"/>
        </w:rPr>
        <w:t>第</w:t>
      </w:r>
      <w:r>
        <w:rPr>
          <w:rFonts w:hint="eastAsia" w:eastAsia="黑体"/>
          <w:sz w:val="32"/>
        </w:rPr>
        <w:t>二</w:t>
      </w:r>
      <w:r>
        <w:rPr>
          <w:rFonts w:eastAsia="黑体"/>
          <w:sz w:val="32"/>
        </w:rPr>
        <w:t>章  指导思想和发展目标</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黑体"/>
          <w:sz w:val="32"/>
        </w:rPr>
        <w:t>5</w:t>
      </w:r>
    </w:p>
    <w:p>
      <w:pPr>
        <w:adjustRightInd w:val="0"/>
        <w:snapToGrid w:val="0"/>
        <w:spacing w:line="550" w:lineRule="exact"/>
        <w:ind w:firstLine="640" w:firstLineChars="200"/>
        <w:jc w:val="distribute"/>
        <w:rPr>
          <w:rFonts w:eastAsia="黑体"/>
          <w:bCs/>
          <w:sz w:val="32"/>
        </w:rPr>
      </w:pPr>
      <w:r>
        <w:rPr>
          <w:rFonts w:eastAsia="楷体_GB2312"/>
          <w:bCs/>
          <w:sz w:val="32"/>
        </w:rPr>
        <w:t>第</w:t>
      </w:r>
      <w:r>
        <w:rPr>
          <w:rFonts w:hint="eastAsia" w:eastAsia="楷体_GB2312"/>
          <w:bCs/>
          <w:sz w:val="32"/>
        </w:rPr>
        <w:t>一</w:t>
      </w:r>
      <w:r>
        <w:rPr>
          <w:rFonts w:eastAsia="楷体_GB2312"/>
          <w:bCs/>
          <w:sz w:val="32"/>
        </w:rPr>
        <w:t>节  指导思想</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5</w:t>
      </w:r>
    </w:p>
    <w:p>
      <w:pPr>
        <w:adjustRightInd w:val="0"/>
        <w:snapToGrid w:val="0"/>
        <w:spacing w:line="550" w:lineRule="exact"/>
        <w:ind w:firstLine="640" w:firstLineChars="200"/>
        <w:jc w:val="distribute"/>
        <w:rPr>
          <w:rFonts w:eastAsia="黑体"/>
          <w:bCs/>
          <w:sz w:val="32"/>
        </w:rPr>
      </w:pPr>
      <w:r>
        <w:rPr>
          <w:rFonts w:eastAsia="楷体_GB2312"/>
          <w:bCs/>
          <w:sz w:val="32"/>
        </w:rPr>
        <w:t>第</w:t>
      </w:r>
      <w:r>
        <w:rPr>
          <w:rFonts w:hint="eastAsia" w:eastAsia="楷体_GB2312"/>
          <w:bCs/>
          <w:sz w:val="32"/>
        </w:rPr>
        <w:t>二</w:t>
      </w:r>
      <w:r>
        <w:rPr>
          <w:rFonts w:eastAsia="楷体_GB2312"/>
          <w:bCs/>
          <w:sz w:val="32"/>
        </w:rPr>
        <w:t>节  基本原则</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5</w:t>
      </w:r>
    </w:p>
    <w:p>
      <w:pPr>
        <w:adjustRightInd w:val="0"/>
        <w:snapToGrid w:val="0"/>
        <w:spacing w:line="550" w:lineRule="exact"/>
        <w:ind w:firstLine="640" w:firstLineChars="200"/>
        <w:jc w:val="distribute"/>
        <w:rPr>
          <w:rFonts w:eastAsia="黑体"/>
          <w:bCs/>
          <w:sz w:val="32"/>
        </w:rPr>
      </w:pPr>
      <w:r>
        <w:rPr>
          <w:rFonts w:eastAsia="楷体_GB2312"/>
          <w:bCs/>
          <w:sz w:val="32"/>
        </w:rPr>
        <w:t>第</w:t>
      </w:r>
      <w:r>
        <w:rPr>
          <w:rFonts w:hint="eastAsia" w:eastAsia="楷体_GB2312"/>
          <w:bCs/>
          <w:sz w:val="32"/>
        </w:rPr>
        <w:t>三</w:t>
      </w:r>
      <w:r>
        <w:rPr>
          <w:rFonts w:eastAsia="楷体_GB2312"/>
          <w:bCs/>
          <w:sz w:val="32"/>
        </w:rPr>
        <w:t>节  发展目标</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6</w:t>
      </w:r>
    </w:p>
    <w:p>
      <w:pPr>
        <w:adjustRightInd w:val="0"/>
        <w:snapToGrid w:val="0"/>
        <w:spacing w:line="550" w:lineRule="exact"/>
        <w:jc w:val="distribute"/>
        <w:rPr>
          <w:rFonts w:eastAsia="黑体"/>
          <w:sz w:val="32"/>
        </w:rPr>
      </w:pPr>
      <w:r>
        <w:rPr>
          <w:rFonts w:eastAsia="黑体"/>
          <w:sz w:val="32"/>
        </w:rPr>
        <w:t>第</w:t>
      </w:r>
      <w:r>
        <w:rPr>
          <w:rFonts w:hint="eastAsia" w:eastAsia="黑体"/>
          <w:sz w:val="32"/>
        </w:rPr>
        <w:t>三</w:t>
      </w:r>
      <w:r>
        <w:rPr>
          <w:rFonts w:eastAsia="黑体"/>
          <w:sz w:val="32"/>
        </w:rPr>
        <w:t>章  实现更加充分更高质量就业</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黑体"/>
          <w:sz w:val="32"/>
        </w:rPr>
        <w:t>9</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第一节  </w:t>
      </w:r>
      <w:r>
        <w:rPr>
          <w:rFonts w:hint="eastAsia" w:ascii="楷体_GB2312" w:hAnsi="仿宋" w:eastAsia="楷体_GB2312" w:cs="仿宋"/>
          <w:sz w:val="32"/>
          <w:szCs w:val="32"/>
        </w:rPr>
        <w:t>完善就业服务工作体系</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黑体"/>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eastAsia="黑体"/>
          <w:sz w:val="32"/>
        </w:rPr>
        <w:t>9</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第二节  </w:t>
      </w:r>
      <w:r>
        <w:rPr>
          <w:rFonts w:hint="eastAsia" w:ascii="楷体_GB2312" w:hAnsi="仿宋" w:eastAsia="楷体_GB2312" w:cs="仿宋"/>
          <w:sz w:val="32"/>
          <w:szCs w:val="32"/>
        </w:rPr>
        <w:t>健全创业服务工作体系</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10</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第三节  推进</w:t>
      </w:r>
      <w:r>
        <w:rPr>
          <w:rFonts w:hint="eastAsia" w:ascii="楷体_GB2312" w:hAnsi="仿宋" w:eastAsia="楷体_GB2312" w:cs="仿宋"/>
          <w:sz w:val="32"/>
          <w:szCs w:val="32"/>
        </w:rPr>
        <w:t>职业技能培训工作体系</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1</w:t>
      </w:r>
    </w:p>
    <w:p>
      <w:pPr>
        <w:adjustRightInd w:val="0"/>
        <w:snapToGrid w:val="0"/>
        <w:spacing w:line="550" w:lineRule="exact"/>
        <w:jc w:val="distribute"/>
        <w:rPr>
          <w:rFonts w:eastAsia="黑体"/>
          <w:sz w:val="32"/>
        </w:rPr>
      </w:pPr>
      <w:r>
        <w:rPr>
          <w:rFonts w:eastAsia="黑体"/>
          <w:sz w:val="32"/>
        </w:rPr>
        <w:t>第</w:t>
      </w:r>
      <w:r>
        <w:rPr>
          <w:rFonts w:hint="eastAsia" w:eastAsia="黑体"/>
          <w:sz w:val="32"/>
        </w:rPr>
        <w:t>四</w:t>
      </w:r>
      <w:r>
        <w:rPr>
          <w:rFonts w:eastAsia="黑体"/>
          <w:sz w:val="32"/>
        </w:rPr>
        <w:t>章  健全多层次社会保障体系</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t>1</w:t>
      </w:r>
      <w:r>
        <w:rPr>
          <w:rFonts w:hint="eastAsia" w:eastAsia="黑体"/>
          <w:sz w:val="32"/>
        </w:rPr>
        <w:t>2</w:t>
      </w:r>
    </w:p>
    <w:p>
      <w:pPr>
        <w:adjustRightInd w:val="0"/>
        <w:snapToGrid w:val="0"/>
        <w:spacing w:line="550" w:lineRule="exact"/>
        <w:ind w:firstLine="640" w:firstLineChars="200"/>
        <w:jc w:val="distribute"/>
        <w:rPr>
          <w:rFonts w:ascii="楷体_GB2312" w:eastAsia="楷体_GB2312"/>
          <w:bCs/>
          <w:sz w:val="32"/>
        </w:rPr>
      </w:pPr>
      <w:r>
        <w:rPr>
          <w:rFonts w:eastAsia="楷体_GB2312"/>
          <w:bCs/>
          <w:sz w:val="32"/>
        </w:rPr>
        <w:t xml:space="preserve">第一节  </w:t>
      </w:r>
      <w:r>
        <w:rPr>
          <w:rFonts w:hint="eastAsia" w:ascii="楷体_GB2312" w:hAnsi="仿宋" w:eastAsia="楷体_GB2312" w:cs="仿宋"/>
          <w:bCs/>
          <w:sz w:val="32"/>
          <w:szCs w:val="32"/>
        </w:rPr>
        <w:t>优化社会保险经办服务</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2</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第二节  </w:t>
      </w:r>
      <w:r>
        <w:rPr>
          <w:rFonts w:hint="eastAsia" w:ascii="楷体_GB2312" w:hAnsi="仿宋" w:eastAsia="楷体_GB2312" w:cs="仿宋"/>
          <w:bCs/>
          <w:sz w:val="32"/>
          <w:szCs w:val="32"/>
        </w:rPr>
        <w:t>提高社会保险待遇水平</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2</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第三节  加强社会保险基金监管</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2</w:t>
      </w:r>
    </w:p>
    <w:p>
      <w:pPr>
        <w:adjustRightInd w:val="0"/>
        <w:snapToGrid w:val="0"/>
        <w:spacing w:line="550" w:lineRule="exact"/>
        <w:jc w:val="distribute"/>
        <w:rPr>
          <w:rFonts w:eastAsia="黑体"/>
          <w:sz w:val="32"/>
        </w:rPr>
      </w:pPr>
      <w:r>
        <w:rPr>
          <w:rFonts w:eastAsia="黑体"/>
          <w:sz w:val="32"/>
        </w:rPr>
        <w:t>第</w:t>
      </w:r>
      <w:r>
        <w:rPr>
          <w:rFonts w:hint="eastAsia" w:eastAsia="黑体"/>
          <w:sz w:val="32"/>
        </w:rPr>
        <w:t>五</w:t>
      </w:r>
      <w:r>
        <w:rPr>
          <w:rFonts w:eastAsia="黑体"/>
          <w:sz w:val="32"/>
        </w:rPr>
        <w:t xml:space="preserve">章  </w:t>
      </w:r>
      <w:r>
        <w:rPr>
          <w:rFonts w:hint="eastAsia" w:ascii="黑体" w:hAnsi="黑体" w:eastAsia="黑体" w:cs="仿宋"/>
          <w:bCs/>
          <w:sz w:val="32"/>
          <w:szCs w:val="32"/>
        </w:rPr>
        <w:t>切实推进人才队伍建设</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黑体"/>
          <w:sz w:val="32"/>
        </w:rPr>
        <w:t>13</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第一节  </w:t>
      </w:r>
      <w:r>
        <w:rPr>
          <w:rFonts w:hint="eastAsia" w:ascii="楷体_GB2312" w:hAnsi="仿宋" w:eastAsia="楷体_GB2312" w:cs="仿宋"/>
          <w:bCs/>
          <w:sz w:val="32"/>
          <w:szCs w:val="32"/>
        </w:rPr>
        <w:t>加快引进和培育高层次人才</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3</w:t>
      </w:r>
    </w:p>
    <w:p>
      <w:pPr>
        <w:adjustRightInd w:val="0"/>
        <w:snapToGrid w:val="0"/>
        <w:spacing w:line="550" w:lineRule="exact"/>
        <w:ind w:firstLine="640" w:firstLineChars="200"/>
        <w:jc w:val="distribute"/>
        <w:rPr>
          <w:rFonts w:eastAsia="楷体_GB2312"/>
          <w:bCs/>
          <w:sz w:val="32"/>
        </w:rPr>
      </w:pPr>
      <w:r>
        <w:rPr>
          <w:rFonts w:hint="eastAsia" w:ascii="楷体_GB2312" w:eastAsia="楷体_GB2312"/>
          <w:bCs/>
          <w:sz w:val="32"/>
        </w:rPr>
        <w:t xml:space="preserve">第二节  </w:t>
      </w:r>
      <w:r>
        <w:rPr>
          <w:rFonts w:hint="eastAsia" w:ascii="楷体_GB2312" w:hAnsi="仿宋" w:eastAsia="楷体_GB2312" w:cs="仿宋"/>
          <w:bCs/>
          <w:sz w:val="32"/>
          <w:szCs w:val="32"/>
        </w:rPr>
        <w:t>规范人才队伍管理</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4</w:t>
      </w:r>
    </w:p>
    <w:p>
      <w:pPr>
        <w:adjustRightInd w:val="0"/>
        <w:snapToGrid w:val="0"/>
        <w:spacing w:line="550" w:lineRule="exact"/>
        <w:ind w:firstLine="640" w:firstLineChars="200"/>
        <w:jc w:val="distribute"/>
        <w:rPr>
          <w:rFonts w:ascii="楷体_GB2312" w:eastAsia="楷体_GB2312"/>
          <w:bCs/>
          <w:sz w:val="32"/>
        </w:rPr>
      </w:pPr>
      <w:r>
        <w:rPr>
          <w:rFonts w:hint="eastAsia" w:ascii="楷体_GB2312" w:eastAsia="楷体_GB2312"/>
          <w:bCs/>
          <w:sz w:val="32"/>
        </w:rPr>
        <w:t xml:space="preserve">第三节  </w:t>
      </w:r>
      <w:r>
        <w:rPr>
          <w:rFonts w:hint="eastAsia" w:ascii="楷体_GB2312" w:hAnsi="仿宋" w:eastAsia="楷体_GB2312" w:cs="仿宋"/>
          <w:bCs/>
          <w:sz w:val="32"/>
          <w:szCs w:val="32"/>
        </w:rPr>
        <w:t>激发人事管理机制活力</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4</w:t>
      </w:r>
    </w:p>
    <w:p>
      <w:pPr>
        <w:adjustRightInd w:val="0"/>
        <w:snapToGrid w:val="0"/>
        <w:spacing w:line="550" w:lineRule="exact"/>
        <w:ind w:firstLine="640" w:firstLineChars="200"/>
        <w:jc w:val="distribute"/>
        <w:rPr>
          <w:rFonts w:eastAsia="楷体_GB2312"/>
          <w:bCs/>
          <w:sz w:val="32"/>
        </w:rPr>
      </w:pPr>
      <w:r>
        <w:rPr>
          <w:rFonts w:hint="eastAsia" w:ascii="楷体_GB2312" w:eastAsia="楷体_GB2312"/>
          <w:bCs/>
          <w:sz w:val="32"/>
        </w:rPr>
        <w:t>第四节  推动人力资源服务业高质量发展</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1</w:t>
      </w:r>
      <w:r>
        <w:rPr>
          <w:rFonts w:hint="eastAsia" w:eastAsia="楷体_GB2312"/>
          <w:bCs/>
          <w:sz w:val="32"/>
        </w:rPr>
        <w:t>6</w:t>
      </w:r>
    </w:p>
    <w:p>
      <w:pPr>
        <w:adjustRightInd w:val="0"/>
        <w:snapToGrid w:val="0"/>
        <w:spacing w:line="540" w:lineRule="exact"/>
        <w:jc w:val="distribute"/>
        <w:rPr>
          <w:rFonts w:eastAsia="黑体"/>
          <w:sz w:val="32"/>
        </w:rPr>
      </w:pPr>
      <w:r>
        <w:rPr>
          <w:rFonts w:eastAsia="黑体"/>
          <w:sz w:val="32"/>
        </w:rPr>
        <w:t>第</w:t>
      </w:r>
      <w:r>
        <w:rPr>
          <w:rFonts w:hint="eastAsia" w:eastAsia="黑体"/>
          <w:sz w:val="32"/>
        </w:rPr>
        <w:t>六</w:t>
      </w:r>
      <w:r>
        <w:rPr>
          <w:rFonts w:eastAsia="黑体"/>
          <w:sz w:val="32"/>
        </w:rPr>
        <w:t xml:space="preserve">章  </w:t>
      </w:r>
      <w:r>
        <w:rPr>
          <w:rFonts w:hint="eastAsia" w:eastAsia="黑体"/>
          <w:sz w:val="32"/>
        </w:rPr>
        <w:t>巩固发展</w:t>
      </w:r>
      <w:r>
        <w:rPr>
          <w:rFonts w:eastAsia="黑体"/>
          <w:sz w:val="32"/>
        </w:rPr>
        <w:t>和谐劳动关系</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黑体"/>
          <w:sz w:val="32"/>
        </w:rPr>
        <w:t>17</w:t>
      </w:r>
    </w:p>
    <w:p>
      <w:pPr>
        <w:adjustRightInd w:val="0"/>
        <w:snapToGrid w:val="0"/>
        <w:spacing w:line="540" w:lineRule="exact"/>
        <w:ind w:firstLine="640" w:firstLineChars="200"/>
        <w:jc w:val="distribute"/>
        <w:rPr>
          <w:rFonts w:eastAsia="黑体"/>
          <w:bCs/>
          <w:sz w:val="32"/>
        </w:rPr>
      </w:pPr>
      <w:r>
        <w:rPr>
          <w:rFonts w:eastAsia="楷体_GB2312"/>
          <w:bCs/>
          <w:sz w:val="32"/>
        </w:rPr>
        <w:t>第一节  健全劳动关系协调机制</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17</w:t>
      </w:r>
    </w:p>
    <w:p>
      <w:pPr>
        <w:pStyle w:val="2"/>
      </w:pPr>
    </w:p>
    <w:p>
      <w:pPr>
        <w:adjustRightInd w:val="0"/>
        <w:snapToGrid w:val="0"/>
        <w:spacing w:line="550" w:lineRule="exact"/>
        <w:ind w:firstLine="640" w:firstLineChars="200"/>
        <w:jc w:val="distribute"/>
        <w:rPr>
          <w:rFonts w:ascii="楷体_GB2312" w:eastAsia="楷体_GB2312"/>
          <w:bCs/>
          <w:sz w:val="32"/>
        </w:rPr>
        <w:sectPr>
          <w:footerReference r:id="rId3" w:type="default"/>
          <w:pgSz w:w="11906" w:h="16838"/>
          <w:pgMar w:top="1440" w:right="1800" w:bottom="1440" w:left="1800" w:header="851" w:footer="992" w:gutter="0"/>
          <w:pgNumType w:fmt="numberInDash"/>
          <w:cols w:space="720" w:num="1"/>
          <w:docGrid w:type="lines" w:linePitch="312" w:charSpace="0"/>
        </w:sectPr>
      </w:pPr>
    </w:p>
    <w:p>
      <w:pPr>
        <w:adjustRightInd w:val="0"/>
        <w:snapToGrid w:val="0"/>
        <w:spacing w:line="540" w:lineRule="exact"/>
        <w:ind w:firstLine="640" w:firstLineChars="200"/>
        <w:jc w:val="distribute"/>
        <w:rPr>
          <w:rFonts w:eastAsia="黑体"/>
          <w:bCs/>
          <w:sz w:val="32"/>
        </w:rPr>
      </w:pPr>
      <w:r>
        <w:rPr>
          <w:rFonts w:eastAsia="楷体_GB2312"/>
          <w:bCs/>
          <w:sz w:val="32"/>
        </w:rPr>
        <w:t>第二节  深化企业工资收入分配制度改革</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18</w:t>
      </w:r>
    </w:p>
    <w:p>
      <w:pPr>
        <w:adjustRightInd w:val="0"/>
        <w:snapToGrid w:val="0"/>
        <w:spacing w:line="540" w:lineRule="exact"/>
        <w:ind w:firstLine="640" w:firstLineChars="200"/>
        <w:jc w:val="distribute"/>
        <w:rPr>
          <w:rFonts w:eastAsia="黑体"/>
          <w:bCs/>
          <w:sz w:val="32"/>
        </w:rPr>
      </w:pPr>
      <w:r>
        <w:rPr>
          <w:rFonts w:eastAsia="楷体_GB2312"/>
          <w:bCs/>
          <w:sz w:val="32"/>
        </w:rPr>
        <w:t>第三节  提高劳动保障监察执法效能</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18</w:t>
      </w:r>
    </w:p>
    <w:p>
      <w:pPr>
        <w:adjustRightInd w:val="0"/>
        <w:snapToGrid w:val="0"/>
        <w:spacing w:line="540" w:lineRule="exact"/>
        <w:ind w:firstLine="640" w:firstLineChars="200"/>
        <w:jc w:val="distribute"/>
        <w:rPr>
          <w:rFonts w:eastAsia="楷体_GB2312"/>
          <w:bCs/>
          <w:sz w:val="32"/>
        </w:rPr>
      </w:pPr>
      <w:r>
        <w:rPr>
          <w:rFonts w:eastAsia="楷体_GB2312"/>
          <w:bCs/>
          <w:sz w:val="32"/>
        </w:rPr>
        <w:t>第四节  加强劳动人事争议调解仲裁</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19</w:t>
      </w:r>
    </w:p>
    <w:p>
      <w:pPr>
        <w:adjustRightInd w:val="0"/>
        <w:snapToGrid w:val="0"/>
        <w:spacing w:line="540" w:lineRule="exact"/>
        <w:ind w:firstLine="640" w:firstLineChars="200"/>
        <w:jc w:val="distribute"/>
        <w:rPr>
          <w:rFonts w:eastAsia="楷体_GB2312"/>
          <w:bCs/>
          <w:sz w:val="32"/>
        </w:rPr>
      </w:pPr>
      <w:r>
        <w:rPr>
          <w:rFonts w:eastAsia="楷体_GB2312"/>
          <w:bCs/>
          <w:sz w:val="32"/>
        </w:rPr>
        <w:t>第五节  强化农民工服务保障</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ascii="楷体_GB2312" w:eastAsia="楷体_GB2312"/>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楷体_GB2312"/>
          <w:bCs/>
          <w:sz w:val="32"/>
        </w:rPr>
        <w:t>19</w:t>
      </w:r>
    </w:p>
    <w:p>
      <w:pPr>
        <w:adjustRightInd w:val="0"/>
        <w:snapToGrid w:val="0"/>
        <w:spacing w:line="540" w:lineRule="exact"/>
        <w:jc w:val="distribute"/>
        <w:rPr>
          <w:rFonts w:eastAsia="黑体"/>
          <w:sz w:val="32"/>
        </w:rPr>
      </w:pPr>
      <w:r>
        <w:rPr>
          <w:rFonts w:eastAsia="黑体"/>
          <w:sz w:val="32"/>
        </w:rPr>
        <w:t>第</w:t>
      </w:r>
      <w:r>
        <w:rPr>
          <w:rFonts w:hint="eastAsia" w:eastAsia="黑体"/>
          <w:sz w:val="32"/>
        </w:rPr>
        <w:t>七</w:t>
      </w:r>
      <w:r>
        <w:rPr>
          <w:rFonts w:eastAsia="黑体"/>
          <w:sz w:val="32"/>
        </w:rPr>
        <w:t>章  提升人社公共服务水平</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t>2</w:t>
      </w:r>
      <w:r>
        <w:rPr>
          <w:rFonts w:hint="eastAsia" w:eastAsia="黑体"/>
          <w:sz w:val="32"/>
        </w:rPr>
        <w:t>0</w:t>
      </w:r>
    </w:p>
    <w:p>
      <w:pPr>
        <w:adjustRightInd w:val="0"/>
        <w:snapToGrid w:val="0"/>
        <w:spacing w:line="540" w:lineRule="exact"/>
        <w:ind w:firstLine="640" w:firstLineChars="200"/>
        <w:jc w:val="distribute"/>
        <w:rPr>
          <w:rFonts w:ascii="楷体_GB2312" w:eastAsia="楷体_GB2312"/>
          <w:bCs/>
          <w:sz w:val="32"/>
        </w:rPr>
      </w:pPr>
      <w:r>
        <w:rPr>
          <w:rFonts w:hint="eastAsia" w:ascii="楷体_GB2312" w:eastAsia="楷体_GB2312"/>
          <w:bCs/>
          <w:sz w:val="32"/>
        </w:rPr>
        <w:t>第一节  完善公共服务平台</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2</w:t>
      </w:r>
      <w:r>
        <w:rPr>
          <w:rFonts w:hint="eastAsia" w:eastAsia="楷体_GB2312"/>
          <w:bCs/>
          <w:sz w:val="32"/>
        </w:rPr>
        <w:t>0</w:t>
      </w:r>
    </w:p>
    <w:p>
      <w:pPr>
        <w:adjustRightInd w:val="0"/>
        <w:snapToGrid w:val="0"/>
        <w:spacing w:line="540" w:lineRule="exact"/>
        <w:ind w:firstLine="640" w:firstLineChars="200"/>
        <w:jc w:val="distribute"/>
        <w:rPr>
          <w:rFonts w:ascii="楷体_GB2312" w:eastAsia="楷体_GB2312"/>
          <w:bCs/>
          <w:sz w:val="32"/>
        </w:rPr>
      </w:pPr>
      <w:r>
        <w:rPr>
          <w:rFonts w:hint="eastAsia" w:ascii="楷体_GB2312" w:eastAsia="楷体_GB2312"/>
          <w:bCs/>
          <w:sz w:val="32"/>
        </w:rPr>
        <w:t xml:space="preserve">第二节  </w:t>
      </w:r>
      <w:r>
        <w:rPr>
          <w:rFonts w:hint="eastAsia" w:ascii="楷体_GB2312" w:hAnsi="仿宋" w:eastAsia="楷体_GB2312" w:cs="仿宋"/>
          <w:bCs/>
          <w:sz w:val="32"/>
          <w:szCs w:val="32"/>
        </w:rPr>
        <w:t>加强人社系统行风建设</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2</w:t>
      </w:r>
      <w:r>
        <w:rPr>
          <w:rFonts w:hint="eastAsia" w:eastAsia="楷体_GB2312"/>
          <w:bCs/>
          <w:sz w:val="32"/>
        </w:rPr>
        <w:t>1</w:t>
      </w:r>
    </w:p>
    <w:p>
      <w:pPr>
        <w:adjustRightInd w:val="0"/>
        <w:snapToGrid w:val="0"/>
        <w:spacing w:line="540" w:lineRule="exact"/>
        <w:ind w:firstLine="640" w:firstLineChars="200"/>
        <w:jc w:val="distribute"/>
        <w:rPr>
          <w:rFonts w:ascii="楷体_GB2312" w:eastAsia="楷体_GB2312"/>
          <w:bCs/>
          <w:sz w:val="32"/>
        </w:rPr>
      </w:pPr>
      <w:r>
        <w:rPr>
          <w:rFonts w:hint="eastAsia" w:ascii="楷体_GB2312" w:eastAsia="楷体_GB2312"/>
          <w:bCs/>
          <w:sz w:val="32"/>
        </w:rPr>
        <w:t xml:space="preserve">第三节  </w:t>
      </w:r>
      <w:r>
        <w:rPr>
          <w:rFonts w:hint="eastAsia" w:ascii="楷体_GB2312" w:hAnsi="仿宋" w:eastAsia="楷体_GB2312" w:cs="仿宋"/>
          <w:bCs/>
          <w:sz w:val="32"/>
          <w:szCs w:val="32"/>
        </w:rPr>
        <w:t>推进基本公共服务均等化</w:t>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hint="eastAsia" w:ascii="楷体_GB2312" w:eastAsia="楷体_GB2312"/>
          <w:sz w:val="32"/>
        </w:rPr>
        <w:sym w:font="Wingdings" w:char="F09E"/>
      </w:r>
      <w:r>
        <w:rPr>
          <w:rFonts w:eastAsia="楷体_GB2312"/>
          <w:bCs/>
          <w:sz w:val="32"/>
        </w:rPr>
        <w:t>2</w:t>
      </w:r>
      <w:r>
        <w:rPr>
          <w:rFonts w:hint="eastAsia" w:eastAsia="楷体_GB2312"/>
          <w:bCs/>
          <w:sz w:val="32"/>
        </w:rPr>
        <w:t>1</w:t>
      </w:r>
    </w:p>
    <w:p>
      <w:pPr>
        <w:adjustRightInd w:val="0"/>
        <w:snapToGrid w:val="0"/>
        <w:spacing w:line="540" w:lineRule="exact"/>
        <w:jc w:val="distribute"/>
        <w:rPr>
          <w:rFonts w:eastAsia="黑体"/>
          <w:sz w:val="32"/>
        </w:rPr>
      </w:pPr>
      <w:r>
        <w:rPr>
          <w:rFonts w:eastAsia="黑体"/>
          <w:sz w:val="32"/>
        </w:rPr>
        <w:t>第</w:t>
      </w:r>
      <w:r>
        <w:rPr>
          <w:rFonts w:hint="eastAsia" w:eastAsia="黑体"/>
          <w:sz w:val="32"/>
        </w:rPr>
        <w:t>八</w:t>
      </w:r>
      <w:r>
        <w:rPr>
          <w:rFonts w:eastAsia="黑体"/>
          <w:sz w:val="32"/>
        </w:rPr>
        <w:t>章  强化规划实施保障</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hint="eastAsia" w:eastAsia="黑体"/>
          <w:sz w:val="32"/>
        </w:rPr>
        <w:t>22</w:t>
      </w:r>
    </w:p>
    <w:p>
      <w:pPr>
        <w:adjustRightInd w:val="0"/>
        <w:snapToGrid w:val="0"/>
        <w:spacing w:line="540" w:lineRule="exact"/>
        <w:ind w:firstLine="640" w:firstLineChars="200"/>
        <w:jc w:val="distribute"/>
        <w:rPr>
          <w:rFonts w:eastAsia="楷体_GB2312"/>
          <w:bCs/>
          <w:sz w:val="32"/>
        </w:rPr>
      </w:pPr>
      <w:r>
        <w:rPr>
          <w:rFonts w:eastAsia="楷体_GB2312"/>
          <w:bCs/>
          <w:sz w:val="32"/>
        </w:rPr>
        <w:t>第一节  加强组织领导</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楷体_GB2312"/>
          <w:bCs/>
          <w:sz w:val="32"/>
        </w:rPr>
        <w:t>2</w:t>
      </w:r>
      <w:r>
        <w:rPr>
          <w:rFonts w:hint="eastAsia" w:eastAsia="楷体_GB2312"/>
          <w:bCs/>
          <w:sz w:val="32"/>
        </w:rPr>
        <w:t>2</w:t>
      </w:r>
    </w:p>
    <w:p>
      <w:pPr>
        <w:adjustRightInd w:val="0"/>
        <w:snapToGrid w:val="0"/>
        <w:spacing w:line="540" w:lineRule="exact"/>
        <w:ind w:firstLine="640" w:firstLineChars="200"/>
        <w:jc w:val="distribute"/>
        <w:rPr>
          <w:rFonts w:eastAsia="仿宋_GB2312"/>
          <w:bCs/>
          <w:sz w:val="32"/>
        </w:rPr>
      </w:pPr>
      <w:r>
        <w:rPr>
          <w:rFonts w:eastAsia="楷体_GB2312"/>
          <w:bCs/>
          <w:sz w:val="32"/>
        </w:rPr>
        <w:t>第二节  加大资金投入</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仿宋_GB2312"/>
          <w:bCs/>
          <w:sz w:val="32"/>
        </w:rPr>
        <w:t>2</w:t>
      </w:r>
      <w:r>
        <w:rPr>
          <w:rFonts w:hint="eastAsia" w:eastAsia="仿宋_GB2312"/>
          <w:bCs/>
          <w:sz w:val="32"/>
        </w:rPr>
        <w:t>2</w:t>
      </w:r>
    </w:p>
    <w:p>
      <w:pPr>
        <w:adjustRightInd w:val="0"/>
        <w:snapToGrid w:val="0"/>
        <w:spacing w:line="540" w:lineRule="exact"/>
        <w:ind w:firstLine="640" w:firstLineChars="200"/>
        <w:jc w:val="distribute"/>
        <w:rPr>
          <w:rFonts w:eastAsia="楷体_GB2312"/>
          <w:bCs/>
          <w:sz w:val="32"/>
        </w:rPr>
      </w:pPr>
      <w:r>
        <w:rPr>
          <w:rFonts w:eastAsia="楷体_GB2312"/>
          <w:bCs/>
          <w:sz w:val="32"/>
        </w:rPr>
        <w:t>第</w:t>
      </w:r>
      <w:r>
        <w:rPr>
          <w:rFonts w:hint="eastAsia" w:eastAsia="楷体_GB2312"/>
          <w:bCs/>
          <w:sz w:val="32"/>
        </w:rPr>
        <w:t>三</w:t>
      </w:r>
      <w:r>
        <w:rPr>
          <w:rFonts w:eastAsia="楷体_GB2312"/>
          <w:bCs/>
          <w:sz w:val="32"/>
        </w:rPr>
        <w:t>节  做好宣传引导</w:t>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黑体"/>
          <w:sz w:val="32"/>
        </w:rPr>
        <w:sym w:font="Wingdings" w:char="F09E"/>
      </w:r>
      <w:r>
        <w:rPr>
          <w:rFonts w:eastAsia="楷体_GB2312"/>
          <w:bCs/>
          <w:sz w:val="32"/>
        </w:rPr>
        <w:t>2</w:t>
      </w:r>
      <w:r>
        <w:rPr>
          <w:rFonts w:hint="eastAsia" w:eastAsia="楷体_GB2312"/>
          <w:bCs/>
          <w:sz w:val="32"/>
        </w:rPr>
        <w:t>2</w:t>
      </w:r>
    </w:p>
    <w:p>
      <w:pPr>
        <w:spacing w:line="560" w:lineRule="exact"/>
        <w:jc w:val="distribute"/>
        <w:rPr>
          <w:rFonts w:eastAsia="方正小标宋简体"/>
          <w:sz w:val="44"/>
          <w:szCs w:val="44"/>
        </w:rPr>
        <w:sectPr>
          <w:footerReference r:id="rId4" w:type="default"/>
          <w:pgSz w:w="11906" w:h="16838"/>
          <w:pgMar w:top="1440" w:right="1800" w:bottom="1440" w:left="1800" w:header="851" w:footer="992" w:gutter="0"/>
          <w:pgNumType w:fmt="numberInDash"/>
          <w:cols w:space="720" w:num="1"/>
          <w:docGrid w:type="lines" w:linePitch="312" w:charSpace="0"/>
        </w:sectPr>
      </w:pP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四五”时期是望城贯彻落实习近平新时代中国特色社会主义思想和习近平总书记考察湖南重要讲话精神、大力实施“三高四新”战略的关键时期，是开启全面建设现代化新望城的重要历史阶段，是加快统筹城乡发展、不断增进民生福祉、推进高质量发展的攻坚期。</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为全面落实《长沙市望城区国民经济和社会发展第十四个五年规划和二</w:t>
      </w:r>
      <w:r>
        <w:rPr>
          <w:rFonts w:hint="eastAsia" w:ascii="仿宋_GB2312" w:hAnsi="仿宋" w:eastAsia="仿宋" w:cs="仿宋"/>
          <w:sz w:val="32"/>
          <w:szCs w:val="32"/>
        </w:rPr>
        <w:t>〇</w:t>
      </w:r>
      <w:r>
        <w:rPr>
          <w:rFonts w:hint="eastAsia" w:ascii="仿宋_GB2312" w:hAnsi="仿宋" w:eastAsia="仿宋_GB2312" w:cs="仿宋"/>
          <w:sz w:val="32"/>
          <w:szCs w:val="32"/>
        </w:rPr>
        <w:t>三五年远景目标纲要》，切实做好“十四五”时期全区人力资源和社会保障工作，制定本规划，规划期为2021年至2025年。本规划是未来五年全区人力资源和社会保障工作发展的总体谋划、战略部署和行动纲领。</w:t>
      </w:r>
    </w:p>
    <w:p>
      <w:pPr>
        <w:spacing w:line="600" w:lineRule="exact"/>
        <w:ind w:firstLine="643" w:firstLineChars="200"/>
        <w:rPr>
          <w:rFonts w:ascii="方正粗黑宋简体" w:hAnsi="方正粗黑宋简体" w:eastAsia="方正粗黑宋简体" w:cs="方正粗黑宋简体"/>
          <w:b/>
          <w:bCs/>
          <w:sz w:val="32"/>
          <w:szCs w:val="32"/>
        </w:rPr>
      </w:pPr>
    </w:p>
    <w:p>
      <w:pPr>
        <w:spacing w:line="600" w:lineRule="exact"/>
        <w:ind w:firstLine="640" w:firstLineChars="200"/>
        <w:jc w:val="center"/>
        <w:rPr>
          <w:rFonts w:ascii="黑体" w:hAnsi="黑体" w:eastAsia="黑体" w:cs="方正粗黑宋简体"/>
          <w:bCs/>
          <w:sz w:val="32"/>
          <w:szCs w:val="32"/>
        </w:rPr>
      </w:pPr>
      <w:r>
        <w:rPr>
          <w:rFonts w:hint="eastAsia" w:ascii="黑体" w:hAnsi="黑体" w:eastAsia="黑体" w:cs="方正粗黑宋简体"/>
          <w:bCs/>
          <w:sz w:val="32"/>
          <w:szCs w:val="32"/>
        </w:rPr>
        <w:t>第一章  发展基础</w:t>
      </w:r>
    </w:p>
    <w:p>
      <w:pPr>
        <w:spacing w:line="600" w:lineRule="exact"/>
        <w:ind w:firstLine="640" w:firstLineChars="200"/>
        <w:rPr>
          <w:rFonts w:ascii="仿宋_GB2312" w:hAnsi="方正粗黑宋简体" w:eastAsia="仿宋_GB2312" w:cs="方正粗黑宋简体"/>
          <w:sz w:val="32"/>
          <w:szCs w:val="32"/>
        </w:rPr>
      </w:pPr>
    </w:p>
    <w:p>
      <w:pPr>
        <w:spacing w:line="600" w:lineRule="exact"/>
        <w:ind w:firstLine="643" w:firstLineChars="200"/>
        <w:jc w:val="center"/>
        <w:rPr>
          <w:rFonts w:ascii="楷体_GB2312" w:hAnsi="方正粗黑宋简体" w:eastAsia="楷体_GB2312" w:cs="方正粗黑宋简体"/>
          <w:b/>
          <w:sz w:val="32"/>
          <w:szCs w:val="32"/>
        </w:rPr>
      </w:pPr>
      <w:r>
        <w:rPr>
          <w:rFonts w:hint="eastAsia" w:ascii="楷体_GB2312" w:hAnsi="方正粗黑宋简体" w:eastAsia="楷体_GB2312" w:cs="方正粗黑宋简体"/>
          <w:b/>
          <w:sz w:val="32"/>
          <w:szCs w:val="32"/>
        </w:rPr>
        <w:t>第一节  “十三五”时期主要成绩</w:t>
      </w:r>
    </w:p>
    <w:p>
      <w:pPr>
        <w:spacing w:line="600" w:lineRule="exact"/>
        <w:ind w:firstLine="640" w:firstLineChars="200"/>
        <w:rPr>
          <w:rFonts w:ascii="仿宋_GB2312" w:hAnsi="仿宋" w:eastAsia="仿宋_GB2312" w:cs="仿宋"/>
          <w:sz w:val="32"/>
          <w:szCs w:val="32"/>
        </w:rPr>
      </w:pP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在区委、区政府的正确领导下，紧紧围绕“四个全面”和“</w:t>
      </w:r>
      <w:bookmarkStart w:id="0" w:name="_GoBack"/>
      <w:bookmarkEnd w:id="0"/>
      <w:r>
        <w:rPr>
          <w:rFonts w:hint="eastAsia" w:ascii="仿宋_GB2312" w:hAnsi="仿宋" w:eastAsia="仿宋_GB2312" w:cs="仿宋"/>
          <w:sz w:val="32"/>
          <w:szCs w:val="32"/>
        </w:rPr>
        <w:t>五位一体”总体布局，以“民生为本、人才优先”为工作主线，加快了人力资源和社会保障事业改革，健全了就业创业体制机制，建立了更加公平的社会保障体系，深化了人事管理制度改革，构建了和谐劳动关系，推进了人力资源社会保障基本公共服务均等化，实现了全区人力资源和社会保障事业全面协调可持续发展。</w:t>
      </w:r>
    </w:p>
    <w:p>
      <w:pPr>
        <w:spacing w:line="600" w:lineRule="exact"/>
        <w:ind w:firstLine="482" w:firstLineChars="150"/>
        <w:rPr>
          <w:rFonts w:ascii="仿宋_GB2312" w:hAnsi="仿宋" w:eastAsia="仿宋_GB2312" w:cs="仿宋"/>
          <w:b/>
          <w:sz w:val="32"/>
          <w:szCs w:val="32"/>
        </w:rPr>
      </w:pPr>
      <w:r>
        <w:rPr>
          <w:rFonts w:eastAsia="仿宋_GB2312"/>
          <w:b/>
          <w:bCs/>
          <w:sz w:val="32"/>
          <w:szCs w:val="32"/>
        </w:rPr>
        <w:t>——</w:t>
      </w:r>
      <w:r>
        <w:rPr>
          <w:rFonts w:hint="eastAsia" w:ascii="仿宋_GB2312" w:hAnsi="仿宋" w:eastAsia="仿宋_GB2312" w:cs="仿宋"/>
          <w:b/>
          <w:sz w:val="32"/>
          <w:szCs w:val="32"/>
        </w:rPr>
        <w:t>统筹城乡就业服务，就业创业扎实推进。</w:t>
      </w:r>
      <w:r>
        <w:rPr>
          <w:rFonts w:hint="eastAsia" w:ascii="仿宋_GB2312" w:hAnsi="仿宋" w:eastAsia="仿宋_GB2312" w:cs="仿宋"/>
          <w:sz w:val="32"/>
          <w:szCs w:val="32"/>
        </w:rPr>
        <w:t>按照“统筹城乡、整合资源、完善体系、夯实基础、规范服务、分步推进”的发展思路，人社服务体系实现镇（街）、村（社区）全覆盖。公共就业服务坚持“政府职介、免费服务”的宗旨，“十三五”期间新增城镇就业40729人。注重通过培训提升劳动者的创业就业能力，2018年以来为登记失业人员、农村转移就业劳动者等群体开办各类技能培训班，培训19996人次，其中创业培训班培训2703人次。围绕创业就业工作，为创业者提供创业培训、创业担保贷款、政策咨询等一条龙服务。城镇登记失业率控制在4%以内，城镇零就业家庭保持动态清零。</w:t>
      </w:r>
    </w:p>
    <w:p>
      <w:pPr>
        <w:spacing w:line="600" w:lineRule="exact"/>
        <w:ind w:firstLine="643" w:firstLineChars="200"/>
        <w:rPr>
          <w:rFonts w:ascii="仿宋_GB2312" w:hAnsi="仿宋" w:eastAsia="仿宋_GB2312" w:cs="仿宋"/>
          <w:b/>
          <w:sz w:val="32"/>
          <w:szCs w:val="32"/>
        </w:rPr>
      </w:pPr>
      <w:r>
        <w:rPr>
          <w:rFonts w:eastAsia="仿宋_GB2312"/>
          <w:b/>
          <w:bCs/>
          <w:sz w:val="32"/>
          <w:szCs w:val="32"/>
        </w:rPr>
        <w:t>——</w:t>
      </w:r>
      <w:r>
        <w:rPr>
          <w:rFonts w:hint="eastAsia" w:ascii="仿宋_GB2312" w:hAnsi="仿宋" w:eastAsia="仿宋_GB2312" w:cs="仿宋"/>
          <w:b/>
          <w:sz w:val="32"/>
          <w:szCs w:val="32"/>
        </w:rPr>
        <w:t>社保体系日趋完善，保障水平稳步提高。</w:t>
      </w:r>
      <w:r>
        <w:rPr>
          <w:rFonts w:hint="eastAsia" w:ascii="仿宋_GB2312" w:hAnsi="仿宋" w:eastAsia="仿宋_GB2312" w:cs="仿宋"/>
          <w:sz w:val="32"/>
          <w:szCs w:val="32"/>
        </w:rPr>
        <w:t>2020年全区机关养老保险参保人数9200人，企业养老保险参保人数213324人，城乡居民养老保险参保人数273836人，望城区2020年城乡居民养老保险参保覆盖率100%，工伤保险参保人数6.9万人，失业保险参保人数6.7万人。率先全市开展全民社会保险参保登记和社会保障一卡通发放试点，成功发卡40余万张。</w:t>
      </w:r>
    </w:p>
    <w:p>
      <w:pPr>
        <w:spacing w:line="600" w:lineRule="exact"/>
        <w:ind w:firstLine="643" w:firstLineChars="200"/>
        <w:rPr>
          <w:rFonts w:ascii="仿宋_GB2312" w:hAnsi="仿宋" w:eastAsia="仿宋_GB2312" w:cs="仿宋"/>
          <w:b/>
          <w:sz w:val="32"/>
          <w:szCs w:val="32"/>
        </w:rPr>
      </w:pPr>
      <w:r>
        <w:rPr>
          <w:rFonts w:eastAsia="仿宋_GB2312"/>
          <w:b/>
          <w:bCs/>
          <w:sz w:val="32"/>
          <w:szCs w:val="32"/>
        </w:rPr>
        <w:t>——</w:t>
      </w:r>
      <w:r>
        <w:rPr>
          <w:rFonts w:hint="eastAsia" w:ascii="仿宋_GB2312" w:hAnsi="仿宋" w:eastAsia="仿宋_GB2312" w:cs="仿宋"/>
          <w:b/>
          <w:sz w:val="32"/>
          <w:szCs w:val="32"/>
        </w:rPr>
        <w:t>人事管理规范有序，人才队伍日益壮大。</w:t>
      </w:r>
      <w:r>
        <w:rPr>
          <w:rFonts w:hint="eastAsia" w:ascii="仿宋_GB2312" w:hAnsi="仿宋" w:eastAsia="仿宋_GB2312" w:cs="仿宋"/>
          <w:sz w:val="32"/>
          <w:szCs w:val="32"/>
        </w:rPr>
        <w:t>精心打造了“相约雷锋家乡”人才招聘品牌，统筹区内政府雇员、卫生专技人员、教师、事业单位工作人员、企业高端人才等招聘活动，坚持为机关事业单位、企业发展提供人才保障。针对人事管理薄弱环节，先后出台《长沙市望城区退役士兵安置办法》《机关事业单位工作人员借调管理办法》《长沙市望城区机关事业单位临聘人员管理办法》等制度，用制度管权、管事、管人。全面完成机关事业单位人员增加离退休费、工资标准调整、乡镇工作补贴发放等工作。</w:t>
      </w:r>
    </w:p>
    <w:p>
      <w:pPr>
        <w:spacing w:line="600" w:lineRule="exact"/>
        <w:ind w:firstLine="643" w:firstLineChars="200"/>
        <w:rPr>
          <w:rFonts w:ascii="仿宋_GB2312" w:hAnsi="仿宋" w:eastAsia="仿宋_GB2312" w:cs="仿宋"/>
          <w:b/>
          <w:sz w:val="32"/>
          <w:szCs w:val="32"/>
        </w:rPr>
      </w:pPr>
      <w:r>
        <w:rPr>
          <w:rFonts w:eastAsia="仿宋_GB2312"/>
          <w:b/>
          <w:bCs/>
          <w:sz w:val="32"/>
          <w:szCs w:val="32"/>
        </w:rPr>
        <w:t>——</w:t>
      </w:r>
      <w:r>
        <w:rPr>
          <w:rFonts w:hint="eastAsia" w:ascii="仿宋_GB2312" w:hAnsi="仿宋" w:eastAsia="仿宋_GB2312" w:cs="仿宋"/>
          <w:b/>
          <w:sz w:val="32"/>
          <w:szCs w:val="32"/>
        </w:rPr>
        <w:t>劳动关系和谐稳定，长效机制逐步健全。</w:t>
      </w:r>
      <w:r>
        <w:rPr>
          <w:rFonts w:hint="eastAsia" w:ascii="仿宋_GB2312" w:hAnsi="仿宋" w:eastAsia="仿宋_GB2312" w:cs="仿宋"/>
          <w:sz w:val="32"/>
          <w:szCs w:val="32"/>
        </w:rPr>
        <w:t>完善农民工工资保证金制度，进一步理顺缴存方式和缴存比例。规范建设领域农民工工资专用账户制度，全面实行农民工工资银行代发，保证农民工合法权益。稳步推进企业工资集体协商工作，已建工会组织企业工资协商建制率达92%。定期开展农民工工资清欠、遵守劳动用工和社会保险法律法规等专项检查，妥善处置民工工资纠纷而引发的群体性事件。及时处理劳动纠纷，累计受理各类劳动争议案件1900多件，涉及职工权益标的4000多万元，法定时间结案率100%。</w:t>
      </w:r>
    </w:p>
    <w:tbl>
      <w:tblPr>
        <w:tblStyle w:val="9"/>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4125"/>
        <w:gridCol w:w="960"/>
        <w:gridCol w:w="1680"/>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jc w:val="center"/>
        </w:trPr>
        <w:tc>
          <w:tcPr>
            <w:tcW w:w="8948" w:type="dxa"/>
            <w:gridSpan w:val="5"/>
            <w:vAlign w:val="center"/>
          </w:tcPr>
          <w:p>
            <w:pPr>
              <w:shd w:val="clear" w:color="auto" w:fill="BFBFBF"/>
              <w:spacing w:line="400" w:lineRule="exact"/>
              <w:jc w:val="center"/>
              <w:rPr>
                <w:rFonts w:ascii="仿宋_GB2312" w:hAnsi="仿宋" w:eastAsia="仿宋_GB2312" w:cs="仿宋"/>
                <w:b/>
                <w:kern w:val="0"/>
                <w:sz w:val="24"/>
              </w:rPr>
            </w:pPr>
            <w:r>
              <w:rPr>
                <w:rFonts w:hint="eastAsia" w:ascii="仿宋_GB2312" w:hAnsi="仿宋" w:eastAsia="仿宋_GB2312" w:cs="仿宋"/>
                <w:b/>
                <w:sz w:val="32"/>
                <w:szCs w:val="32"/>
              </w:rPr>
              <w:t>专栏1  “十三五”规划主要指标完成情况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jc w:val="center"/>
        </w:trPr>
        <w:tc>
          <w:tcPr>
            <w:tcW w:w="615"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序号</w:t>
            </w:r>
          </w:p>
        </w:tc>
        <w:tc>
          <w:tcPr>
            <w:tcW w:w="4125"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指标名称</w:t>
            </w:r>
          </w:p>
        </w:tc>
        <w:tc>
          <w:tcPr>
            <w:tcW w:w="960"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单位</w:t>
            </w:r>
          </w:p>
        </w:tc>
        <w:tc>
          <w:tcPr>
            <w:tcW w:w="1680"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十三五规</w:t>
            </w:r>
          </w:p>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划数</w:t>
            </w:r>
          </w:p>
        </w:tc>
        <w:tc>
          <w:tcPr>
            <w:tcW w:w="1568"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2020年</w:t>
            </w:r>
          </w:p>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完成数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城镇新增就业人数</w:t>
            </w:r>
          </w:p>
        </w:tc>
        <w:tc>
          <w:tcPr>
            <w:tcW w:w="96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人</w:t>
            </w:r>
          </w:p>
        </w:tc>
        <w:tc>
          <w:tcPr>
            <w:tcW w:w="1680"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25000</w:t>
            </w:r>
            <w:r>
              <w:rPr>
                <w:rFonts w:eastAsia="仿宋_GB2312"/>
                <w:sz w:val="28"/>
                <w:szCs w:val="28"/>
              </w:rPr>
              <w:t>]</w:t>
            </w:r>
          </w:p>
        </w:tc>
        <w:tc>
          <w:tcPr>
            <w:tcW w:w="1568"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40729</w:t>
            </w:r>
            <w:r>
              <w:rPr>
                <w:rFonts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2</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失业人员再就业人数</w:t>
            </w:r>
          </w:p>
        </w:tc>
        <w:tc>
          <w:tcPr>
            <w:tcW w:w="96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人</w:t>
            </w:r>
          </w:p>
        </w:tc>
        <w:tc>
          <w:tcPr>
            <w:tcW w:w="1680"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7000</w:t>
            </w:r>
            <w:r>
              <w:rPr>
                <w:rFonts w:eastAsia="仿宋_GB2312"/>
                <w:sz w:val="28"/>
                <w:szCs w:val="28"/>
              </w:rPr>
              <w:t>]</w:t>
            </w:r>
          </w:p>
        </w:tc>
        <w:tc>
          <w:tcPr>
            <w:tcW w:w="1568"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16938</w:t>
            </w:r>
            <w:r>
              <w:rPr>
                <w:rFonts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3</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城镇登记失业率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3</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4</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城镇职工基本养老保险参保人数</w:t>
            </w:r>
          </w:p>
        </w:tc>
        <w:tc>
          <w:tcPr>
            <w:tcW w:w="96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6</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5</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城乡居民养老保险参保覆盖率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98</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6</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机关事业单位养老保险社会化发放率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100</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7</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失业保险参保人数</w:t>
            </w:r>
          </w:p>
        </w:tc>
        <w:tc>
          <w:tcPr>
            <w:tcW w:w="96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5</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8</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工伤保险参保人数</w:t>
            </w:r>
          </w:p>
        </w:tc>
        <w:tc>
          <w:tcPr>
            <w:tcW w:w="96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6.9</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9</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被征地农民养老保险参保率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100</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10</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集体合同签订率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95</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11</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已建工会组织企业工资集体协商建制率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90</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15"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12</w:t>
            </w:r>
          </w:p>
        </w:tc>
        <w:tc>
          <w:tcPr>
            <w:tcW w:w="4125"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劳动人事争议仲裁结案率</w:t>
            </w:r>
          </w:p>
        </w:tc>
        <w:tc>
          <w:tcPr>
            <w:tcW w:w="96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680" w:type="dxa"/>
            <w:vAlign w:val="center"/>
          </w:tcPr>
          <w:p>
            <w:pPr>
              <w:spacing w:line="400" w:lineRule="exact"/>
              <w:jc w:val="center"/>
              <w:rPr>
                <w:rFonts w:eastAsia="仿宋_GB2312"/>
                <w:kern w:val="0"/>
                <w:sz w:val="28"/>
                <w:szCs w:val="28"/>
              </w:rPr>
            </w:pPr>
            <w:r>
              <w:rPr>
                <w:rFonts w:eastAsia="仿宋_GB2312"/>
                <w:kern w:val="0"/>
                <w:sz w:val="28"/>
                <w:szCs w:val="28"/>
              </w:rPr>
              <w:t>95</w:t>
            </w:r>
          </w:p>
        </w:tc>
        <w:tc>
          <w:tcPr>
            <w:tcW w:w="1568" w:type="dxa"/>
            <w:vAlign w:val="center"/>
          </w:tcPr>
          <w:p>
            <w:pPr>
              <w:spacing w:line="400" w:lineRule="exact"/>
              <w:jc w:val="center"/>
              <w:rPr>
                <w:rFonts w:eastAsia="仿宋_GB2312"/>
                <w:kern w:val="0"/>
                <w:sz w:val="28"/>
                <w:szCs w:val="28"/>
              </w:rPr>
            </w:pPr>
            <w:r>
              <w:rPr>
                <w:rFonts w:eastAsia="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948" w:type="dxa"/>
            <w:gridSpan w:val="5"/>
            <w:vAlign w:val="center"/>
          </w:tcPr>
          <w:p>
            <w:pPr>
              <w:spacing w:line="400" w:lineRule="exact"/>
              <w:jc w:val="left"/>
              <w:rPr>
                <w:rFonts w:ascii="仿宋_GB2312" w:hAnsi="仿宋" w:eastAsia="仿宋_GB2312" w:cs="仿宋"/>
                <w:kern w:val="0"/>
                <w:sz w:val="28"/>
                <w:szCs w:val="28"/>
              </w:rPr>
            </w:pPr>
            <w:r>
              <w:rPr>
                <w:rFonts w:eastAsia="仿宋_GB2312"/>
                <w:sz w:val="28"/>
                <w:szCs w:val="28"/>
              </w:rPr>
              <w:t>注：[]内为五年累计数</w:t>
            </w:r>
          </w:p>
        </w:tc>
      </w:tr>
    </w:tbl>
    <w:p>
      <w:pPr>
        <w:spacing w:line="600" w:lineRule="exact"/>
        <w:ind w:firstLine="640" w:firstLineChars="200"/>
        <w:rPr>
          <w:rFonts w:ascii="仿宋" w:hAnsi="仿宋" w:eastAsia="仿宋" w:cs="仿宋"/>
          <w:sz w:val="32"/>
          <w:szCs w:val="32"/>
        </w:rPr>
      </w:pPr>
    </w:p>
    <w:p>
      <w:pPr>
        <w:spacing w:line="600" w:lineRule="exact"/>
        <w:ind w:firstLine="643" w:firstLineChars="200"/>
        <w:jc w:val="center"/>
        <w:rPr>
          <w:rFonts w:ascii="楷体_GB2312" w:hAnsi="方正粗黑宋简体" w:eastAsia="楷体_GB2312" w:cs="方正粗黑宋简体"/>
          <w:b/>
          <w:sz w:val="32"/>
          <w:szCs w:val="32"/>
        </w:rPr>
      </w:pPr>
      <w:r>
        <w:rPr>
          <w:rFonts w:hint="eastAsia" w:ascii="楷体_GB2312" w:hAnsi="方正粗黑宋简体" w:eastAsia="楷体_GB2312" w:cs="方正粗黑宋简体"/>
          <w:b/>
          <w:sz w:val="32"/>
          <w:szCs w:val="32"/>
        </w:rPr>
        <w:t>第二节  “十四五”时期面临的发展形势</w:t>
      </w:r>
    </w:p>
    <w:p>
      <w:pPr>
        <w:spacing w:line="600" w:lineRule="exact"/>
        <w:ind w:firstLine="640" w:firstLineChars="200"/>
        <w:rPr>
          <w:rFonts w:ascii="仿宋" w:hAnsi="仿宋" w:eastAsia="仿宋" w:cs="仿宋"/>
          <w:sz w:val="32"/>
          <w:szCs w:val="32"/>
        </w:rPr>
      </w:pP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四五”时期，我省大力实施“三高四新”战略，将赋予省会长沙更重要的历史使命、更广阔的发展空间、更重大的政策机遇。同时，我区人力资源和社会保障工作仍面临较大压力：就业总量压力不容忽视，就业结构性矛盾依然突出；社会老龄化程度持续加深，社会保障制度的可持续发展面临挑战；现有技术技能人才规模和结构尚难完全适应我区高质量发展需要；产业转型升级、新业态发展给协调劳动关系提出了新挑战；人社公共服务与人民群众的期待尚有差距。发展不平衡不充分问题仍然突出，重点领域关键环节改革任务仍然艰巨。我们必须要坚持以人民为中心的发展思想，不断增强工作的责任感、紧迫感、使命感，抢抓发展机遇、锐意改革创新，加快补齐民生保障短板，开创人力资源和社会保障事业发展新局面。</w:t>
      </w:r>
    </w:p>
    <w:p>
      <w:pPr>
        <w:spacing w:line="600" w:lineRule="exact"/>
        <w:ind w:firstLine="643" w:firstLineChars="200"/>
        <w:rPr>
          <w:rFonts w:ascii="方正粗黑宋简体" w:hAnsi="方正粗黑宋简体" w:eastAsia="方正粗黑宋简体" w:cs="方正粗黑宋简体"/>
          <w:b/>
          <w:sz w:val="32"/>
          <w:szCs w:val="32"/>
        </w:rPr>
      </w:pPr>
    </w:p>
    <w:p>
      <w:pPr>
        <w:spacing w:line="600" w:lineRule="exact"/>
        <w:ind w:firstLine="640" w:firstLineChars="200"/>
        <w:jc w:val="center"/>
        <w:rPr>
          <w:rFonts w:ascii="黑体" w:hAnsi="黑体" w:eastAsia="黑体" w:cs="方正粗黑宋简体"/>
          <w:sz w:val="32"/>
          <w:szCs w:val="32"/>
        </w:rPr>
      </w:pPr>
      <w:r>
        <w:rPr>
          <w:rFonts w:hint="eastAsia" w:ascii="黑体" w:hAnsi="黑体" w:eastAsia="黑体" w:cs="方正粗黑宋简体"/>
          <w:sz w:val="32"/>
          <w:szCs w:val="32"/>
        </w:rPr>
        <w:t>第二章  指导思想和发展目标</w:t>
      </w:r>
    </w:p>
    <w:p>
      <w:pPr>
        <w:spacing w:line="600" w:lineRule="exact"/>
        <w:ind w:firstLine="640" w:firstLineChars="200"/>
        <w:jc w:val="center"/>
        <w:rPr>
          <w:rFonts w:ascii="方正粗黑宋简体" w:hAnsi="方正粗黑宋简体" w:eastAsia="方正粗黑宋简体" w:cs="方正粗黑宋简体"/>
          <w:bCs/>
          <w:sz w:val="32"/>
          <w:szCs w:val="32"/>
        </w:rPr>
      </w:pPr>
    </w:p>
    <w:p>
      <w:pPr>
        <w:spacing w:line="600" w:lineRule="exact"/>
        <w:ind w:firstLine="643" w:firstLineChars="200"/>
        <w:jc w:val="center"/>
        <w:rPr>
          <w:rFonts w:ascii="楷体_GB2312" w:hAnsi="方正粗黑宋简体" w:eastAsia="楷体_GB2312" w:cs="方正粗黑宋简体"/>
          <w:b/>
          <w:bCs/>
          <w:sz w:val="32"/>
          <w:szCs w:val="32"/>
        </w:rPr>
      </w:pPr>
      <w:r>
        <w:rPr>
          <w:rFonts w:hint="eastAsia" w:ascii="楷体_GB2312" w:hAnsi="方正粗黑宋简体" w:eastAsia="楷体_GB2312" w:cs="方正粗黑宋简体"/>
          <w:b/>
          <w:bCs/>
          <w:sz w:val="32"/>
          <w:szCs w:val="32"/>
        </w:rPr>
        <w:t>第一节  指导思想</w:t>
      </w:r>
    </w:p>
    <w:p>
      <w:pPr>
        <w:spacing w:line="600" w:lineRule="exact"/>
        <w:ind w:firstLine="640" w:firstLineChars="200"/>
        <w:rPr>
          <w:rFonts w:eastAsia="仿宋_GB2312"/>
          <w:sz w:val="32"/>
          <w:szCs w:val="32"/>
        </w:rPr>
      </w:pPr>
    </w:p>
    <w:p>
      <w:pPr>
        <w:spacing w:line="600" w:lineRule="exact"/>
        <w:ind w:firstLine="640" w:firstLineChars="200"/>
        <w:rPr>
          <w:rFonts w:ascii="仿宋" w:hAnsi="仿宋" w:eastAsia="仿宋" w:cs="仿宋"/>
          <w:sz w:val="32"/>
          <w:szCs w:val="32"/>
        </w:rPr>
      </w:pPr>
      <w:r>
        <w:rPr>
          <w:rFonts w:eastAsia="仿宋_GB2312"/>
          <w:sz w:val="32"/>
          <w:szCs w:val="32"/>
        </w:rPr>
        <w:t>高举中国特色社会主义伟大旗帜，深入贯彻党的十九大和十九届二中、三中、四中、五中</w:t>
      </w:r>
      <w:r>
        <w:rPr>
          <w:rFonts w:hint="eastAsia" w:eastAsia="仿宋_GB2312"/>
          <w:sz w:val="32"/>
          <w:szCs w:val="32"/>
        </w:rPr>
        <w:t>、六中</w:t>
      </w:r>
      <w:r>
        <w:rPr>
          <w:rFonts w:eastAsia="仿宋_GB2312"/>
          <w:sz w:val="32"/>
          <w:szCs w:val="32"/>
        </w:rPr>
        <w:t>全会精神，坚持以习近平新时代中国特色社会主义思想为指导，全面贯彻习近平总书记关于湖南工作系列重要讲话指示精神，坚持稳中求进工作总基调，以改革创新为根本动力，以满足人民日益增长的美好生活需要为根本目的，</w:t>
      </w:r>
      <w:r>
        <w:rPr>
          <w:rFonts w:hint="eastAsia" w:eastAsia="仿宋_GB2312"/>
          <w:sz w:val="32"/>
          <w:szCs w:val="32"/>
        </w:rPr>
        <w:t>推动实现更加充分更高质量就业，加快</w:t>
      </w:r>
      <w:r>
        <w:rPr>
          <w:rFonts w:eastAsia="仿宋_GB2312"/>
          <w:sz w:val="32"/>
          <w:szCs w:val="32"/>
        </w:rPr>
        <w:t>健全多层次社会保障体系，</w:t>
      </w:r>
      <w:r>
        <w:rPr>
          <w:rFonts w:hint="eastAsia" w:eastAsia="仿宋_GB2312"/>
          <w:sz w:val="32"/>
          <w:szCs w:val="32"/>
        </w:rPr>
        <w:t>持续壮大技术技能</w:t>
      </w:r>
      <w:r>
        <w:rPr>
          <w:rFonts w:eastAsia="仿宋_GB2312"/>
          <w:sz w:val="32"/>
          <w:szCs w:val="32"/>
        </w:rPr>
        <w:t>人才队伍，</w:t>
      </w:r>
      <w:r>
        <w:rPr>
          <w:rFonts w:hint="eastAsia" w:eastAsia="仿宋_GB2312"/>
          <w:sz w:val="32"/>
          <w:szCs w:val="32"/>
        </w:rPr>
        <w:t>不断</w:t>
      </w:r>
      <w:r>
        <w:rPr>
          <w:rFonts w:eastAsia="仿宋_GB2312"/>
          <w:sz w:val="32"/>
          <w:szCs w:val="32"/>
        </w:rPr>
        <w:t>深化人事工资制度改革，</w:t>
      </w:r>
      <w:r>
        <w:rPr>
          <w:rFonts w:hint="eastAsia" w:eastAsia="仿宋_GB2312"/>
          <w:sz w:val="32"/>
          <w:szCs w:val="32"/>
        </w:rPr>
        <w:t>着力构建和谐稳定劳动关系</w:t>
      </w:r>
      <w:r>
        <w:rPr>
          <w:rFonts w:eastAsia="仿宋_GB2312"/>
          <w:sz w:val="32"/>
          <w:szCs w:val="32"/>
        </w:rPr>
        <w:t>，</w:t>
      </w:r>
      <w:r>
        <w:rPr>
          <w:rFonts w:hint="eastAsia" w:eastAsia="仿宋_GB2312"/>
          <w:sz w:val="32"/>
          <w:szCs w:val="32"/>
        </w:rPr>
        <w:t>全面</w:t>
      </w:r>
      <w:r>
        <w:rPr>
          <w:rFonts w:eastAsia="仿宋_GB2312"/>
          <w:sz w:val="32"/>
          <w:szCs w:val="32"/>
        </w:rPr>
        <w:t>提升人社公共服务效能，推动全</w:t>
      </w:r>
      <w:r>
        <w:rPr>
          <w:rFonts w:hint="eastAsia" w:eastAsia="仿宋_GB2312"/>
          <w:sz w:val="32"/>
          <w:szCs w:val="32"/>
        </w:rPr>
        <w:t>区</w:t>
      </w:r>
      <w:r>
        <w:rPr>
          <w:rFonts w:eastAsia="仿宋_GB2312"/>
          <w:sz w:val="32"/>
          <w:szCs w:val="32"/>
        </w:rPr>
        <w:t>人力资源和社会保障事业整体跃升，为</w:t>
      </w:r>
      <w:r>
        <w:rPr>
          <w:rFonts w:hint="eastAsia" w:eastAsia="仿宋_GB2312"/>
          <w:sz w:val="32"/>
          <w:szCs w:val="32"/>
        </w:rPr>
        <w:t>全面建设以“三高四新”为引领的现代化幸福望城作出</w:t>
      </w:r>
      <w:r>
        <w:rPr>
          <w:rFonts w:eastAsia="仿宋_GB2312"/>
          <w:sz w:val="32"/>
          <w:szCs w:val="32"/>
        </w:rPr>
        <w:t>积极贡献。</w:t>
      </w:r>
    </w:p>
    <w:p>
      <w:pPr>
        <w:spacing w:line="600" w:lineRule="exact"/>
        <w:ind w:firstLine="640" w:firstLineChars="200"/>
        <w:rPr>
          <w:rFonts w:ascii="方正粗黑宋简体" w:hAnsi="方正粗黑宋简体" w:eastAsia="方正粗黑宋简体" w:cs="方正粗黑宋简体"/>
          <w:bCs/>
          <w:sz w:val="32"/>
          <w:szCs w:val="32"/>
        </w:rPr>
      </w:pPr>
    </w:p>
    <w:p>
      <w:pPr>
        <w:spacing w:line="600" w:lineRule="exact"/>
        <w:ind w:firstLine="643" w:firstLineChars="200"/>
        <w:jc w:val="center"/>
        <w:rPr>
          <w:rFonts w:ascii="楷体_GB2312" w:hAnsi="方正粗黑宋简体" w:eastAsia="楷体_GB2312" w:cs="方正粗黑宋简体"/>
          <w:b/>
          <w:bCs/>
          <w:sz w:val="32"/>
          <w:szCs w:val="32"/>
        </w:rPr>
      </w:pPr>
      <w:r>
        <w:rPr>
          <w:rFonts w:hint="eastAsia" w:ascii="楷体_GB2312" w:hAnsi="方正粗黑宋简体" w:eastAsia="楷体_GB2312" w:cs="方正粗黑宋简体"/>
          <w:b/>
          <w:bCs/>
          <w:sz w:val="32"/>
          <w:szCs w:val="32"/>
        </w:rPr>
        <w:t>第二节  基本原则</w:t>
      </w:r>
    </w:p>
    <w:p>
      <w:pPr>
        <w:pStyle w:val="2"/>
        <w:spacing w:line="600" w:lineRule="exact"/>
        <w:ind w:firstLine="643" w:firstLineChars="200"/>
        <w:jc w:val="both"/>
        <w:rPr>
          <w:rFonts w:ascii="仿宋" w:hAnsi="仿宋" w:eastAsia="仿宋" w:cs="仿宋"/>
          <w:b/>
          <w:sz w:val="32"/>
          <w:szCs w:val="32"/>
        </w:rPr>
      </w:pPr>
    </w:p>
    <w:p>
      <w:pPr>
        <w:pStyle w:val="2"/>
        <w:spacing w:line="600" w:lineRule="exact"/>
        <w:ind w:firstLine="643" w:firstLineChars="200"/>
        <w:jc w:val="both"/>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坚持服务大局。</w:t>
      </w:r>
      <w:r>
        <w:rPr>
          <w:rFonts w:hint="eastAsia" w:ascii="仿宋_GB2312" w:hAnsi="仿宋" w:eastAsia="仿宋_GB2312" w:cs="仿宋"/>
          <w:sz w:val="32"/>
          <w:szCs w:val="32"/>
        </w:rPr>
        <w:t>始终心怀“国之大者”，紧紧围绕全面建设以“三高四新”为引领的现代化新望城的战略定位，找准差距、补齐短板，在大局中来谋划、来推动、来落实人社工作。</w:t>
      </w:r>
    </w:p>
    <w:p>
      <w:pPr>
        <w:spacing w:line="600" w:lineRule="exact"/>
        <w:ind w:firstLine="643" w:firstLineChars="200"/>
        <w:rPr>
          <w:rFonts w:ascii="仿宋_GB2312" w:hAnsi="仿宋" w:eastAsia="仿宋_GB2312" w:cs="仿宋"/>
          <w:b/>
          <w:sz w:val="32"/>
          <w:szCs w:val="32"/>
        </w:rPr>
      </w:pPr>
      <w:r>
        <w:rPr>
          <w:rFonts w:eastAsia="仿宋_GB2312"/>
          <w:b/>
          <w:bCs/>
          <w:sz w:val="32"/>
          <w:szCs w:val="32"/>
        </w:rPr>
        <w:t>——</w:t>
      </w:r>
      <w:r>
        <w:rPr>
          <w:rFonts w:hint="eastAsia" w:ascii="仿宋_GB2312" w:hAnsi="仿宋" w:eastAsia="仿宋_GB2312" w:cs="仿宋"/>
          <w:b/>
          <w:sz w:val="32"/>
          <w:szCs w:val="32"/>
        </w:rPr>
        <w:t>坚持民生为本。</w:t>
      </w:r>
      <w:r>
        <w:rPr>
          <w:rFonts w:hint="eastAsia" w:ascii="仿宋_GB2312" w:hAnsi="仿宋" w:eastAsia="仿宋_GB2312" w:cs="仿宋"/>
          <w:sz w:val="32"/>
          <w:szCs w:val="32"/>
        </w:rPr>
        <w:t>把保障和改善民生作为工作重点，解决人民群众最关心、最直接、最现实的就业、社会保障、收入分配等利益问题，维护社会和谐稳定，使广大人民群众共享改革发展成果。</w:t>
      </w:r>
    </w:p>
    <w:p>
      <w:pPr>
        <w:spacing w:line="600" w:lineRule="exact"/>
        <w:ind w:firstLine="643" w:firstLineChars="200"/>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坚持人才优先。</w:t>
      </w:r>
      <w:r>
        <w:rPr>
          <w:rFonts w:hint="eastAsia" w:ascii="仿宋_GB2312" w:hAnsi="仿宋" w:eastAsia="仿宋_GB2312" w:cs="仿宋"/>
          <w:sz w:val="32"/>
          <w:szCs w:val="32"/>
        </w:rPr>
        <w:t>以党管人才为原则，突出重点对象聚才，突出重点产业聚才，持续加大引才力度，形成人才引领创新发展、开放发展的良好局面。</w:t>
      </w:r>
    </w:p>
    <w:p>
      <w:pPr>
        <w:spacing w:line="600" w:lineRule="exact"/>
        <w:ind w:firstLine="630" w:firstLineChars="196"/>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坚持依法行政。</w:t>
      </w:r>
      <w:r>
        <w:rPr>
          <w:rFonts w:hint="eastAsia" w:ascii="仿宋_GB2312" w:hAnsi="仿宋" w:eastAsia="仿宋_GB2312" w:cs="仿宋"/>
          <w:sz w:val="32"/>
          <w:szCs w:val="32"/>
        </w:rPr>
        <w:t>推进依法行政和提高行政效率相统一，运用法治思维和法治方式破解改革难题、推进事业发展。建立健全权利公平、机会公平、规则公平为主的人社制度体系，有序推进基本公共服务标准化，促进社会公正和谐稳定。</w:t>
      </w:r>
    </w:p>
    <w:p>
      <w:pPr>
        <w:spacing w:line="600" w:lineRule="exact"/>
        <w:ind w:firstLine="640" w:firstLineChars="200"/>
        <w:rPr>
          <w:rFonts w:ascii="方正粗黑宋简体" w:hAnsi="方正粗黑宋简体" w:eastAsia="方正粗黑宋简体" w:cs="方正粗黑宋简体"/>
          <w:bCs/>
          <w:sz w:val="32"/>
          <w:szCs w:val="32"/>
        </w:rPr>
      </w:pPr>
    </w:p>
    <w:p>
      <w:pPr>
        <w:pStyle w:val="2"/>
      </w:pPr>
    </w:p>
    <w:p>
      <w:pPr>
        <w:pStyle w:val="3"/>
      </w:pPr>
    </w:p>
    <w:p>
      <w:pPr>
        <w:spacing w:line="600" w:lineRule="exact"/>
        <w:ind w:firstLine="643" w:firstLineChars="200"/>
        <w:jc w:val="center"/>
        <w:rPr>
          <w:rFonts w:ascii="楷体_GB2312" w:hAnsi="方正粗黑宋简体" w:eastAsia="楷体_GB2312" w:cs="方正粗黑宋简体"/>
          <w:b/>
          <w:bCs/>
          <w:sz w:val="32"/>
          <w:szCs w:val="32"/>
        </w:rPr>
      </w:pPr>
      <w:r>
        <w:rPr>
          <w:rFonts w:hint="eastAsia" w:ascii="楷体_GB2312" w:hAnsi="方正粗黑宋简体" w:eastAsia="楷体_GB2312" w:cs="方正粗黑宋简体"/>
          <w:b/>
          <w:bCs/>
          <w:sz w:val="32"/>
          <w:szCs w:val="32"/>
        </w:rPr>
        <w:t>第三节  发展目标</w:t>
      </w:r>
    </w:p>
    <w:p>
      <w:pPr>
        <w:spacing w:line="600" w:lineRule="exact"/>
        <w:ind w:firstLine="643" w:firstLineChars="200"/>
        <w:rPr>
          <w:rFonts w:ascii="仿宋" w:hAnsi="仿宋" w:eastAsia="仿宋" w:cs="仿宋"/>
          <w:b/>
          <w:sz w:val="32"/>
          <w:szCs w:val="32"/>
        </w:rPr>
      </w:pPr>
    </w:p>
    <w:p>
      <w:pPr>
        <w:spacing w:line="600" w:lineRule="exact"/>
        <w:ind w:firstLine="643" w:firstLineChars="200"/>
        <w:rPr>
          <w:rFonts w:ascii="仿宋_GB2312" w:hAnsi="仿宋" w:eastAsia="仿宋_GB2312" w:cs="仿宋"/>
          <w:sz w:val="32"/>
          <w:szCs w:val="32"/>
        </w:rPr>
      </w:pPr>
      <w:r>
        <w:rPr>
          <w:rFonts w:hint="eastAsia" w:ascii="仿宋_GB2312" w:hAnsi="仿宋" w:eastAsia="仿宋_GB2312" w:cs="仿宋"/>
          <w:b/>
          <w:sz w:val="32"/>
          <w:szCs w:val="32"/>
        </w:rPr>
        <w:t>总体目标：</w:t>
      </w:r>
      <w:r>
        <w:rPr>
          <w:rFonts w:hint="eastAsia" w:ascii="仿宋_GB2312" w:hAnsi="仿宋" w:eastAsia="仿宋_GB2312" w:cs="仿宋"/>
          <w:sz w:val="32"/>
          <w:szCs w:val="32"/>
        </w:rPr>
        <w:t>就业更加充分、社会保障体系更加完善、收入分配更加合理有序、人才培养引进更加合理、劳动关系更加和谐稳定、人力资源和社会保障基本公共服务信息化水平明显提升、在服务“三高四新”战略落地实施中定位更精准，在做优做强“一主三特”支柱产业和培育壮大“三大新兴”产业方面担当更具体。</w:t>
      </w:r>
    </w:p>
    <w:p>
      <w:pPr>
        <w:spacing w:line="600" w:lineRule="exact"/>
        <w:ind w:firstLine="562"/>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推动实现更加充分更高质量就业。</w:t>
      </w:r>
      <w:r>
        <w:rPr>
          <w:rFonts w:hint="eastAsia" w:ascii="仿宋_GB2312" w:hAnsi="仿宋" w:eastAsia="仿宋_GB2312" w:cs="仿宋"/>
          <w:sz w:val="32"/>
          <w:szCs w:val="32"/>
        </w:rPr>
        <w:t>劳动者职业素质加快提升，就业更加充分，结构更加优化。新增城镇就业4万人以上，登记失业率控制在3.5%以内，城镇调查失业率控制在5.5%以内，重点群体就业保持稳定。</w:t>
      </w:r>
    </w:p>
    <w:p>
      <w:pPr>
        <w:spacing w:line="600" w:lineRule="exact"/>
        <w:ind w:firstLine="643" w:firstLineChars="200"/>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社会保障体系更加完善。</w:t>
      </w:r>
      <w:r>
        <w:rPr>
          <w:rFonts w:hint="eastAsia" w:ascii="仿宋_GB2312" w:hAnsi="仿宋" w:eastAsia="仿宋_GB2312" w:cs="仿宋"/>
          <w:sz w:val="32"/>
          <w:szCs w:val="32"/>
        </w:rPr>
        <w:t>社会保障制度更加完备，体系比较健全，覆盖范围进一步扩大，保障水平稳步提高。城镇职工基本养老保险参保人数完成25万人，城乡居民养老保险参保覆盖率达到100%，基础养老金发放率达到100%，失业保险参保人数达7万人，工伤保险参保人数达到7万人。</w:t>
      </w:r>
    </w:p>
    <w:p>
      <w:pPr>
        <w:widowControl/>
        <w:spacing w:line="600" w:lineRule="exact"/>
        <w:ind w:firstLine="643" w:firstLineChars="200"/>
        <w:jc w:val="left"/>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高层次人才和技能队伍不断扩大。</w:t>
      </w:r>
      <w:r>
        <w:rPr>
          <w:rFonts w:hint="eastAsia" w:ascii="仿宋_GB2312" w:hAnsi="仿宋" w:eastAsia="仿宋_GB2312" w:cs="仿宋"/>
          <w:sz w:val="32"/>
          <w:szCs w:val="32"/>
        </w:rPr>
        <w:t xml:space="preserve">深入实施人才优先发展战略，人才结构进一步优化，高层次、基础技能型人才、紧缺急需人才数量明显增加。加强“一主三特”支柱产业人才扶持。 </w:t>
      </w:r>
    </w:p>
    <w:p>
      <w:pPr>
        <w:spacing w:line="600" w:lineRule="exact"/>
        <w:ind w:firstLine="643" w:firstLineChars="200"/>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sz w:val="32"/>
          <w:szCs w:val="32"/>
        </w:rPr>
        <w:t>劳动关系更加和谐稳定。</w:t>
      </w:r>
      <w:r>
        <w:rPr>
          <w:rFonts w:hint="eastAsia" w:ascii="仿宋_GB2312" w:hAnsi="仿宋" w:eastAsia="仿宋_GB2312" w:cs="仿宋"/>
          <w:sz w:val="32"/>
          <w:szCs w:val="32"/>
        </w:rPr>
        <w:t>全面实施劳动合同制度，集体协商和集体合同制度普遍建立，协调劳动关系三方机制更加完善，劳动人事争议案件得到及时有效处理。行政处理、处罚工作程序进一步规范，根治拖欠农民工工资长效机制进一步巩固。规模以上企业劳动合同签订率达到100%以上，已建工会组织企业工资集体协商建制率达到93%以上，劳动人事争议仲裁结案率达到100%以上，举报投诉法定时效内结案率100%以上。</w:t>
      </w:r>
    </w:p>
    <w:p>
      <w:pPr>
        <w:pStyle w:val="6"/>
        <w:snapToGrid w:val="0"/>
        <w:spacing w:after="0" w:line="600" w:lineRule="exact"/>
        <w:ind w:left="0" w:leftChars="0" w:firstLine="643"/>
        <w:rPr>
          <w:rFonts w:ascii="仿宋_GB2312" w:hAnsi="仿宋" w:eastAsia="仿宋_GB2312" w:cs="仿宋"/>
          <w:sz w:val="32"/>
          <w:szCs w:val="32"/>
        </w:rPr>
      </w:pPr>
      <w:r>
        <w:rPr>
          <w:rFonts w:eastAsia="仿宋_GB2312"/>
          <w:b/>
          <w:bCs/>
          <w:sz w:val="32"/>
          <w:szCs w:val="32"/>
        </w:rPr>
        <w:t>——</w:t>
      </w:r>
      <w:r>
        <w:rPr>
          <w:rFonts w:hint="eastAsia" w:ascii="仿宋_GB2312" w:hAnsi="仿宋" w:eastAsia="仿宋_GB2312" w:cs="仿宋"/>
          <w:b/>
          <w:bCs/>
          <w:sz w:val="32"/>
          <w:szCs w:val="32"/>
        </w:rPr>
        <w:t>人社公共服务更加优质高效。</w:t>
      </w:r>
      <w:r>
        <w:rPr>
          <w:rFonts w:hint="eastAsia" w:ascii="仿宋_GB2312" w:hAnsi="仿宋" w:eastAsia="仿宋_GB2312" w:cs="仿宋"/>
          <w:sz w:val="32"/>
          <w:szCs w:val="32"/>
        </w:rPr>
        <w:t>方便快捷、优质高效的人社公共服务体系建立健全，标准化、信息化建设显著提高，基层平台硬件条件持续改善，经办服务方式更加多样化，群众满意度明显提升。</w:t>
      </w:r>
    </w:p>
    <w:p>
      <w:pPr>
        <w:pStyle w:val="3"/>
        <w:spacing w:line="600" w:lineRule="exact"/>
        <w:rPr>
          <w:rFonts w:ascii="方正粗黑宋简体" w:hAnsi="方正粗黑宋简体" w:eastAsia="方正粗黑宋简体" w:cs="方正粗黑宋简体"/>
          <w:sz w:val="32"/>
          <w:szCs w:val="32"/>
        </w:rPr>
      </w:pPr>
    </w:p>
    <w:tbl>
      <w:tblPr>
        <w:tblStyle w:val="9"/>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3687"/>
        <w:gridCol w:w="1140"/>
        <w:gridCol w:w="1245"/>
        <w:gridCol w:w="1275"/>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 w:hRule="atLeast"/>
          <w:jc w:val="center"/>
        </w:trPr>
        <w:tc>
          <w:tcPr>
            <w:tcW w:w="9286" w:type="dxa"/>
            <w:gridSpan w:val="6"/>
            <w:vAlign w:val="center"/>
          </w:tcPr>
          <w:p>
            <w:pPr>
              <w:shd w:val="clear" w:color="auto" w:fill="BFBFBF"/>
              <w:spacing w:line="400" w:lineRule="exact"/>
              <w:jc w:val="center"/>
              <w:rPr>
                <w:rFonts w:ascii="仿宋_GB2312" w:hAnsi="仿宋" w:eastAsia="仿宋_GB2312" w:cs="仿宋"/>
                <w:b/>
                <w:kern w:val="0"/>
                <w:sz w:val="32"/>
                <w:szCs w:val="32"/>
              </w:rPr>
            </w:pPr>
            <w:r>
              <w:rPr>
                <w:rFonts w:hint="eastAsia" w:ascii="仿宋_GB2312" w:hAnsi="仿宋" w:eastAsia="仿宋_GB2312" w:cs="仿宋"/>
                <w:b/>
                <w:sz w:val="32"/>
                <w:szCs w:val="32"/>
              </w:rPr>
              <w:t>专栏2  “十四五”规划发展主要指标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9286" w:type="dxa"/>
            <w:gridSpan w:val="6"/>
            <w:vAlign w:val="center"/>
          </w:tcPr>
          <w:p>
            <w:pPr>
              <w:spacing w:line="400" w:lineRule="exact"/>
              <w:rPr>
                <w:rFonts w:ascii="仿宋_GB2312" w:hAnsi="仿宋" w:eastAsia="仿宋_GB2312" w:cs="仿宋"/>
                <w:b/>
                <w:kern w:val="0"/>
                <w:sz w:val="28"/>
                <w:szCs w:val="28"/>
              </w:rPr>
            </w:pPr>
            <w:r>
              <w:rPr>
                <w:rFonts w:hint="eastAsia" w:ascii="仿宋_GB2312" w:hAnsi="仿宋" w:eastAsia="仿宋_GB2312" w:cs="仿宋"/>
                <w:b/>
                <w:kern w:val="0"/>
                <w:sz w:val="28"/>
                <w:szCs w:val="28"/>
              </w:rPr>
              <w:t>一、就业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序号</w:t>
            </w:r>
          </w:p>
        </w:tc>
        <w:tc>
          <w:tcPr>
            <w:tcW w:w="3687"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指标名称</w:t>
            </w:r>
          </w:p>
        </w:tc>
        <w:tc>
          <w:tcPr>
            <w:tcW w:w="1140"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单位</w:t>
            </w:r>
          </w:p>
        </w:tc>
        <w:tc>
          <w:tcPr>
            <w:tcW w:w="1245"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2020年</w:t>
            </w:r>
          </w:p>
        </w:tc>
        <w:tc>
          <w:tcPr>
            <w:tcW w:w="1275"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2025年</w:t>
            </w:r>
          </w:p>
        </w:tc>
        <w:tc>
          <w:tcPr>
            <w:tcW w:w="1158" w:type="dxa"/>
            <w:vAlign w:val="center"/>
          </w:tcPr>
          <w:p>
            <w:pPr>
              <w:spacing w:line="400" w:lineRule="exact"/>
              <w:jc w:val="center"/>
              <w:rPr>
                <w:rFonts w:ascii="仿宋_GB2312" w:hAnsi="仿宋" w:eastAsia="仿宋_GB2312" w:cs="仿宋"/>
                <w:b/>
                <w:kern w:val="0"/>
                <w:sz w:val="28"/>
                <w:szCs w:val="28"/>
              </w:rPr>
            </w:pPr>
            <w:r>
              <w:rPr>
                <w:rFonts w:hint="eastAsia" w:ascii="仿宋_GB2312" w:hAnsi="仿宋" w:eastAsia="仿宋_GB2312" w:cs="仿宋"/>
                <w:b/>
                <w:kern w:val="0"/>
                <w:sz w:val="28"/>
                <w:szCs w:val="28"/>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w:t>
            </w:r>
          </w:p>
        </w:tc>
        <w:tc>
          <w:tcPr>
            <w:tcW w:w="3687"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城镇新增就业人数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人</w:t>
            </w:r>
          </w:p>
        </w:tc>
        <w:tc>
          <w:tcPr>
            <w:tcW w:w="1245" w:type="dxa"/>
            <w:vAlign w:val="center"/>
          </w:tcPr>
          <w:p>
            <w:pPr>
              <w:spacing w:line="400" w:lineRule="exact"/>
              <w:jc w:val="center"/>
              <w:rPr>
                <w:rFonts w:eastAsia="仿宋_GB2312"/>
                <w:kern w:val="0"/>
                <w:sz w:val="28"/>
                <w:szCs w:val="28"/>
              </w:rPr>
            </w:pPr>
            <w:r>
              <w:rPr>
                <w:rFonts w:eastAsia="仿宋_GB2312"/>
                <w:kern w:val="0"/>
                <w:sz w:val="28"/>
                <w:szCs w:val="28"/>
              </w:rPr>
              <w:t>7800</w:t>
            </w:r>
          </w:p>
        </w:tc>
        <w:tc>
          <w:tcPr>
            <w:tcW w:w="1275" w:type="dxa"/>
            <w:vAlign w:val="center"/>
          </w:tcPr>
          <w:p>
            <w:pPr>
              <w:spacing w:line="400" w:lineRule="exact"/>
              <w:jc w:val="center"/>
              <w:rPr>
                <w:rFonts w:eastAsia="仿宋_GB2312"/>
                <w:kern w:val="0"/>
                <w:sz w:val="28"/>
                <w:szCs w:val="28"/>
              </w:rPr>
            </w:pPr>
            <w:r>
              <w:rPr>
                <w:rFonts w:eastAsia="仿宋_GB2312"/>
                <w:kern w:val="0"/>
                <w:sz w:val="28"/>
                <w:szCs w:val="28"/>
              </w:rPr>
              <w:t>8000</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2</w:t>
            </w:r>
          </w:p>
        </w:tc>
        <w:tc>
          <w:tcPr>
            <w:tcW w:w="3687"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城镇登记失业率</w:t>
            </w:r>
          </w:p>
        </w:tc>
        <w:tc>
          <w:tcPr>
            <w:tcW w:w="114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245" w:type="dxa"/>
            <w:vAlign w:val="center"/>
          </w:tcPr>
          <w:p>
            <w:pPr>
              <w:spacing w:line="400" w:lineRule="exact"/>
              <w:jc w:val="center"/>
              <w:rPr>
                <w:rFonts w:eastAsia="仿宋_GB2312"/>
                <w:kern w:val="0"/>
                <w:sz w:val="28"/>
                <w:szCs w:val="28"/>
              </w:rPr>
            </w:pPr>
            <w:r>
              <w:rPr>
                <w:rFonts w:eastAsia="仿宋_GB2312"/>
                <w:kern w:val="0"/>
                <w:sz w:val="28"/>
                <w:szCs w:val="28"/>
              </w:rPr>
              <w:t>3.</w:t>
            </w:r>
            <w:r>
              <w:rPr>
                <w:rFonts w:hint="eastAsia" w:eastAsia="仿宋_GB2312"/>
                <w:kern w:val="0"/>
                <w:sz w:val="28"/>
                <w:szCs w:val="28"/>
              </w:rPr>
              <w:t>04</w:t>
            </w:r>
          </w:p>
        </w:tc>
        <w:tc>
          <w:tcPr>
            <w:tcW w:w="1275" w:type="dxa"/>
            <w:vAlign w:val="center"/>
          </w:tcPr>
          <w:p>
            <w:pPr>
              <w:spacing w:line="400" w:lineRule="exact"/>
              <w:jc w:val="center"/>
              <w:rPr>
                <w:rFonts w:eastAsia="仿宋_GB2312"/>
                <w:kern w:val="0"/>
                <w:sz w:val="28"/>
                <w:szCs w:val="28"/>
              </w:rPr>
            </w:pPr>
            <w:r>
              <w:rPr>
                <w:rFonts w:eastAsia="仿宋_GB2312"/>
                <w:kern w:val="0"/>
                <w:sz w:val="28"/>
                <w:szCs w:val="28"/>
              </w:rPr>
              <w:t>3.5</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3</w:t>
            </w:r>
          </w:p>
        </w:tc>
        <w:tc>
          <w:tcPr>
            <w:tcW w:w="3687" w:type="dxa"/>
            <w:vAlign w:val="center"/>
          </w:tcPr>
          <w:p>
            <w:pPr>
              <w:spacing w:line="400" w:lineRule="exact"/>
              <w:rPr>
                <w:rFonts w:ascii="仿宋_GB2312" w:eastAsia="仿宋_GB2312"/>
                <w:sz w:val="28"/>
                <w:szCs w:val="28"/>
              </w:rPr>
            </w:pPr>
            <w:r>
              <w:rPr>
                <w:rFonts w:hint="eastAsia" w:ascii="仿宋_GB2312" w:eastAsia="仿宋_GB2312"/>
                <w:sz w:val="28"/>
                <w:szCs w:val="28"/>
              </w:rPr>
              <w:t>城镇调查失业率</w:t>
            </w:r>
          </w:p>
        </w:tc>
        <w:tc>
          <w:tcPr>
            <w:tcW w:w="114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245" w:type="dxa"/>
            <w:vAlign w:val="center"/>
          </w:tcPr>
          <w:p>
            <w:pPr>
              <w:spacing w:line="400" w:lineRule="exact"/>
              <w:jc w:val="center"/>
              <w:rPr>
                <w:rFonts w:eastAsia="仿宋_GB2312"/>
                <w:kern w:val="0"/>
                <w:sz w:val="28"/>
                <w:szCs w:val="28"/>
              </w:rPr>
            </w:pPr>
            <w:r>
              <w:rPr>
                <w:rFonts w:eastAsia="仿宋_GB2312"/>
                <w:sz w:val="28"/>
                <w:szCs w:val="28"/>
              </w:rPr>
              <w:t>—</w:t>
            </w:r>
          </w:p>
        </w:tc>
        <w:tc>
          <w:tcPr>
            <w:tcW w:w="1275" w:type="dxa"/>
            <w:vAlign w:val="center"/>
          </w:tcPr>
          <w:p>
            <w:pPr>
              <w:spacing w:line="400" w:lineRule="exact"/>
              <w:jc w:val="center"/>
              <w:rPr>
                <w:rFonts w:eastAsia="仿宋_GB2312"/>
                <w:kern w:val="0"/>
                <w:sz w:val="28"/>
                <w:szCs w:val="28"/>
              </w:rPr>
            </w:pPr>
            <w:r>
              <w:rPr>
                <w:rFonts w:eastAsia="仿宋_GB2312"/>
                <w:kern w:val="0"/>
                <w:sz w:val="28"/>
                <w:szCs w:val="28"/>
              </w:rPr>
              <w:t>5.5</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4</w:t>
            </w:r>
          </w:p>
        </w:tc>
        <w:tc>
          <w:tcPr>
            <w:tcW w:w="3687" w:type="dxa"/>
            <w:vAlign w:val="center"/>
          </w:tcPr>
          <w:p>
            <w:pPr>
              <w:spacing w:line="400" w:lineRule="exact"/>
              <w:rPr>
                <w:rFonts w:ascii="仿宋_GB2312" w:hAnsi="仿宋" w:eastAsia="仿宋_GB2312" w:cs="仿宋"/>
                <w:kern w:val="0"/>
                <w:sz w:val="28"/>
                <w:szCs w:val="28"/>
              </w:rPr>
            </w:pPr>
            <w:r>
              <w:rPr>
                <w:rFonts w:hint="eastAsia" w:ascii="仿宋_GB2312" w:eastAsia="仿宋_GB2312"/>
                <w:sz w:val="28"/>
                <w:szCs w:val="28"/>
              </w:rPr>
              <w:t>开展补贴性职业技能培训人次</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万人次</w:t>
            </w:r>
          </w:p>
        </w:tc>
        <w:tc>
          <w:tcPr>
            <w:tcW w:w="1245" w:type="dxa"/>
            <w:vAlign w:val="center"/>
          </w:tcPr>
          <w:p>
            <w:pPr>
              <w:spacing w:line="400" w:lineRule="exact"/>
              <w:jc w:val="center"/>
              <w:rPr>
                <w:rFonts w:eastAsia="仿宋_GB2312"/>
                <w:kern w:val="0"/>
                <w:sz w:val="28"/>
                <w:szCs w:val="28"/>
              </w:rPr>
            </w:pPr>
            <w:r>
              <w:rPr>
                <w:rFonts w:eastAsia="仿宋_GB2312"/>
                <w:sz w:val="28"/>
                <w:szCs w:val="28"/>
              </w:rPr>
              <w:t>—</w:t>
            </w:r>
          </w:p>
        </w:tc>
        <w:tc>
          <w:tcPr>
            <w:tcW w:w="1275"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4.0</w:t>
            </w:r>
            <w:r>
              <w:rPr>
                <w:rFonts w:eastAsia="仿宋_GB2312"/>
                <w:sz w:val="28"/>
                <w:szCs w:val="28"/>
              </w:rPr>
              <w:t>]</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5</w:t>
            </w:r>
          </w:p>
        </w:tc>
        <w:tc>
          <w:tcPr>
            <w:tcW w:w="3687" w:type="dxa"/>
            <w:vAlign w:val="center"/>
          </w:tcPr>
          <w:p>
            <w:pPr>
              <w:spacing w:line="400" w:lineRule="exact"/>
              <w:rPr>
                <w:rFonts w:ascii="仿宋_GB2312" w:eastAsia="仿宋_GB2312"/>
                <w:sz w:val="28"/>
                <w:szCs w:val="28"/>
              </w:rPr>
            </w:pPr>
            <w:r>
              <w:rPr>
                <w:rFonts w:hint="eastAsia" w:ascii="仿宋_GB2312" w:eastAsia="仿宋_GB2312"/>
                <w:sz w:val="28"/>
                <w:szCs w:val="28"/>
              </w:rPr>
              <w:t>其中：农民工参加职业培训人数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万人次</w:t>
            </w:r>
          </w:p>
        </w:tc>
        <w:tc>
          <w:tcPr>
            <w:tcW w:w="1245" w:type="dxa"/>
            <w:vAlign w:val="center"/>
          </w:tcPr>
          <w:p>
            <w:pPr>
              <w:spacing w:line="400" w:lineRule="exact"/>
              <w:jc w:val="center"/>
              <w:rPr>
                <w:rFonts w:eastAsia="仿宋_GB2312"/>
                <w:kern w:val="0"/>
                <w:sz w:val="28"/>
                <w:szCs w:val="28"/>
              </w:rPr>
            </w:pPr>
            <w:r>
              <w:rPr>
                <w:rFonts w:eastAsia="仿宋_GB2312"/>
                <w:sz w:val="28"/>
                <w:szCs w:val="28"/>
              </w:rPr>
              <w:t>—</w:t>
            </w:r>
          </w:p>
        </w:tc>
        <w:tc>
          <w:tcPr>
            <w:tcW w:w="1275" w:type="dxa"/>
            <w:vAlign w:val="center"/>
          </w:tcPr>
          <w:p>
            <w:pPr>
              <w:spacing w:line="400" w:lineRule="exact"/>
              <w:jc w:val="center"/>
              <w:rPr>
                <w:rFonts w:eastAsia="仿宋_GB2312"/>
                <w:sz w:val="28"/>
                <w:szCs w:val="28"/>
              </w:rPr>
            </w:pPr>
            <w:r>
              <w:rPr>
                <w:rFonts w:eastAsia="仿宋_GB2312"/>
                <w:sz w:val="28"/>
                <w:szCs w:val="28"/>
              </w:rPr>
              <w:t>[</w:t>
            </w:r>
            <w:r>
              <w:rPr>
                <w:rFonts w:eastAsia="仿宋_GB2312"/>
                <w:kern w:val="0"/>
                <w:sz w:val="28"/>
                <w:szCs w:val="28"/>
              </w:rPr>
              <w:t>1</w:t>
            </w:r>
            <w:r>
              <w:rPr>
                <w:rFonts w:eastAsia="仿宋_GB2312"/>
                <w:sz w:val="28"/>
                <w:szCs w:val="28"/>
              </w:rPr>
              <w:t>]</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286" w:type="dxa"/>
            <w:gridSpan w:val="6"/>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b/>
                <w:bCs/>
                <w:kern w:val="0"/>
                <w:sz w:val="28"/>
                <w:szCs w:val="28"/>
              </w:rPr>
              <w:t>二、社会保障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6</w:t>
            </w:r>
          </w:p>
        </w:tc>
        <w:tc>
          <w:tcPr>
            <w:tcW w:w="3687" w:type="dxa"/>
            <w:vAlign w:val="center"/>
          </w:tcPr>
          <w:p>
            <w:pPr>
              <w:spacing w:line="400" w:lineRule="exact"/>
              <w:rPr>
                <w:rFonts w:ascii="仿宋_GB2312" w:hAnsi="仿宋" w:eastAsia="仿宋_GB2312" w:cs="仿宋"/>
                <w:kern w:val="0"/>
                <w:sz w:val="28"/>
                <w:szCs w:val="28"/>
              </w:rPr>
            </w:pPr>
            <w:r>
              <w:rPr>
                <w:rFonts w:eastAsia="仿宋_GB2312"/>
                <w:spacing w:val="-14"/>
                <w:sz w:val="28"/>
                <w:szCs w:val="28"/>
              </w:rPr>
              <w:t>基本养老保险参保覆盖率</w:t>
            </w:r>
          </w:p>
        </w:tc>
        <w:tc>
          <w:tcPr>
            <w:tcW w:w="1140" w:type="dxa"/>
            <w:vAlign w:val="center"/>
          </w:tcPr>
          <w:p>
            <w:pPr>
              <w:spacing w:line="400" w:lineRule="exact"/>
              <w:jc w:val="center"/>
              <w:rPr>
                <w:rFonts w:ascii="仿宋_GB2312" w:hAnsi="仿宋" w:eastAsia="仿宋_GB2312" w:cs="仿宋"/>
                <w:kern w:val="0"/>
                <w:sz w:val="28"/>
                <w:szCs w:val="28"/>
              </w:rPr>
            </w:pPr>
            <w:r>
              <w:rPr>
                <w:rFonts w:eastAsia="仿宋_GB2312"/>
                <w:sz w:val="28"/>
                <w:szCs w:val="28"/>
              </w:rPr>
              <w:t>%</w:t>
            </w:r>
          </w:p>
        </w:tc>
        <w:tc>
          <w:tcPr>
            <w:tcW w:w="1245" w:type="dxa"/>
            <w:vAlign w:val="center"/>
          </w:tcPr>
          <w:p>
            <w:pPr>
              <w:spacing w:line="400" w:lineRule="exact"/>
              <w:jc w:val="center"/>
              <w:rPr>
                <w:rFonts w:eastAsia="仿宋_GB2312"/>
                <w:kern w:val="0"/>
                <w:sz w:val="28"/>
                <w:szCs w:val="28"/>
              </w:rPr>
            </w:pPr>
            <w:r>
              <w:rPr>
                <w:rFonts w:eastAsia="仿宋_GB2312"/>
                <w:sz w:val="28"/>
                <w:szCs w:val="28"/>
              </w:rPr>
              <w:t>≥96</w:t>
            </w:r>
          </w:p>
        </w:tc>
        <w:tc>
          <w:tcPr>
            <w:tcW w:w="1275" w:type="dxa"/>
            <w:vAlign w:val="center"/>
          </w:tcPr>
          <w:p>
            <w:pPr>
              <w:spacing w:line="400" w:lineRule="exact"/>
              <w:jc w:val="center"/>
              <w:rPr>
                <w:rFonts w:eastAsia="仿宋_GB2312"/>
                <w:kern w:val="0"/>
                <w:sz w:val="28"/>
                <w:szCs w:val="28"/>
              </w:rPr>
            </w:pPr>
            <w:r>
              <w:rPr>
                <w:rFonts w:eastAsia="仿宋_GB2312"/>
                <w:sz w:val="28"/>
                <w:szCs w:val="28"/>
              </w:rPr>
              <w:t>96</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7</w:t>
            </w:r>
          </w:p>
        </w:tc>
        <w:tc>
          <w:tcPr>
            <w:tcW w:w="3687"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失业保险参保人数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245" w:type="dxa"/>
            <w:vAlign w:val="center"/>
          </w:tcPr>
          <w:p>
            <w:pPr>
              <w:spacing w:line="400" w:lineRule="exact"/>
              <w:jc w:val="center"/>
              <w:rPr>
                <w:rFonts w:eastAsia="仿宋_GB2312"/>
                <w:kern w:val="0"/>
                <w:sz w:val="28"/>
                <w:szCs w:val="28"/>
              </w:rPr>
            </w:pPr>
            <w:r>
              <w:rPr>
                <w:rFonts w:eastAsia="仿宋_GB2312"/>
                <w:kern w:val="0"/>
                <w:sz w:val="28"/>
                <w:szCs w:val="28"/>
              </w:rPr>
              <w:t>6.7</w:t>
            </w:r>
          </w:p>
        </w:tc>
        <w:tc>
          <w:tcPr>
            <w:tcW w:w="1275" w:type="dxa"/>
            <w:vAlign w:val="center"/>
          </w:tcPr>
          <w:p>
            <w:pPr>
              <w:spacing w:line="400" w:lineRule="exact"/>
              <w:jc w:val="center"/>
              <w:rPr>
                <w:rFonts w:eastAsia="仿宋_GB2312"/>
                <w:kern w:val="0"/>
                <w:sz w:val="28"/>
                <w:szCs w:val="28"/>
              </w:rPr>
            </w:pPr>
            <w:r>
              <w:rPr>
                <w:rFonts w:eastAsia="仿宋_GB2312"/>
                <w:kern w:val="0"/>
                <w:sz w:val="28"/>
                <w:szCs w:val="28"/>
              </w:rPr>
              <w:t>7</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8</w:t>
            </w:r>
          </w:p>
        </w:tc>
        <w:tc>
          <w:tcPr>
            <w:tcW w:w="3687" w:type="dxa"/>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kern w:val="0"/>
                <w:sz w:val="28"/>
                <w:szCs w:val="28"/>
              </w:rPr>
              <w:t>工伤保险参保人数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245" w:type="dxa"/>
            <w:vAlign w:val="center"/>
          </w:tcPr>
          <w:p>
            <w:pPr>
              <w:spacing w:line="400" w:lineRule="exact"/>
              <w:jc w:val="center"/>
              <w:rPr>
                <w:rFonts w:eastAsia="仿宋_GB2312"/>
                <w:kern w:val="0"/>
                <w:sz w:val="28"/>
                <w:szCs w:val="28"/>
              </w:rPr>
            </w:pPr>
            <w:r>
              <w:rPr>
                <w:rFonts w:eastAsia="仿宋_GB2312"/>
                <w:kern w:val="0"/>
                <w:sz w:val="28"/>
                <w:szCs w:val="28"/>
              </w:rPr>
              <w:t>6.9</w:t>
            </w:r>
          </w:p>
        </w:tc>
        <w:tc>
          <w:tcPr>
            <w:tcW w:w="1275" w:type="dxa"/>
            <w:vAlign w:val="center"/>
          </w:tcPr>
          <w:p>
            <w:pPr>
              <w:spacing w:line="400" w:lineRule="exact"/>
              <w:jc w:val="center"/>
              <w:rPr>
                <w:rFonts w:eastAsia="仿宋_GB2312"/>
                <w:kern w:val="0"/>
                <w:sz w:val="28"/>
                <w:szCs w:val="28"/>
              </w:rPr>
            </w:pPr>
            <w:r>
              <w:rPr>
                <w:rFonts w:eastAsia="仿宋_GB2312"/>
                <w:kern w:val="0"/>
                <w:sz w:val="28"/>
                <w:szCs w:val="28"/>
              </w:rPr>
              <w:t>7</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286" w:type="dxa"/>
            <w:gridSpan w:val="6"/>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b/>
                <w:bCs/>
                <w:kern w:val="0"/>
                <w:sz w:val="28"/>
                <w:szCs w:val="28"/>
              </w:rPr>
              <w:t>三、人事人才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9</w:t>
            </w:r>
          </w:p>
        </w:tc>
        <w:tc>
          <w:tcPr>
            <w:tcW w:w="3687" w:type="dxa"/>
            <w:vAlign w:val="center"/>
          </w:tcPr>
          <w:p>
            <w:pPr>
              <w:spacing w:line="400" w:lineRule="exact"/>
              <w:jc w:val="left"/>
              <w:rPr>
                <w:rFonts w:ascii="仿宋_GB2312" w:hAnsi="仿宋" w:eastAsia="仿宋_GB2312" w:cs="仿宋"/>
                <w:kern w:val="0"/>
                <w:sz w:val="28"/>
                <w:szCs w:val="28"/>
              </w:rPr>
            </w:pPr>
            <w:r>
              <w:rPr>
                <w:rFonts w:hint="eastAsia" w:ascii="仿宋_GB2312" w:hAnsi="仿宋" w:eastAsia="仿宋_GB2312" w:cs="仿宋"/>
                <w:sz w:val="28"/>
                <w:szCs w:val="28"/>
              </w:rPr>
              <w:t>新增取得专业技术人员职业资格证书和专业技术职称证书人数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245" w:type="dxa"/>
            <w:vAlign w:val="center"/>
          </w:tcPr>
          <w:p>
            <w:pPr>
              <w:spacing w:line="400" w:lineRule="exact"/>
              <w:jc w:val="center"/>
              <w:rPr>
                <w:rFonts w:eastAsia="仿宋_GB2312"/>
                <w:kern w:val="0"/>
                <w:sz w:val="28"/>
                <w:szCs w:val="28"/>
              </w:rPr>
            </w:pPr>
            <w:r>
              <w:rPr>
                <w:rFonts w:eastAsia="仿宋_GB2312"/>
                <w:sz w:val="28"/>
                <w:szCs w:val="28"/>
              </w:rPr>
              <w:t>—</w:t>
            </w:r>
          </w:p>
        </w:tc>
        <w:tc>
          <w:tcPr>
            <w:tcW w:w="1275"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1.5</w:t>
            </w:r>
            <w:r>
              <w:rPr>
                <w:rFonts w:eastAsia="仿宋_GB2312"/>
                <w:sz w:val="28"/>
                <w:szCs w:val="28"/>
              </w:rPr>
              <w:t>]</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10</w:t>
            </w:r>
          </w:p>
        </w:tc>
        <w:tc>
          <w:tcPr>
            <w:tcW w:w="3687" w:type="dxa"/>
            <w:vAlign w:val="center"/>
          </w:tcPr>
          <w:p>
            <w:pPr>
              <w:spacing w:line="400" w:lineRule="exact"/>
              <w:jc w:val="left"/>
              <w:rPr>
                <w:rFonts w:ascii="仿宋_GB2312" w:hAnsi="仿宋" w:eastAsia="仿宋_GB2312" w:cs="仿宋"/>
                <w:sz w:val="28"/>
                <w:szCs w:val="28"/>
              </w:rPr>
            </w:pPr>
            <w:r>
              <w:rPr>
                <w:rFonts w:hint="eastAsia" w:ascii="仿宋_GB2312" w:hAnsi="仿宋" w:eastAsia="仿宋_GB2312" w:cs="仿宋"/>
                <w:sz w:val="28"/>
                <w:szCs w:val="28"/>
              </w:rPr>
              <w:t>新增取得职业资格证书或职业技能等级证书人数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245" w:type="dxa"/>
            <w:vAlign w:val="center"/>
          </w:tcPr>
          <w:p>
            <w:pPr>
              <w:spacing w:line="400" w:lineRule="exact"/>
              <w:jc w:val="center"/>
              <w:rPr>
                <w:rFonts w:eastAsia="仿宋_GB2312"/>
                <w:kern w:val="0"/>
                <w:sz w:val="28"/>
                <w:szCs w:val="28"/>
              </w:rPr>
            </w:pPr>
            <w:r>
              <w:rPr>
                <w:rFonts w:eastAsia="仿宋_GB2312"/>
                <w:sz w:val="28"/>
                <w:szCs w:val="28"/>
              </w:rPr>
              <w:t>—</w:t>
            </w:r>
          </w:p>
        </w:tc>
        <w:tc>
          <w:tcPr>
            <w:tcW w:w="1275"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2.0</w:t>
            </w:r>
            <w:r>
              <w:rPr>
                <w:rFonts w:eastAsia="仿宋_GB2312"/>
                <w:sz w:val="28"/>
                <w:szCs w:val="28"/>
              </w:rPr>
              <w:t>]</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11</w:t>
            </w:r>
          </w:p>
        </w:tc>
        <w:tc>
          <w:tcPr>
            <w:tcW w:w="3687" w:type="dxa"/>
            <w:vAlign w:val="center"/>
          </w:tcPr>
          <w:p>
            <w:pPr>
              <w:spacing w:line="400" w:lineRule="exact"/>
              <w:jc w:val="left"/>
              <w:rPr>
                <w:rFonts w:ascii="仿宋_GB2312" w:hAnsi="仿宋" w:eastAsia="仿宋_GB2312" w:cs="仿宋"/>
                <w:sz w:val="28"/>
                <w:szCs w:val="28"/>
              </w:rPr>
            </w:pPr>
            <w:r>
              <w:rPr>
                <w:rFonts w:hint="eastAsia" w:ascii="仿宋_GB2312" w:hAnsi="仿宋" w:eastAsia="仿宋_GB2312" w:cs="仿宋"/>
                <w:sz w:val="28"/>
                <w:szCs w:val="28"/>
              </w:rPr>
              <w:t>其中：新增取得高级工以上职业资格证书或职业技能等级证书人数</w:t>
            </w:r>
          </w:p>
        </w:tc>
        <w:tc>
          <w:tcPr>
            <w:tcW w:w="1140"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万人</w:t>
            </w:r>
          </w:p>
        </w:tc>
        <w:tc>
          <w:tcPr>
            <w:tcW w:w="1245" w:type="dxa"/>
            <w:vAlign w:val="center"/>
          </w:tcPr>
          <w:p>
            <w:pPr>
              <w:spacing w:line="400" w:lineRule="exact"/>
              <w:jc w:val="center"/>
              <w:rPr>
                <w:rFonts w:eastAsia="仿宋_GB2312"/>
                <w:kern w:val="0"/>
                <w:sz w:val="28"/>
                <w:szCs w:val="28"/>
              </w:rPr>
            </w:pPr>
            <w:r>
              <w:rPr>
                <w:rFonts w:eastAsia="仿宋_GB2312"/>
                <w:sz w:val="28"/>
                <w:szCs w:val="28"/>
              </w:rPr>
              <w:t>—</w:t>
            </w:r>
          </w:p>
        </w:tc>
        <w:tc>
          <w:tcPr>
            <w:tcW w:w="1275" w:type="dxa"/>
            <w:vAlign w:val="center"/>
          </w:tcPr>
          <w:p>
            <w:pPr>
              <w:spacing w:line="400" w:lineRule="exact"/>
              <w:jc w:val="center"/>
              <w:rPr>
                <w:rFonts w:eastAsia="仿宋_GB2312"/>
                <w:kern w:val="0"/>
                <w:sz w:val="28"/>
                <w:szCs w:val="28"/>
              </w:rPr>
            </w:pPr>
            <w:r>
              <w:rPr>
                <w:rFonts w:eastAsia="仿宋_GB2312"/>
                <w:sz w:val="28"/>
                <w:szCs w:val="28"/>
              </w:rPr>
              <w:t>[</w:t>
            </w:r>
            <w:r>
              <w:rPr>
                <w:rFonts w:eastAsia="仿宋_GB2312"/>
                <w:kern w:val="0"/>
                <w:sz w:val="28"/>
                <w:szCs w:val="28"/>
              </w:rPr>
              <w:t>0.2</w:t>
            </w:r>
            <w:r>
              <w:rPr>
                <w:rFonts w:eastAsia="仿宋_GB2312"/>
                <w:sz w:val="28"/>
                <w:szCs w:val="28"/>
              </w:rPr>
              <w:t>]</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286" w:type="dxa"/>
            <w:gridSpan w:val="6"/>
            <w:vAlign w:val="center"/>
          </w:tcPr>
          <w:p>
            <w:pPr>
              <w:spacing w:line="400" w:lineRule="exact"/>
              <w:rPr>
                <w:rFonts w:ascii="仿宋_GB2312" w:hAnsi="仿宋" w:eastAsia="仿宋_GB2312" w:cs="仿宋"/>
                <w:kern w:val="0"/>
                <w:sz w:val="28"/>
                <w:szCs w:val="28"/>
              </w:rPr>
            </w:pPr>
            <w:r>
              <w:rPr>
                <w:rFonts w:hint="eastAsia" w:ascii="仿宋_GB2312" w:hAnsi="仿宋" w:eastAsia="仿宋_GB2312" w:cs="仿宋"/>
                <w:b/>
                <w:bCs/>
                <w:kern w:val="0"/>
                <w:sz w:val="28"/>
                <w:szCs w:val="28"/>
              </w:rPr>
              <w:t>四、劳动关系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12</w:t>
            </w:r>
          </w:p>
        </w:tc>
        <w:tc>
          <w:tcPr>
            <w:tcW w:w="3687" w:type="dxa"/>
            <w:vAlign w:val="center"/>
          </w:tcPr>
          <w:p>
            <w:pPr>
              <w:spacing w:line="400" w:lineRule="exact"/>
              <w:jc w:val="left"/>
              <w:rPr>
                <w:rFonts w:ascii="仿宋_GB2312" w:hAnsi="仿宋" w:eastAsia="仿宋_GB2312" w:cs="仿宋"/>
                <w:kern w:val="0"/>
                <w:sz w:val="28"/>
                <w:szCs w:val="28"/>
              </w:rPr>
            </w:pPr>
            <w:r>
              <w:rPr>
                <w:rFonts w:hint="eastAsia" w:ascii="仿宋_GB2312" w:hAnsi="仿宋" w:eastAsia="仿宋_GB2312" w:cs="仿宋"/>
                <w:kern w:val="0"/>
                <w:sz w:val="28"/>
                <w:szCs w:val="28"/>
              </w:rPr>
              <w:t>劳动人事争议仲裁结案率</w:t>
            </w:r>
          </w:p>
        </w:tc>
        <w:tc>
          <w:tcPr>
            <w:tcW w:w="114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245" w:type="dxa"/>
            <w:vAlign w:val="center"/>
          </w:tcPr>
          <w:p>
            <w:pPr>
              <w:spacing w:line="400" w:lineRule="exact"/>
              <w:jc w:val="center"/>
              <w:rPr>
                <w:rFonts w:eastAsia="仿宋_GB2312"/>
                <w:kern w:val="0"/>
                <w:sz w:val="28"/>
                <w:szCs w:val="28"/>
              </w:rPr>
            </w:pPr>
            <w:r>
              <w:rPr>
                <w:rFonts w:eastAsia="仿宋_GB2312"/>
                <w:kern w:val="0"/>
                <w:sz w:val="28"/>
                <w:szCs w:val="28"/>
              </w:rPr>
              <w:t>100</w:t>
            </w:r>
          </w:p>
        </w:tc>
        <w:tc>
          <w:tcPr>
            <w:tcW w:w="1275" w:type="dxa"/>
            <w:vAlign w:val="center"/>
          </w:tcPr>
          <w:p>
            <w:pPr>
              <w:spacing w:line="400" w:lineRule="exact"/>
              <w:jc w:val="center"/>
              <w:rPr>
                <w:rFonts w:eastAsia="仿宋_GB2312"/>
                <w:kern w:val="0"/>
                <w:sz w:val="28"/>
                <w:szCs w:val="28"/>
              </w:rPr>
            </w:pPr>
            <w:r>
              <w:rPr>
                <w:rFonts w:eastAsia="仿宋_GB2312"/>
                <w:kern w:val="0"/>
                <w:sz w:val="28"/>
                <w:szCs w:val="28"/>
              </w:rPr>
              <w:t>100</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81"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13</w:t>
            </w:r>
          </w:p>
        </w:tc>
        <w:tc>
          <w:tcPr>
            <w:tcW w:w="3687" w:type="dxa"/>
            <w:vAlign w:val="center"/>
          </w:tcPr>
          <w:p>
            <w:pPr>
              <w:spacing w:line="400" w:lineRule="exact"/>
              <w:jc w:val="left"/>
              <w:rPr>
                <w:rFonts w:ascii="仿宋_GB2312" w:hAnsi="仿宋" w:eastAsia="仿宋_GB2312" w:cs="仿宋"/>
                <w:kern w:val="0"/>
                <w:sz w:val="28"/>
                <w:szCs w:val="28"/>
              </w:rPr>
            </w:pPr>
            <w:r>
              <w:rPr>
                <w:rFonts w:hint="eastAsia" w:ascii="仿宋_GB2312" w:hAnsi="仿宋" w:eastAsia="仿宋_GB2312" w:cs="仿宋"/>
                <w:kern w:val="0"/>
                <w:sz w:val="28"/>
                <w:szCs w:val="28"/>
              </w:rPr>
              <w:t>劳动保障监察举报投诉案件结案率</w:t>
            </w:r>
          </w:p>
        </w:tc>
        <w:tc>
          <w:tcPr>
            <w:tcW w:w="1140" w:type="dxa"/>
            <w:vAlign w:val="center"/>
          </w:tcPr>
          <w:p>
            <w:pPr>
              <w:spacing w:line="400" w:lineRule="exact"/>
              <w:jc w:val="center"/>
              <w:rPr>
                <w:rFonts w:eastAsia="仿宋_GB2312"/>
                <w:kern w:val="0"/>
                <w:sz w:val="28"/>
                <w:szCs w:val="28"/>
              </w:rPr>
            </w:pPr>
            <w:r>
              <w:rPr>
                <w:rFonts w:eastAsia="仿宋_GB2312"/>
                <w:kern w:val="0"/>
                <w:sz w:val="28"/>
                <w:szCs w:val="28"/>
              </w:rPr>
              <w:t>%</w:t>
            </w:r>
          </w:p>
        </w:tc>
        <w:tc>
          <w:tcPr>
            <w:tcW w:w="1245" w:type="dxa"/>
            <w:vAlign w:val="center"/>
          </w:tcPr>
          <w:p>
            <w:pPr>
              <w:spacing w:line="400" w:lineRule="exact"/>
              <w:jc w:val="center"/>
              <w:rPr>
                <w:rFonts w:eastAsia="仿宋_GB2312"/>
                <w:kern w:val="0"/>
                <w:sz w:val="28"/>
                <w:szCs w:val="28"/>
              </w:rPr>
            </w:pPr>
            <w:r>
              <w:rPr>
                <w:rFonts w:eastAsia="仿宋_GB2312"/>
                <w:kern w:val="0"/>
                <w:sz w:val="28"/>
                <w:szCs w:val="28"/>
              </w:rPr>
              <w:t>100</w:t>
            </w:r>
          </w:p>
        </w:tc>
        <w:tc>
          <w:tcPr>
            <w:tcW w:w="1275" w:type="dxa"/>
            <w:vAlign w:val="center"/>
          </w:tcPr>
          <w:p>
            <w:pPr>
              <w:spacing w:line="400" w:lineRule="exact"/>
              <w:jc w:val="center"/>
              <w:rPr>
                <w:rFonts w:eastAsia="仿宋_GB2312"/>
                <w:kern w:val="0"/>
                <w:sz w:val="28"/>
                <w:szCs w:val="28"/>
              </w:rPr>
            </w:pPr>
            <w:r>
              <w:rPr>
                <w:rFonts w:hint="eastAsia" w:eastAsia="仿宋_GB2312"/>
                <w:kern w:val="0"/>
                <w:sz w:val="28"/>
                <w:szCs w:val="28"/>
              </w:rPr>
              <w:t>96</w:t>
            </w:r>
          </w:p>
        </w:tc>
        <w:tc>
          <w:tcPr>
            <w:tcW w:w="1158" w:type="dxa"/>
            <w:vAlign w:val="center"/>
          </w:tcPr>
          <w:p>
            <w:pPr>
              <w:spacing w:line="400" w:lineRule="exact"/>
              <w:jc w:val="center"/>
              <w:rPr>
                <w:rFonts w:ascii="仿宋_GB2312" w:hAnsi="仿宋" w:eastAsia="仿宋_GB2312" w:cs="仿宋"/>
                <w:kern w:val="0"/>
                <w:sz w:val="28"/>
                <w:szCs w:val="28"/>
              </w:rPr>
            </w:pPr>
            <w:r>
              <w:rPr>
                <w:rFonts w:hint="eastAsia" w:ascii="仿宋_GB2312" w:hAnsi="仿宋" w:eastAsia="仿宋_GB2312" w:cs="仿宋"/>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128" w:type="dxa"/>
            <w:gridSpan w:val="5"/>
            <w:vAlign w:val="center"/>
          </w:tcPr>
          <w:p>
            <w:pPr>
              <w:spacing w:line="400" w:lineRule="exact"/>
              <w:jc w:val="left"/>
              <w:rPr>
                <w:rFonts w:ascii="仿宋_GB2312" w:hAnsi="仿宋" w:eastAsia="仿宋_GB2312" w:cs="仿宋"/>
                <w:kern w:val="0"/>
                <w:sz w:val="28"/>
                <w:szCs w:val="28"/>
              </w:rPr>
            </w:pPr>
            <w:r>
              <w:rPr>
                <w:rFonts w:eastAsia="仿宋_GB2312"/>
                <w:sz w:val="28"/>
                <w:szCs w:val="28"/>
              </w:rPr>
              <w:t>注：[]内为五年累计数</w:t>
            </w:r>
          </w:p>
        </w:tc>
        <w:tc>
          <w:tcPr>
            <w:tcW w:w="1158" w:type="dxa"/>
            <w:vAlign w:val="center"/>
          </w:tcPr>
          <w:p>
            <w:pPr>
              <w:spacing w:line="400" w:lineRule="exact"/>
              <w:jc w:val="center"/>
              <w:rPr>
                <w:rFonts w:ascii="仿宋_GB2312" w:hAnsi="仿宋" w:eastAsia="仿宋_GB2312" w:cs="仿宋"/>
                <w:kern w:val="0"/>
                <w:sz w:val="28"/>
                <w:szCs w:val="28"/>
              </w:rPr>
            </w:pPr>
          </w:p>
        </w:tc>
      </w:tr>
    </w:tbl>
    <w:p>
      <w:pPr>
        <w:pStyle w:val="4"/>
        <w:spacing w:line="600" w:lineRule="exact"/>
      </w:pPr>
    </w:p>
    <w:p/>
    <w:p>
      <w:pPr>
        <w:spacing w:line="600" w:lineRule="exact"/>
        <w:ind w:firstLine="640" w:firstLineChars="200"/>
        <w:jc w:val="center"/>
        <w:rPr>
          <w:rFonts w:ascii="黑体" w:hAnsi="黑体" w:eastAsia="黑体" w:cs="方正粗黑宋简体"/>
          <w:bCs/>
          <w:sz w:val="32"/>
          <w:szCs w:val="32"/>
        </w:rPr>
      </w:pPr>
    </w:p>
    <w:p>
      <w:pPr>
        <w:spacing w:line="600" w:lineRule="exact"/>
        <w:ind w:firstLine="640" w:firstLineChars="200"/>
        <w:jc w:val="center"/>
        <w:rPr>
          <w:rFonts w:ascii="黑体" w:hAnsi="黑体" w:eastAsia="黑体" w:cs="方正粗黑宋简体"/>
          <w:bCs/>
          <w:sz w:val="32"/>
          <w:szCs w:val="32"/>
        </w:rPr>
      </w:pPr>
      <w:r>
        <w:rPr>
          <w:rFonts w:hint="eastAsia" w:ascii="黑体" w:hAnsi="黑体" w:eastAsia="黑体" w:cs="方正粗黑宋简体"/>
          <w:bCs/>
          <w:sz w:val="32"/>
          <w:szCs w:val="32"/>
        </w:rPr>
        <w:t>第三章  推动实现更高质量就业</w:t>
      </w:r>
    </w:p>
    <w:p>
      <w:pPr>
        <w:widowControl/>
        <w:spacing w:line="600" w:lineRule="exact"/>
        <w:rPr>
          <w:rFonts w:ascii="楷体_GB2312" w:hAnsi="仿宋" w:eastAsia="楷体_GB2312" w:cs="仿宋"/>
          <w:b/>
          <w:sz w:val="32"/>
          <w:szCs w:val="32"/>
        </w:rPr>
      </w:pPr>
    </w:p>
    <w:p>
      <w:pPr>
        <w:tabs>
          <w:tab w:val="left" w:pos="312"/>
        </w:tabs>
        <w:spacing w:line="600" w:lineRule="exact"/>
        <w:ind w:firstLine="630" w:firstLineChars="196"/>
        <w:jc w:val="center"/>
        <w:rPr>
          <w:rFonts w:ascii="仿宋_GB2312" w:hAnsi="仿宋" w:eastAsia="仿宋_GB2312" w:cs="仿宋"/>
          <w:b/>
          <w:sz w:val="32"/>
          <w:szCs w:val="32"/>
        </w:rPr>
      </w:pPr>
      <w:r>
        <w:rPr>
          <w:rFonts w:hint="eastAsia" w:ascii="仿宋_GB2312" w:hAnsi="仿宋" w:eastAsia="仿宋_GB2312" w:cs="仿宋"/>
          <w:b/>
          <w:sz w:val="32"/>
          <w:szCs w:val="32"/>
        </w:rPr>
        <w:t>第一节  完善就业服务工作体系</w:t>
      </w:r>
    </w:p>
    <w:p>
      <w:pPr>
        <w:widowControl/>
        <w:spacing w:line="600" w:lineRule="exact"/>
        <w:ind w:firstLine="630" w:firstLineChars="196"/>
        <w:jc w:val="left"/>
        <w:rPr>
          <w:rFonts w:ascii="仿宋_GB2312" w:hAnsi="仿宋" w:eastAsia="仿宋_GB2312" w:cs="仿宋"/>
          <w:b/>
          <w:sz w:val="32"/>
          <w:szCs w:val="32"/>
        </w:rPr>
      </w:pPr>
    </w:p>
    <w:p>
      <w:pPr>
        <w:widowControl/>
        <w:spacing w:line="600" w:lineRule="exact"/>
        <w:ind w:firstLine="627" w:firstLineChars="196"/>
        <w:rPr>
          <w:rFonts w:ascii="仿宋_GB2312" w:hAnsi="仿宋" w:eastAsia="仿宋_GB2312" w:cs="仿宋"/>
          <w:sz w:val="32"/>
          <w:szCs w:val="32"/>
        </w:rPr>
      </w:pPr>
      <w:r>
        <w:rPr>
          <w:rFonts w:hint="eastAsia" w:ascii="仿宋_GB2312" w:hAnsi="仿宋" w:eastAsia="仿宋_GB2312" w:cs="仿宋"/>
          <w:sz w:val="32"/>
          <w:szCs w:val="32"/>
        </w:rPr>
        <w:t>大力推行基层人力资源和社会保障公共服务平台标准化建设，统一镇（街）、村（社区）两级平台窗口设置、服务要求、工作职责、基础管理，推动公共就业服务向农村延伸，实现城乡公共就业服务便利共享。加强公共就业服务信息化建设，大力推广“互联网+就业”模式，建立便捷、高效、贯通全区的公共就业服务平台，逐步实现服务事项“一网通办”。深化人力资源市场“放管服”改革，规范实施人力资源服务许可，持续优化人力资源市场环境。完善企业规模裁员减员及突发事件报告制度，加强风险评估，适时发布失业预警信息。统筹高校毕业生、脱贫人口、就业困难人员等重点群体就业服务，扩大公益性岗位安置，加强对就业帮扶效果的跟踪与评估，确保零就业家庭动态清零。</w:t>
      </w:r>
    </w:p>
    <w:p>
      <w:pPr>
        <w:tabs>
          <w:tab w:val="left" w:pos="312"/>
        </w:tabs>
        <w:spacing w:line="600" w:lineRule="exact"/>
        <w:ind w:firstLine="630" w:firstLineChars="196"/>
        <w:rPr>
          <w:rFonts w:ascii="仿宋_GB2312" w:hAnsi="仿宋" w:eastAsia="仿宋_GB2312" w:cs="仿宋"/>
          <w:b/>
          <w:sz w:val="32"/>
          <w:szCs w:val="32"/>
        </w:rPr>
      </w:pPr>
    </w:p>
    <w:p>
      <w:pPr>
        <w:pStyle w:val="2"/>
      </w:pPr>
    </w:p>
    <w:p>
      <w:pPr>
        <w:tabs>
          <w:tab w:val="left" w:pos="312"/>
        </w:tabs>
        <w:spacing w:line="600" w:lineRule="exact"/>
        <w:ind w:firstLine="630" w:firstLineChars="196"/>
        <w:jc w:val="center"/>
        <w:rPr>
          <w:rFonts w:ascii="仿宋_GB2312" w:hAnsi="仿宋" w:eastAsia="仿宋_GB2312" w:cs="仿宋"/>
          <w:b/>
          <w:sz w:val="32"/>
          <w:szCs w:val="32"/>
        </w:rPr>
      </w:pPr>
      <w:r>
        <w:rPr>
          <w:rFonts w:hint="eastAsia" w:ascii="仿宋_GB2312" w:hAnsi="仿宋" w:eastAsia="仿宋_GB2312" w:cs="仿宋"/>
          <w:b/>
          <w:sz w:val="32"/>
          <w:szCs w:val="32"/>
        </w:rPr>
        <w:t>第二节  健全创业服务工作体系</w:t>
      </w:r>
    </w:p>
    <w:p>
      <w:pPr>
        <w:pStyle w:val="2"/>
      </w:pPr>
    </w:p>
    <w:p>
      <w:pPr>
        <w:widowControl/>
        <w:spacing w:line="600" w:lineRule="exact"/>
        <w:ind w:firstLine="627" w:firstLineChars="196"/>
        <w:rPr>
          <w:rFonts w:ascii="仿宋_GB2312" w:hAnsi="仿宋" w:eastAsia="仿宋_GB2312" w:cs="仿宋"/>
          <w:sz w:val="32"/>
          <w:szCs w:val="32"/>
        </w:rPr>
      </w:pPr>
      <w:r>
        <w:rPr>
          <w:rFonts w:hint="eastAsia" w:ascii="仿宋_GB2312" w:hAnsi="仿宋" w:eastAsia="仿宋_GB2312" w:cs="仿宋"/>
          <w:sz w:val="32"/>
          <w:szCs w:val="32"/>
        </w:rPr>
        <w:t>加大对初创实体的支持力度，进一步降低创业成本，提升初创企业持续发展能力。落实创业担保贷款及贴息政策，提高贷款便利度和政策获得感。加强服务队伍建设，为创业者提供政策咨询、项目推介、开业指导等服务。支持创新创业领域的专家、企业或社会组织，设立创新创业服务工作站，扶持一批创新创业带动就业示范接基地，评选一批创新创业带动就业街镇、社区（村）。探索构建众创空间、孵化基地、产业园相互接续的创业平台支持链条。面向有创业意愿和培训需求的城乡各类劳动者开展免费创业培训,举办各类创业沙龙、创业大赛，浓厚创业氛围。</w:t>
      </w:r>
    </w:p>
    <w:tbl>
      <w:tblPr>
        <w:tblStyle w:val="9"/>
        <w:tblW w:w="90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9036" w:type="dxa"/>
            <w:tcBorders>
              <w:bottom w:val="single" w:color="auto" w:sz="4" w:space="0"/>
            </w:tcBorders>
            <w:vAlign w:val="center"/>
          </w:tcPr>
          <w:p>
            <w:pPr>
              <w:shd w:val="clear" w:color="auto" w:fill="BFBFBF"/>
              <w:spacing w:line="400" w:lineRule="exact"/>
              <w:jc w:val="center"/>
              <w:rPr>
                <w:rFonts w:ascii="仿宋_GB2312" w:hAnsi="仿宋" w:eastAsia="仿宋_GB2312" w:cs="仿宋"/>
                <w:b/>
                <w:sz w:val="28"/>
                <w:szCs w:val="28"/>
              </w:rPr>
            </w:pPr>
            <w:r>
              <w:rPr>
                <w:rFonts w:hint="eastAsia" w:ascii="仿宋_GB2312" w:hAnsi="仿宋" w:eastAsia="仿宋_GB2312" w:cs="仿宋"/>
                <w:b/>
                <w:sz w:val="32"/>
                <w:szCs w:val="32"/>
              </w:rPr>
              <w:t>专栏3  就业创业提升行动计划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9036" w:type="dxa"/>
          </w:tcPr>
          <w:p>
            <w:pPr>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1．职业院校毕业生就业创业促进计划。</w:t>
            </w:r>
            <w:r>
              <w:rPr>
                <w:rFonts w:hint="eastAsia" w:ascii="仿宋_GB2312" w:hAnsi="仿宋" w:eastAsia="仿宋_GB2312" w:cs="仿宋"/>
                <w:sz w:val="28"/>
                <w:szCs w:val="28"/>
              </w:rPr>
              <w:t>健全职业院校毕业生就业创业服务体系，完善精细化、差异化就业服务机制，加大职业院校毕业生创新创业支持力度，常态化开展专项招聘，对离校未就业高校毕业生开展实名制就业帮扶。</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2．就业创业示范区建设。</w:t>
            </w:r>
            <w:r>
              <w:rPr>
                <w:rFonts w:hint="eastAsia" w:ascii="仿宋_GB2312" w:hAnsi="仿宋" w:eastAsia="仿宋_GB2312" w:cs="仿宋"/>
                <w:sz w:val="28"/>
                <w:szCs w:val="28"/>
              </w:rPr>
              <w:t>实施公共就业服务工作人员能力提升专项行动，开展公共就业创业服务示范市、国家级和省级充分就业社区创建工作，选树公共就业服务典型。根据人社部编制的返乡创业示范县建设标准，推动开展省级示范区创建工作。实施返乡创业培训、返乡创业带头人培养、基层创业服务能力提升、育才强企、引才回乡五项行动计划，建设一批返乡人员创业孵化示范基地，组织返乡创业宣传交流活动。</w:t>
            </w:r>
          </w:p>
          <w:p>
            <w:pPr>
              <w:pStyle w:val="3"/>
              <w:spacing w:line="400" w:lineRule="exact"/>
              <w:ind w:firstLine="562"/>
              <w:rPr>
                <w:rFonts w:ascii="仿宋_GB2312" w:hAnsi="仿宋" w:eastAsia="仿宋_GB2312" w:cs="仿宋"/>
                <w:sz w:val="28"/>
                <w:szCs w:val="28"/>
              </w:rPr>
            </w:pPr>
            <w:r>
              <w:rPr>
                <w:rFonts w:hint="eastAsia" w:ascii="仿宋_GB2312" w:hAnsi="仿宋" w:eastAsia="仿宋_GB2312" w:cs="仿宋"/>
                <w:b/>
                <w:bCs/>
                <w:sz w:val="28"/>
                <w:szCs w:val="28"/>
              </w:rPr>
              <w:t>3．创业孵化器建设。</w:t>
            </w:r>
            <w:r>
              <w:rPr>
                <w:rFonts w:hint="eastAsia" w:ascii="仿宋_GB2312" w:hAnsi="仿宋" w:eastAsia="仿宋_GB2312" w:cs="仿宋"/>
                <w:sz w:val="28"/>
                <w:szCs w:val="28"/>
              </w:rPr>
              <w:t>加强与长沙市创业指导中心工作衔接，全面与长沙市创业服务协会开展创业服务合作。对全区创业孵化基地进行调研，充分掌握基地发展状况、数据，针对基地需求提供政策、资金、运营服务支持。扶持一批区级创业孵化器，扶持打造一家国家级孵化器，以创业创新带动就业。</w:t>
            </w:r>
          </w:p>
        </w:tc>
      </w:tr>
    </w:tbl>
    <w:p>
      <w:pPr>
        <w:spacing w:line="600" w:lineRule="exact"/>
        <w:ind w:firstLine="630" w:firstLineChars="196"/>
        <w:rPr>
          <w:rFonts w:ascii="仿宋_GB2312" w:hAnsi="仿宋" w:eastAsia="仿宋_GB2312" w:cs="仿宋"/>
          <w:b/>
          <w:sz w:val="32"/>
          <w:szCs w:val="32"/>
        </w:rPr>
      </w:pPr>
    </w:p>
    <w:p>
      <w:pPr>
        <w:spacing w:line="600" w:lineRule="exact"/>
        <w:ind w:firstLine="630" w:firstLineChars="196"/>
        <w:jc w:val="center"/>
        <w:rPr>
          <w:rFonts w:ascii="楷体_GB2312" w:hAnsi="仿宋" w:eastAsia="楷体_GB2312" w:cs="仿宋"/>
          <w:b/>
          <w:sz w:val="32"/>
          <w:szCs w:val="32"/>
        </w:rPr>
      </w:pPr>
      <w:r>
        <w:rPr>
          <w:rFonts w:hint="eastAsia" w:ascii="楷体_GB2312" w:hAnsi="仿宋" w:eastAsia="楷体_GB2312" w:cs="仿宋"/>
          <w:b/>
          <w:sz w:val="32"/>
          <w:szCs w:val="32"/>
        </w:rPr>
        <w:t>第三节   推进职业技能培训工作体系</w:t>
      </w:r>
    </w:p>
    <w:p>
      <w:pPr>
        <w:spacing w:line="600" w:lineRule="exact"/>
        <w:ind w:firstLine="630" w:firstLineChars="196"/>
        <w:rPr>
          <w:rFonts w:ascii="仿宋_GB2312" w:hAnsi="仿宋" w:eastAsia="仿宋_GB2312" w:cs="仿宋"/>
          <w:b/>
          <w:sz w:val="32"/>
          <w:szCs w:val="32"/>
        </w:rPr>
      </w:pPr>
    </w:p>
    <w:p>
      <w:pPr>
        <w:tabs>
          <w:tab w:val="left" w:pos="312"/>
        </w:tabs>
        <w:spacing w:line="600" w:lineRule="exact"/>
        <w:ind w:firstLine="627" w:firstLineChars="196"/>
        <w:rPr>
          <w:rFonts w:ascii="仿宋_GB2312" w:hAnsi="仿宋" w:eastAsia="仿宋_GB2312" w:cs="仿宋"/>
          <w:sz w:val="32"/>
          <w:szCs w:val="32"/>
        </w:rPr>
      </w:pPr>
      <w:r>
        <w:rPr>
          <w:rFonts w:hint="eastAsia" w:ascii="仿宋_GB2312" w:hAnsi="仿宋" w:eastAsia="仿宋_GB2312" w:cs="仿宋"/>
          <w:sz w:val="32"/>
          <w:szCs w:val="32"/>
        </w:rPr>
        <w:t>构建以职业院校（含技工院校）、职业技能培训机构和企业职工培训中心为主的多元培训载体。推动培训市场全面开放，政府补贴的职业技能培训项目全部向具备资质的培训机构开放，激发培训主体积极性，有效增加培训供给。充分发挥企业职业技能培训的主体作用和职业院校培训资源优势。适应产业升级和企业发展的要求，大力推行就业导向的培训模式，强化实际操作技能训练和职业素质培养，着力提高培训后的就业率，增强培训的针对性和有效性。面向城乡有就业要求和培训愿望的劳动者开展职业技能培训，健全企业职工培训制度，鼓励企业广泛开展在岗职工技能提升培训和高技能人才培训。健全职业技能培训监督评价考核机制。</w:t>
      </w:r>
    </w:p>
    <w:p>
      <w:pPr>
        <w:pStyle w:val="2"/>
      </w:pPr>
    </w:p>
    <w:tbl>
      <w:tblPr>
        <w:tblStyle w:val="9"/>
        <w:tblW w:w="92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9258" w:type="dxa"/>
            <w:tcBorders>
              <w:bottom w:val="single" w:color="auto" w:sz="4" w:space="0"/>
            </w:tcBorders>
            <w:shd w:val="clear" w:color="auto" w:fill="A7A7A7"/>
            <w:vAlign w:val="center"/>
          </w:tcPr>
          <w:p>
            <w:pPr>
              <w:spacing w:line="400" w:lineRule="exact"/>
              <w:jc w:val="center"/>
              <w:rPr>
                <w:rFonts w:ascii="仿宋_GB2312" w:hAnsi="仿宋" w:eastAsia="仿宋_GB2312" w:cs="仿宋"/>
                <w:b/>
                <w:sz w:val="32"/>
                <w:szCs w:val="32"/>
              </w:rPr>
            </w:pPr>
            <w:r>
              <w:rPr>
                <w:rFonts w:hint="eastAsia" w:ascii="仿宋_GB2312" w:hAnsi="仿宋" w:eastAsia="仿宋_GB2312" w:cs="仿宋"/>
                <w:b/>
                <w:sz w:val="32"/>
                <w:szCs w:val="32"/>
              </w:rPr>
              <w:t>专栏4  职业培训专项行动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0" w:hRule="atLeast"/>
          <w:jc w:val="center"/>
        </w:trPr>
        <w:tc>
          <w:tcPr>
            <w:tcW w:w="9258" w:type="dxa"/>
          </w:tcPr>
          <w:p>
            <w:pPr>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1．终身职业技能培训制度。</w:t>
            </w:r>
            <w:r>
              <w:rPr>
                <w:rFonts w:hint="eastAsia" w:ascii="仿宋_GB2312" w:hAnsi="仿宋" w:eastAsia="仿宋_GB2312" w:cs="仿宋"/>
                <w:sz w:val="28"/>
                <w:szCs w:val="28"/>
              </w:rPr>
              <w:t>建立覆盖城乡全体劳动者，贯穿劳动者学习工作终身，适应就业创业需求的职业技能培训制度，建立劳动者自主选择、市场资源配置、政府依法监管的职业培训工作机制，实现培训对象广覆盖、培训类型多样化、培训等级多层次、培训载体多元化、培训管理信息化。</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2．职业技能提升行动。</w:t>
            </w:r>
            <w:r>
              <w:rPr>
                <w:rFonts w:hint="eastAsia" w:ascii="仿宋_GB2312" w:hAnsi="仿宋" w:eastAsia="仿宋_GB2312" w:cs="仿宋"/>
                <w:sz w:val="28"/>
                <w:szCs w:val="28"/>
              </w:rPr>
              <w:t>大规模开展就业技能培训、岗位技能提升培训和创业培训，全面提升劳动者职业技能水平和就业创业能力。加快建设一批设施设备优良、功能齐全、制度健全、管理科学的公共实训基地和实训中心。认定5家以上的重点企业职工培训中心。开展各类补贴性职业技能培训5万人次。</w:t>
            </w:r>
          </w:p>
        </w:tc>
      </w:tr>
    </w:tbl>
    <w:p>
      <w:pPr>
        <w:pStyle w:val="2"/>
        <w:spacing w:line="600" w:lineRule="exact"/>
        <w:jc w:val="both"/>
        <w:rPr>
          <w:rFonts w:ascii="仿宋" w:hAnsi="仿宋" w:eastAsia="仿宋" w:cs="仿宋"/>
        </w:rPr>
      </w:pPr>
    </w:p>
    <w:p>
      <w:pPr>
        <w:spacing w:line="600" w:lineRule="exact"/>
        <w:ind w:firstLine="640" w:firstLineChars="200"/>
        <w:jc w:val="center"/>
        <w:rPr>
          <w:rFonts w:ascii="黑体" w:hAnsi="黑体" w:eastAsia="黑体" w:cs="方正粗黑宋简体"/>
          <w:bCs/>
          <w:sz w:val="32"/>
          <w:szCs w:val="32"/>
        </w:rPr>
      </w:pPr>
      <w:r>
        <w:rPr>
          <w:rFonts w:hint="eastAsia" w:ascii="黑体" w:hAnsi="黑体" w:eastAsia="黑体" w:cs="方正粗黑宋简体"/>
          <w:bCs/>
          <w:sz w:val="32"/>
          <w:szCs w:val="32"/>
        </w:rPr>
        <w:t>第四章  加快健全社会保障体系</w:t>
      </w:r>
    </w:p>
    <w:p>
      <w:pPr>
        <w:widowControl/>
        <w:spacing w:line="600" w:lineRule="exact"/>
        <w:ind w:firstLine="639" w:firstLineChars="199"/>
        <w:jc w:val="left"/>
        <w:rPr>
          <w:rFonts w:ascii="仿宋" w:hAnsi="仿宋" w:eastAsia="仿宋" w:cs="仿宋"/>
          <w:b/>
          <w:sz w:val="32"/>
          <w:szCs w:val="32"/>
        </w:rPr>
      </w:pPr>
    </w:p>
    <w:p>
      <w:pPr>
        <w:widowControl/>
        <w:spacing w:line="600" w:lineRule="exact"/>
        <w:ind w:firstLine="639" w:firstLineChars="199"/>
        <w:jc w:val="center"/>
        <w:rPr>
          <w:rFonts w:ascii="楷体_GB2312" w:hAnsi="仿宋" w:eastAsia="楷体_GB2312" w:cs="仿宋"/>
          <w:b/>
          <w:sz w:val="32"/>
          <w:szCs w:val="32"/>
        </w:rPr>
      </w:pPr>
      <w:r>
        <w:rPr>
          <w:rFonts w:hint="eastAsia" w:ascii="楷体_GB2312" w:hAnsi="仿宋" w:eastAsia="楷体_GB2312" w:cs="仿宋"/>
          <w:b/>
          <w:sz w:val="32"/>
          <w:szCs w:val="32"/>
        </w:rPr>
        <w:t>第一节  优化社会保险经办服务</w:t>
      </w:r>
    </w:p>
    <w:p>
      <w:pPr>
        <w:widowControl/>
        <w:spacing w:line="600" w:lineRule="exact"/>
        <w:ind w:firstLine="636" w:firstLineChars="199"/>
        <w:jc w:val="left"/>
        <w:rPr>
          <w:rFonts w:ascii="仿宋_GB2312" w:hAnsi="仿宋" w:eastAsia="仿宋_GB2312" w:cs="仿宋"/>
          <w:sz w:val="32"/>
          <w:szCs w:val="32"/>
        </w:rPr>
      </w:pPr>
    </w:p>
    <w:p>
      <w:pPr>
        <w:widowControl/>
        <w:spacing w:line="600" w:lineRule="exact"/>
        <w:ind w:firstLine="636" w:firstLineChars="199"/>
        <w:jc w:val="left"/>
        <w:rPr>
          <w:rFonts w:ascii="仿宋_GB2312" w:hAnsi="仿宋" w:eastAsia="仿宋_GB2312" w:cs="仿宋"/>
          <w:b/>
          <w:sz w:val="32"/>
          <w:szCs w:val="32"/>
        </w:rPr>
      </w:pPr>
      <w:r>
        <w:rPr>
          <w:rFonts w:hint="eastAsia" w:ascii="仿宋_GB2312" w:hAnsi="仿宋" w:eastAsia="仿宋_GB2312" w:cs="仿宋"/>
          <w:sz w:val="32"/>
          <w:szCs w:val="32"/>
        </w:rPr>
        <w:t>全面实现社会保险登记、人员异动、信息变更、失业保险金申领等业务网上办理，推进网上征缴和权益送达平台的应用，逐步建立方便群众、提升效率的缴费方式和渠道。依托基层人社公共服务平台和银行服务网点，做好社会保障卡的发放和后期应用服务工作。</w:t>
      </w:r>
      <w:r>
        <w:rPr>
          <w:rFonts w:hint="eastAsia" w:ascii="仿宋_GB2312" w:hAnsi="仿宋" w:eastAsia="仿宋_GB2312" w:cs="仿宋"/>
          <w:sz w:val="32"/>
          <w:szCs w:val="32"/>
        </w:rPr>
        <w:br w:type="textWrapping"/>
      </w:r>
    </w:p>
    <w:p>
      <w:pPr>
        <w:widowControl/>
        <w:spacing w:line="600" w:lineRule="exact"/>
        <w:ind w:firstLine="639" w:firstLineChars="199"/>
        <w:jc w:val="center"/>
        <w:rPr>
          <w:rFonts w:ascii="楷体_GB2312" w:hAnsi="仿宋" w:eastAsia="楷体_GB2312" w:cs="仿宋"/>
          <w:b/>
          <w:sz w:val="32"/>
          <w:szCs w:val="32"/>
        </w:rPr>
      </w:pPr>
      <w:r>
        <w:rPr>
          <w:rFonts w:hint="eastAsia" w:ascii="楷体_GB2312" w:hAnsi="仿宋" w:eastAsia="楷体_GB2312" w:cs="仿宋"/>
          <w:b/>
          <w:sz w:val="32"/>
          <w:szCs w:val="32"/>
        </w:rPr>
        <w:t>第二节  提高社会保险待遇水平</w:t>
      </w:r>
    </w:p>
    <w:p>
      <w:pPr>
        <w:pStyle w:val="2"/>
      </w:pPr>
    </w:p>
    <w:p>
      <w:pPr>
        <w:widowControl/>
        <w:spacing w:line="600" w:lineRule="exact"/>
        <w:ind w:firstLine="636" w:firstLineChars="199"/>
        <w:jc w:val="left"/>
        <w:rPr>
          <w:rFonts w:ascii="仿宋_GB2312" w:hAnsi="仿宋" w:eastAsia="仿宋_GB2312" w:cs="仿宋"/>
          <w:b/>
          <w:sz w:val="32"/>
          <w:szCs w:val="32"/>
        </w:rPr>
      </w:pPr>
      <w:r>
        <w:rPr>
          <w:rFonts w:hint="eastAsia" w:ascii="仿宋_GB2312" w:hAnsi="仿宋" w:eastAsia="仿宋_GB2312" w:cs="仿宋"/>
          <w:sz w:val="32"/>
          <w:szCs w:val="32"/>
        </w:rPr>
        <w:t>组织实施好企业和机关事业单位退休人员基本养老金调整工作。落实城乡居民养老保险个人、集体、政府三方共担的筹资机制，逐步提高基础养老金标准。完善失业保险待遇水平与本地最低工资标准、居民最低生活保障标准挂钩的调整机制，推动建立集保障生活、预防失业、促进就业三位一体的失业保险制度。不断提高工伤保险待遇水平，加大工伤康复管理及职业康复工作力度。</w:t>
      </w:r>
      <w:r>
        <w:rPr>
          <w:rFonts w:hint="eastAsia" w:ascii="仿宋_GB2312" w:hAnsi="仿宋" w:eastAsia="仿宋_GB2312" w:cs="仿宋"/>
          <w:sz w:val="32"/>
          <w:szCs w:val="32"/>
        </w:rPr>
        <w:br w:type="textWrapping"/>
      </w:r>
    </w:p>
    <w:p>
      <w:pPr>
        <w:widowControl/>
        <w:spacing w:line="600" w:lineRule="exact"/>
        <w:ind w:firstLine="639" w:firstLineChars="199"/>
        <w:jc w:val="center"/>
        <w:rPr>
          <w:rFonts w:ascii="楷体_GB2312" w:hAnsi="仿宋" w:eastAsia="楷体_GB2312" w:cs="仿宋"/>
          <w:b/>
          <w:sz w:val="32"/>
          <w:szCs w:val="32"/>
        </w:rPr>
      </w:pPr>
      <w:r>
        <w:rPr>
          <w:rFonts w:hint="eastAsia" w:ascii="楷体_GB2312" w:hAnsi="仿宋" w:eastAsia="楷体_GB2312" w:cs="仿宋"/>
          <w:b/>
          <w:sz w:val="32"/>
          <w:szCs w:val="32"/>
        </w:rPr>
        <w:t>第三节  加强社会保险基金监督管理</w:t>
      </w:r>
    </w:p>
    <w:p>
      <w:pPr>
        <w:widowControl/>
        <w:spacing w:line="600" w:lineRule="exact"/>
        <w:ind w:firstLine="636" w:firstLineChars="199"/>
        <w:jc w:val="left"/>
        <w:rPr>
          <w:rFonts w:ascii="仿宋_GB2312" w:hAnsi="仿宋" w:eastAsia="仿宋_GB2312" w:cs="仿宋"/>
          <w:sz w:val="32"/>
          <w:szCs w:val="32"/>
        </w:rPr>
      </w:pPr>
    </w:p>
    <w:p>
      <w:pPr>
        <w:widowControl/>
        <w:spacing w:line="600" w:lineRule="exact"/>
        <w:ind w:firstLine="636" w:firstLineChars="199"/>
        <w:jc w:val="left"/>
        <w:rPr>
          <w:rFonts w:ascii="仿宋_GB2312" w:hAnsi="仿宋" w:eastAsia="仿宋_GB2312" w:cs="仿宋"/>
          <w:sz w:val="32"/>
          <w:szCs w:val="32"/>
        </w:rPr>
      </w:pPr>
      <w:r>
        <w:rPr>
          <w:rFonts w:hint="eastAsia" w:ascii="仿宋_GB2312" w:hAnsi="仿宋" w:eastAsia="仿宋_GB2312" w:cs="仿宋"/>
          <w:sz w:val="32"/>
          <w:szCs w:val="32"/>
        </w:rPr>
        <w:t>推动社保基金的专项检查和重点检查常态化，督促健全社保经办机构落实内控制度。全面运行社会保险基金监督软件，及时处理预警信息。定期比对基本养老保险、失业保险、工伤保险相关险种间信息，及时发现和查处重复享受待遇人员。加强对工伤保险协议医疗机构监管，不定期进行抽检，处理各类违规行为。</w:t>
      </w:r>
    </w:p>
    <w:p>
      <w:pPr>
        <w:widowControl/>
        <w:spacing w:line="600" w:lineRule="exact"/>
        <w:ind w:firstLine="636" w:firstLineChars="199"/>
        <w:jc w:val="left"/>
        <w:rPr>
          <w:rFonts w:ascii="方正粗黑宋简体" w:hAnsi="方正粗黑宋简体" w:eastAsia="方正粗黑宋简体" w:cs="方正粗黑宋简体"/>
          <w:bCs/>
          <w:sz w:val="32"/>
          <w:szCs w:val="32"/>
        </w:rPr>
      </w:pPr>
    </w:p>
    <w:p>
      <w:pPr>
        <w:widowControl/>
        <w:spacing w:line="600" w:lineRule="exact"/>
        <w:ind w:firstLine="636" w:firstLineChars="199"/>
        <w:jc w:val="center"/>
        <w:rPr>
          <w:rFonts w:ascii="黑体" w:hAnsi="黑体" w:eastAsia="黑体" w:cs="方正粗黑宋简体"/>
          <w:bCs/>
          <w:sz w:val="32"/>
          <w:szCs w:val="32"/>
        </w:rPr>
      </w:pPr>
      <w:r>
        <w:rPr>
          <w:rFonts w:hint="eastAsia" w:ascii="黑体" w:hAnsi="黑体" w:eastAsia="黑体" w:cs="方正粗黑宋简体"/>
          <w:bCs/>
          <w:sz w:val="32"/>
          <w:szCs w:val="32"/>
        </w:rPr>
        <w:t>第五章  切实推进人才队伍建设</w:t>
      </w:r>
    </w:p>
    <w:p>
      <w:pPr>
        <w:widowControl/>
        <w:spacing w:line="600" w:lineRule="exact"/>
        <w:ind w:firstLine="643" w:firstLineChars="200"/>
        <w:jc w:val="left"/>
        <w:rPr>
          <w:rFonts w:ascii="仿宋" w:hAnsi="仿宋" w:eastAsia="仿宋" w:cs="仿宋"/>
          <w:b/>
          <w:sz w:val="32"/>
          <w:szCs w:val="32"/>
        </w:rPr>
      </w:pPr>
    </w:p>
    <w:p>
      <w:pPr>
        <w:widowControl/>
        <w:spacing w:line="600" w:lineRule="exact"/>
        <w:ind w:firstLine="643" w:firstLineChars="200"/>
        <w:jc w:val="center"/>
        <w:rPr>
          <w:rFonts w:ascii="仿宋_GB2312" w:hAnsi="仿宋" w:eastAsia="仿宋_GB2312" w:cs="仿宋"/>
          <w:b/>
          <w:sz w:val="32"/>
          <w:szCs w:val="32"/>
        </w:rPr>
      </w:pPr>
      <w:r>
        <w:rPr>
          <w:rFonts w:hint="eastAsia" w:ascii="楷体_GB2312" w:hAnsi="仿宋" w:eastAsia="楷体_GB2312" w:cs="仿宋"/>
          <w:b/>
          <w:sz w:val="32"/>
          <w:szCs w:val="32"/>
        </w:rPr>
        <w:t>第一节  加快引进和培育高层次人才</w:t>
      </w:r>
    </w:p>
    <w:p>
      <w:pPr>
        <w:widowControl/>
        <w:spacing w:line="600" w:lineRule="exact"/>
        <w:ind w:firstLine="640" w:firstLineChars="200"/>
        <w:jc w:val="left"/>
        <w:rPr>
          <w:rFonts w:ascii="仿宋_GB2312" w:hAnsi="仿宋" w:eastAsia="仿宋_GB2312" w:cs="仿宋"/>
          <w:sz w:val="32"/>
          <w:szCs w:val="32"/>
        </w:rPr>
      </w:pPr>
    </w:p>
    <w:p>
      <w:pPr>
        <w:widowControl/>
        <w:spacing w:line="6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全面实施“智汇潇湘”计划，发挥“相约雷锋家乡”招聘品牌的规模效应，重点引进“一主三特”及“三大新兴行业”方面的紧缺高层次人才。加快实施专业技术人才知识更新工程、健康卫生人才保障工程、高素质教师培养工程、文化骨干人才队伍建设工程，鼓励有条件的企业组建重点实验室、工程技术研发中心、博士后科研工作站等，开展产业核心技术、关键技术和公共技术的研究。</w:t>
      </w:r>
    </w:p>
    <w:tbl>
      <w:tblPr>
        <w:tblStyle w:val="9"/>
        <w:tblW w:w="92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9258" w:type="dxa"/>
            <w:tcBorders>
              <w:bottom w:val="single" w:color="auto" w:sz="4" w:space="0"/>
            </w:tcBorders>
            <w:shd w:val="clear" w:color="auto" w:fill="A7A7A7"/>
            <w:vAlign w:val="center"/>
          </w:tcPr>
          <w:p>
            <w:pPr>
              <w:spacing w:line="400" w:lineRule="exact"/>
              <w:jc w:val="center"/>
              <w:rPr>
                <w:rFonts w:ascii="仿宋_GB2312" w:hAnsi="仿宋" w:eastAsia="仿宋_GB2312" w:cs="仿宋"/>
                <w:b/>
                <w:sz w:val="32"/>
                <w:szCs w:val="32"/>
              </w:rPr>
            </w:pPr>
            <w:r>
              <w:rPr>
                <w:rFonts w:hint="eastAsia" w:ascii="仿宋_GB2312" w:hAnsi="仿宋" w:eastAsia="仿宋_GB2312" w:cs="仿宋"/>
                <w:b/>
                <w:sz w:val="32"/>
                <w:szCs w:val="32"/>
              </w:rPr>
              <w:t>专栏5  专业技术人才支持计划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9258" w:type="dxa"/>
          </w:tcPr>
          <w:p>
            <w:pPr>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1．专业技术人才知识更新工程。</w:t>
            </w:r>
            <w:r>
              <w:rPr>
                <w:rFonts w:hint="eastAsia" w:ascii="仿宋_GB2312" w:hAnsi="仿宋" w:eastAsia="仿宋_GB2312" w:cs="仿宋"/>
                <w:sz w:val="28"/>
                <w:szCs w:val="28"/>
              </w:rPr>
              <w:t>根据国家、省、市统一部署，组织推荐相关人才参加专业技术人员能力提升和新职业培养培训项目，围绕“一主三特”、“三大新兴产业”关键领域，开展知识更新继续教育。</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2．制造业工程师培养计划。</w:t>
            </w:r>
            <w:r>
              <w:rPr>
                <w:rFonts w:hint="eastAsia" w:ascii="仿宋_GB2312" w:hAnsi="仿宋" w:eastAsia="仿宋_GB2312" w:cs="仿宋"/>
                <w:sz w:val="28"/>
                <w:szCs w:val="28"/>
              </w:rPr>
              <w:t>落实制造业企业专业技术人员职称晋级奖励，对企业新引进和新获得工程系列中级、副高级、正高级职称的专业技术人才，给予相应奖励，持续壮大制造业工程师队伍。</w:t>
            </w:r>
          </w:p>
        </w:tc>
      </w:tr>
    </w:tbl>
    <w:p>
      <w:pPr>
        <w:widowControl/>
        <w:spacing w:line="600" w:lineRule="exact"/>
        <w:ind w:firstLine="643" w:firstLineChars="200"/>
        <w:jc w:val="left"/>
        <w:rPr>
          <w:rFonts w:ascii="仿宋" w:hAnsi="仿宋" w:eastAsia="仿宋" w:cs="仿宋"/>
          <w:b/>
          <w:sz w:val="32"/>
          <w:szCs w:val="32"/>
        </w:rPr>
      </w:pPr>
    </w:p>
    <w:p>
      <w:pPr>
        <w:widowControl/>
        <w:spacing w:line="600" w:lineRule="exact"/>
        <w:ind w:firstLine="643" w:firstLineChars="200"/>
        <w:jc w:val="center"/>
        <w:rPr>
          <w:rFonts w:ascii="楷体_GB2312" w:hAnsi="仿宋" w:eastAsia="楷体_GB2312" w:cs="仿宋"/>
          <w:b/>
          <w:sz w:val="32"/>
          <w:szCs w:val="32"/>
        </w:rPr>
      </w:pPr>
      <w:r>
        <w:rPr>
          <w:rFonts w:hint="eastAsia" w:ascii="楷体_GB2312" w:hAnsi="仿宋" w:eastAsia="楷体_GB2312" w:cs="仿宋"/>
          <w:b/>
          <w:sz w:val="32"/>
          <w:szCs w:val="32"/>
        </w:rPr>
        <w:t>第二节  规范人才队伍管理</w:t>
      </w:r>
    </w:p>
    <w:p>
      <w:pPr>
        <w:widowControl/>
        <w:spacing w:line="600" w:lineRule="exact"/>
        <w:ind w:firstLine="640" w:firstLineChars="200"/>
        <w:jc w:val="left"/>
        <w:rPr>
          <w:rFonts w:ascii="仿宋" w:hAnsi="仿宋" w:eastAsia="仿宋" w:cs="仿宋"/>
          <w:sz w:val="32"/>
          <w:szCs w:val="32"/>
        </w:rPr>
      </w:pPr>
    </w:p>
    <w:p>
      <w:pPr>
        <w:widowControl/>
        <w:spacing w:line="6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进一步完善全员绩效考核办法，推动平时考核普遍开展，认真组织考核评价，发挥好考核“指挥棒”作用。全面贯彻落实《事业单位人事管理条例》，严格规范事业单位公开招聘，完善事业单位岗位设置管理办法，健全岗位动态管理制度。完善并落实《长沙市望城区机关事业单位临聘人员管理办法》，控制临聘人员规模，规范临聘人员管理。</w:t>
      </w:r>
    </w:p>
    <w:p>
      <w:pPr>
        <w:widowControl/>
        <w:spacing w:line="600" w:lineRule="exact"/>
        <w:ind w:firstLine="640" w:firstLineChars="200"/>
        <w:jc w:val="left"/>
        <w:rPr>
          <w:rFonts w:ascii="仿宋" w:hAnsi="仿宋" w:eastAsia="仿宋" w:cs="仿宋"/>
          <w:sz w:val="32"/>
          <w:szCs w:val="32"/>
        </w:rPr>
      </w:pPr>
    </w:p>
    <w:p>
      <w:pPr>
        <w:widowControl/>
        <w:spacing w:line="600" w:lineRule="exact"/>
        <w:ind w:firstLine="643" w:firstLineChars="200"/>
        <w:jc w:val="center"/>
        <w:rPr>
          <w:rFonts w:ascii="楷体_GB2312" w:hAnsi="仿宋" w:eastAsia="楷体_GB2312" w:cs="仿宋"/>
          <w:b/>
          <w:sz w:val="32"/>
          <w:szCs w:val="32"/>
        </w:rPr>
      </w:pPr>
      <w:r>
        <w:rPr>
          <w:rFonts w:hint="eastAsia" w:ascii="楷体_GB2312" w:hAnsi="仿宋" w:eastAsia="楷体_GB2312" w:cs="仿宋"/>
          <w:b/>
          <w:sz w:val="32"/>
          <w:szCs w:val="32"/>
        </w:rPr>
        <w:t>第三节  激发人事管理机制活力</w:t>
      </w:r>
    </w:p>
    <w:p>
      <w:pPr>
        <w:widowControl/>
        <w:spacing w:line="600" w:lineRule="exact"/>
        <w:ind w:firstLine="643" w:firstLineChars="200"/>
        <w:jc w:val="left"/>
        <w:rPr>
          <w:rFonts w:ascii="仿宋" w:hAnsi="仿宋" w:eastAsia="仿宋" w:cs="仿宋"/>
          <w:b/>
          <w:sz w:val="32"/>
          <w:szCs w:val="32"/>
        </w:rPr>
      </w:pPr>
    </w:p>
    <w:p>
      <w:pPr>
        <w:widowControl/>
        <w:spacing w:line="600" w:lineRule="exact"/>
        <w:ind w:firstLine="640" w:firstLineChars="200"/>
        <w:jc w:val="left"/>
        <w:rPr>
          <w:rFonts w:ascii="仿宋_GB2312" w:hAnsi="仿宋" w:eastAsia="仿宋_GB2312" w:cs="仿宋"/>
          <w:b/>
          <w:sz w:val="32"/>
          <w:szCs w:val="32"/>
        </w:rPr>
      </w:pPr>
      <w:r>
        <w:rPr>
          <w:rFonts w:hint="eastAsia" w:ascii="仿宋_GB2312" w:hAnsi="仿宋" w:eastAsia="仿宋_GB2312" w:cs="仿宋"/>
          <w:sz w:val="32"/>
          <w:szCs w:val="32"/>
        </w:rPr>
        <w:t>深化事业单位人事工资制度改革，创新管理机制，提升人事考试服务保障能力，加强重点民生实事考核和表彰奖励工作，不断提高人事管理科学化规范化水平。</w:t>
      </w:r>
    </w:p>
    <w:p>
      <w:pPr>
        <w:widowControl/>
        <w:spacing w:line="600" w:lineRule="exact"/>
        <w:ind w:firstLine="643" w:firstLineChars="200"/>
        <w:jc w:val="left"/>
        <w:rPr>
          <w:rStyle w:val="11"/>
          <w:rFonts w:ascii="仿宋_GB2312" w:hAnsi="仿宋" w:eastAsia="仿宋_GB2312" w:cs="仿宋"/>
          <w:b/>
          <w:sz w:val="32"/>
          <w:szCs w:val="32"/>
        </w:rPr>
      </w:pPr>
      <w:r>
        <w:rPr>
          <w:rStyle w:val="11"/>
          <w:rFonts w:hint="eastAsia" w:ascii="仿宋_GB2312" w:hAnsi="仿宋" w:eastAsia="仿宋_GB2312" w:cs="仿宋"/>
          <w:b/>
          <w:bCs/>
          <w:sz w:val="32"/>
          <w:szCs w:val="32"/>
        </w:rPr>
        <w:t>1.深化事业单位人事制度改革。</w:t>
      </w:r>
      <w:r>
        <w:rPr>
          <w:rFonts w:hint="eastAsia" w:ascii="仿宋_GB2312" w:hAnsi="仿宋" w:eastAsia="仿宋_GB2312" w:cs="仿宋"/>
          <w:sz w:val="32"/>
          <w:szCs w:val="32"/>
        </w:rPr>
        <w:t>完善事业单位聘用合同管理、岗位管理、公开招聘、分类培训、考核奖惩等制度，形成权责清晰、分类科学、机制灵活、监管有力，符合事业单位特点和人才成长规律的人事管理制度。把加强宏观管理与落实单位用人自主权结合起来，探索符合不同行业、专业和岗位特点的招聘办法。加大事业单位岗位设置实施力度，逐步完善岗位异动管理机制。推行县级及以下事业单位管理岗位职员等级晋升制度。健全培训管理机制，积极推进事业单位工作人员岗前培训、在岗培训、转岗培训和专项培训工作。</w:t>
      </w:r>
    </w:p>
    <w:p>
      <w:pPr>
        <w:spacing w:line="600" w:lineRule="exact"/>
        <w:ind w:firstLine="636" w:firstLineChars="198"/>
        <w:rPr>
          <w:rFonts w:ascii="仿宋_GB2312" w:hAnsi="仿宋" w:eastAsia="仿宋_GB2312" w:cs="仿宋"/>
          <w:bCs/>
          <w:sz w:val="32"/>
          <w:szCs w:val="32"/>
        </w:rPr>
      </w:pPr>
      <w:r>
        <w:rPr>
          <w:rStyle w:val="11"/>
          <w:rFonts w:hint="eastAsia" w:ascii="仿宋_GB2312" w:hAnsi="仿宋" w:eastAsia="仿宋_GB2312" w:cs="仿宋"/>
          <w:b/>
          <w:bCs/>
          <w:sz w:val="32"/>
          <w:szCs w:val="32"/>
        </w:rPr>
        <w:t>2.完善事业单位工资制度。</w:t>
      </w:r>
      <w:r>
        <w:rPr>
          <w:rFonts w:hint="eastAsia" w:ascii="仿宋_GB2312" w:hAnsi="仿宋" w:eastAsia="仿宋_GB2312" w:cs="仿宋"/>
          <w:bCs/>
          <w:sz w:val="32"/>
          <w:szCs w:val="32"/>
        </w:rPr>
        <w:t>落实机关事业单位基本工资和艰苦边远地区津贴调整政策。规范事业单位特殊岗位津贴补贴管理。逐步完善事业单位绩效工资总量核定和动态调整机制，构建充分体现知识、技术等创新要素价值的收入分配机制。加大对基层事业单位工作人员、义务教育教师工资待遇保障力度，贯彻落实各项工资保障政策措施。落实事业单位工作人员福利政策，及时调整事业单位工作人员遗属生活困难补助、事业单位老工伤人员伤残保健金标准。全面推行公立医院薪酬制度改革，分级分类优化其他事业单位绩效工资管理办法。</w:t>
      </w:r>
    </w:p>
    <w:p>
      <w:pPr>
        <w:spacing w:line="600" w:lineRule="exact"/>
        <w:ind w:firstLine="636" w:firstLineChars="198"/>
        <w:rPr>
          <w:rFonts w:ascii="仿宋_GB2312" w:hAnsi="仿宋" w:eastAsia="仿宋_GB2312" w:cs="仿宋"/>
          <w:sz w:val="32"/>
          <w:szCs w:val="32"/>
        </w:rPr>
      </w:pPr>
      <w:r>
        <w:rPr>
          <w:rStyle w:val="11"/>
          <w:rFonts w:hint="eastAsia" w:ascii="仿宋_GB2312" w:hAnsi="仿宋" w:eastAsia="仿宋_GB2312" w:cs="仿宋"/>
          <w:b/>
          <w:bCs/>
          <w:sz w:val="32"/>
          <w:szCs w:val="32"/>
        </w:rPr>
        <w:t>3.提升人事考试服务保障能力。</w:t>
      </w:r>
      <w:r>
        <w:rPr>
          <w:rFonts w:hint="eastAsia" w:ascii="仿宋_GB2312" w:hAnsi="仿宋" w:eastAsia="仿宋_GB2312" w:cs="仿宋"/>
          <w:bCs/>
          <w:sz w:val="32"/>
          <w:szCs w:val="32"/>
        </w:rPr>
        <w:t>加强人事考试科学管理，进一步完善考务组织，加强人才测评新技术应用，提高考试保障能力。加强与相关部门的对接协调，健全联防联控机制，加大防作弊新技术运用，提高安全风险防控能力。严厉打击有组织高科技作弊和涉考违法犯罪行为，确保人事考试更加规范，考风考纪更加严肃，考试结果更加公平公正。</w:t>
      </w:r>
    </w:p>
    <w:p>
      <w:pPr>
        <w:spacing w:line="600" w:lineRule="exact"/>
        <w:ind w:firstLine="636" w:firstLineChars="198"/>
        <w:rPr>
          <w:rFonts w:ascii="仿宋_GB2312" w:hAnsi="仿宋" w:eastAsia="仿宋_GB2312" w:cs="仿宋"/>
          <w:sz w:val="32"/>
          <w:szCs w:val="32"/>
        </w:rPr>
      </w:pPr>
      <w:r>
        <w:rPr>
          <w:rStyle w:val="11"/>
          <w:rFonts w:hint="eastAsia" w:ascii="仿宋_GB2312" w:hAnsi="仿宋" w:eastAsia="仿宋_GB2312" w:cs="仿宋"/>
          <w:b/>
          <w:bCs/>
          <w:sz w:val="32"/>
          <w:szCs w:val="32"/>
        </w:rPr>
        <w:t>4.强化重点民生实事项目考核管理。</w:t>
      </w:r>
      <w:r>
        <w:rPr>
          <w:rFonts w:hint="eastAsia" w:ascii="仿宋_GB2312" w:hAnsi="仿宋" w:eastAsia="仿宋_GB2312" w:cs="仿宋"/>
          <w:sz w:val="32"/>
          <w:szCs w:val="32"/>
        </w:rPr>
        <w:t>关注重点领域、重点工作、重点人群，优化完善项目甄选机制，紧紧围绕就业就学、医疗养老、安居出行、文化体育、生态环境、安全保障等民生领域的重点难点问题，持续扩大覆盖面和实效性。健全责任体系、指标体系和考核体系，按月调度、按季通报，确保年度重点民生实事项目全面完成。督促各级各部门建立健全后续管理长效机制，推进建管用一体化，使重点民生实事项目持久发挥效用。</w:t>
      </w:r>
    </w:p>
    <w:p>
      <w:pPr>
        <w:pStyle w:val="2"/>
      </w:pPr>
    </w:p>
    <w:p>
      <w:pPr>
        <w:pStyle w:val="2"/>
        <w:spacing w:line="600" w:lineRule="exact"/>
        <w:rPr>
          <w:rFonts w:ascii="楷体_GB2312" w:hAnsi="仿宋" w:eastAsia="楷体_GB2312" w:cs="仿宋"/>
          <w:b/>
          <w:bCs/>
          <w:sz w:val="32"/>
          <w:szCs w:val="32"/>
        </w:rPr>
      </w:pPr>
      <w:r>
        <w:rPr>
          <w:rFonts w:hint="eastAsia" w:ascii="楷体_GB2312" w:hAnsi="仿宋" w:eastAsia="楷体_GB2312" w:cs="仿宋"/>
          <w:b/>
          <w:bCs/>
          <w:sz w:val="32"/>
          <w:szCs w:val="32"/>
        </w:rPr>
        <w:t>第四节  推动人力资源服务业高质量发展</w:t>
      </w:r>
    </w:p>
    <w:p>
      <w:pPr>
        <w:pStyle w:val="2"/>
        <w:spacing w:line="600" w:lineRule="exact"/>
        <w:jc w:val="both"/>
        <w:rPr>
          <w:rFonts w:ascii="仿宋" w:hAnsi="仿宋" w:eastAsia="仿宋" w:cs="仿宋"/>
          <w:b/>
          <w:bCs/>
          <w:sz w:val="32"/>
          <w:szCs w:val="32"/>
        </w:rPr>
      </w:pPr>
    </w:p>
    <w:p>
      <w:pPr>
        <w:pStyle w:val="2"/>
        <w:spacing w:line="60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制定促进人力资源服务业高质量发展的政策措施，加快建设完善统一开放、竞争有序的人力资源市场体系。积极响应省、市有关人力资源园区“一园多区”建设计划，推进望城人力资源服务发展，建设望城人才大数据。推动人力资源与互联网技术融合发展，鼓励发展人力资源服务新业态。完善人力资源市场监管体系，持续创新事中事后监管方式。加强对人力资源服务协会的业务指导，推动行业自律建设和抱团式发展。</w:t>
      </w:r>
    </w:p>
    <w:tbl>
      <w:tblPr>
        <w:tblStyle w:val="9"/>
        <w:tblW w:w="9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258" w:type="dxa"/>
            <w:tcBorders>
              <w:top w:val="single" w:color="auto" w:sz="4" w:space="0"/>
              <w:left w:val="single" w:color="auto" w:sz="4" w:space="0"/>
              <w:bottom w:val="single" w:color="auto" w:sz="4" w:space="0"/>
              <w:right w:val="single" w:color="auto" w:sz="4" w:space="0"/>
            </w:tcBorders>
            <w:shd w:val="clear" w:color="auto" w:fill="A7A7A7"/>
            <w:vAlign w:val="center"/>
          </w:tcPr>
          <w:p>
            <w:pPr>
              <w:spacing w:line="400" w:lineRule="exact"/>
              <w:jc w:val="center"/>
              <w:rPr>
                <w:rFonts w:ascii="仿宋_GB2312" w:hAnsi="仿宋" w:eastAsia="仿宋_GB2312" w:cs="仿宋"/>
                <w:b/>
                <w:sz w:val="32"/>
                <w:szCs w:val="32"/>
              </w:rPr>
            </w:pPr>
            <w:r>
              <w:rPr>
                <w:rFonts w:hint="eastAsia" w:ascii="仿宋_GB2312" w:hAnsi="仿宋" w:eastAsia="仿宋_GB2312" w:cs="仿宋"/>
                <w:b/>
                <w:sz w:val="32"/>
                <w:szCs w:val="32"/>
              </w:rPr>
              <w:t>专栏6  人力资源服务业发展行动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9258" w:type="dxa"/>
          </w:tcPr>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1．骨干企业培育计划。</w:t>
            </w:r>
            <w:r>
              <w:rPr>
                <w:rFonts w:hint="eastAsia" w:ascii="仿宋_GB2312" w:hAnsi="仿宋" w:eastAsia="仿宋_GB2312" w:cs="仿宋"/>
                <w:sz w:val="28"/>
                <w:szCs w:val="28"/>
              </w:rPr>
              <w:t>加快发展有市场、有特色、有潜力的专业化人力资源服务骨干企业，重点培育一批人力资源服务“长沙品牌”。对获得“湖南省著名商标”荣誉称号或通过人力资源服务机构等级评定的企业，研究制订相关奖励政策。</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2．人力资源服务产品培植计划。</w:t>
            </w:r>
            <w:r>
              <w:rPr>
                <w:rFonts w:hint="eastAsia" w:ascii="仿宋_GB2312" w:hAnsi="仿宋" w:eastAsia="仿宋_GB2312" w:cs="仿宋"/>
                <w:sz w:val="28"/>
                <w:szCs w:val="28"/>
              </w:rPr>
              <w:t>鼓励人力资源服务机构为用人单位引进中高端紧缺急需人才和提供专业化人力资源服务。鼓励高级人才寻访、人力资源管理咨询、灵活用工服务等中高端和新兴业态发展。运用大数据、云计算、互联网、人工智能新技术，促进人力资源服务业创新发展、融合发展。</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3．诚信主题建设行动。</w:t>
            </w:r>
            <w:r>
              <w:rPr>
                <w:rFonts w:hint="eastAsia" w:ascii="仿宋_GB2312" w:hAnsi="仿宋" w:eastAsia="仿宋_GB2312" w:cs="仿宋"/>
                <w:sz w:val="28"/>
                <w:szCs w:val="28"/>
              </w:rPr>
              <w:t>依托湖南省人力资源服务协会、长沙市人力资源服务协会，组织开展诚信服务主题建设活动，选树一批诚信人力资源服务示范典型，发挥示范机构诚信带头引领作用，增强服务机构的诚信意识、品牌意识，促进人力资源服务业健康发展。</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4．人力资源市场监管行动。</w:t>
            </w:r>
            <w:r>
              <w:rPr>
                <w:rFonts w:hint="eastAsia" w:ascii="仿宋_GB2312" w:hAnsi="仿宋" w:eastAsia="仿宋_GB2312" w:cs="仿宋"/>
                <w:sz w:val="28"/>
                <w:szCs w:val="28"/>
              </w:rPr>
              <w:t>加强与市场监管等部门的沟通衔接，积极开展整顿人力资源市场秩序、年度报告公示等事中事后监管措施，对各类市场主体的市场准入、运营、退出等行为进行监管，规范人力资源市场主体行为和经济秩序，营造公平竞争和安全有效的市场环境。</w:t>
            </w:r>
          </w:p>
          <w:p>
            <w:pPr>
              <w:pStyle w:val="2"/>
              <w:spacing w:line="400" w:lineRule="exact"/>
              <w:ind w:firstLine="562" w:firstLineChars="200"/>
              <w:jc w:val="left"/>
              <w:rPr>
                <w:rFonts w:ascii="仿宋_GB2312" w:hAnsi="仿宋" w:eastAsia="仿宋_GB2312" w:cs="仿宋"/>
                <w:sz w:val="28"/>
                <w:szCs w:val="28"/>
              </w:rPr>
            </w:pPr>
            <w:r>
              <w:rPr>
                <w:rFonts w:hint="eastAsia" w:ascii="仿宋_GB2312" w:hAnsi="仿宋" w:eastAsia="仿宋_GB2312" w:cs="仿宋"/>
                <w:b/>
                <w:bCs/>
                <w:sz w:val="28"/>
                <w:szCs w:val="28"/>
              </w:rPr>
              <w:t>5．行业自律规范行动。</w:t>
            </w:r>
            <w:r>
              <w:rPr>
                <w:rFonts w:hint="eastAsia" w:ascii="仿宋_GB2312" w:hAnsi="仿宋" w:eastAsia="仿宋_GB2312" w:cs="仿宋"/>
                <w:sz w:val="28"/>
                <w:szCs w:val="28"/>
              </w:rPr>
              <w:t>通过制定人力资源服务标准、发布行业公约和开展人力资源服务机构等级评定等工作，完善行业自律规范，开展行业自律。在事中事后监管的各个环节建立行业协会参与机制，推进监管执法和行业自律良性互动，促进行业公平竞争。组织开展从业人员培训等，推动从业人员队伍建设，提高服务质量。</w:t>
            </w:r>
          </w:p>
        </w:tc>
      </w:tr>
    </w:tbl>
    <w:p>
      <w:pPr>
        <w:widowControl/>
        <w:spacing w:line="600" w:lineRule="exact"/>
        <w:jc w:val="left"/>
        <w:rPr>
          <w:rFonts w:ascii="仿宋" w:hAnsi="仿宋" w:eastAsia="仿宋" w:cs="仿宋"/>
          <w:sz w:val="28"/>
          <w:szCs w:val="28"/>
        </w:rPr>
      </w:pPr>
    </w:p>
    <w:p>
      <w:pPr>
        <w:widowControl/>
        <w:spacing w:line="600" w:lineRule="exact"/>
        <w:ind w:firstLine="640" w:firstLineChars="200"/>
        <w:jc w:val="center"/>
        <w:rPr>
          <w:rFonts w:ascii="黑体" w:hAnsi="黑体" w:eastAsia="黑体" w:cs="方正粗黑宋简体"/>
          <w:bCs/>
          <w:sz w:val="32"/>
          <w:szCs w:val="32"/>
        </w:rPr>
      </w:pPr>
      <w:r>
        <w:rPr>
          <w:rFonts w:hint="eastAsia" w:ascii="黑体" w:hAnsi="黑体" w:eastAsia="黑体" w:cs="方正粗黑宋简体"/>
          <w:bCs/>
          <w:sz w:val="32"/>
          <w:szCs w:val="32"/>
        </w:rPr>
        <w:t>第六章  巩固发展和谐劳动关系</w:t>
      </w:r>
    </w:p>
    <w:p>
      <w:pPr>
        <w:spacing w:line="600" w:lineRule="exact"/>
        <w:ind w:firstLine="640" w:firstLineChars="200"/>
        <w:rPr>
          <w:rFonts w:ascii="仿宋_GB2312" w:hAnsi="仿宋" w:eastAsia="仿宋_GB2312" w:cs="仿宋"/>
          <w:sz w:val="32"/>
          <w:szCs w:val="32"/>
        </w:rPr>
      </w:pPr>
    </w:p>
    <w:p>
      <w:pPr>
        <w:spacing w:line="600" w:lineRule="exact"/>
        <w:ind w:firstLine="640" w:firstLineChars="200"/>
        <w:rPr>
          <w:rStyle w:val="11"/>
          <w:rFonts w:ascii="仿宋_GB2312" w:hAnsi="仿宋" w:eastAsia="仿宋_GB2312" w:cs="仿宋"/>
          <w:sz w:val="32"/>
          <w:szCs w:val="32"/>
        </w:rPr>
      </w:pPr>
      <w:r>
        <w:rPr>
          <w:rFonts w:hint="eastAsia" w:ascii="仿宋_GB2312" w:hAnsi="仿宋" w:eastAsia="仿宋_GB2312" w:cs="仿宋"/>
          <w:sz w:val="32"/>
          <w:szCs w:val="32"/>
        </w:rPr>
        <w:t>统筹处理好促进企业发展和维护劳动者权益的关系，健全劳动关系协调机制，加强企业工资分配的宏观指导，促进劳动者工资均衡增长，最大限度增加劳动关系和谐因素，构建规范有序、公正合理、合作共赢、和谐稳定的劳动关系。</w:t>
      </w:r>
    </w:p>
    <w:p>
      <w:pPr>
        <w:pStyle w:val="2"/>
      </w:pPr>
    </w:p>
    <w:p>
      <w:pPr>
        <w:pStyle w:val="3"/>
      </w:pPr>
    </w:p>
    <w:p>
      <w:pPr>
        <w:tabs>
          <w:tab w:val="left" w:pos="312"/>
        </w:tabs>
        <w:spacing w:line="600" w:lineRule="exact"/>
        <w:ind w:firstLine="630" w:firstLineChars="196"/>
        <w:jc w:val="center"/>
        <w:rPr>
          <w:rStyle w:val="11"/>
          <w:rFonts w:ascii="楷体_GB2312" w:hAnsi="仿宋" w:eastAsia="楷体_GB2312" w:cs="仿宋"/>
          <w:b/>
          <w:bCs/>
          <w:sz w:val="32"/>
          <w:szCs w:val="32"/>
        </w:rPr>
      </w:pPr>
      <w:r>
        <w:rPr>
          <w:rStyle w:val="11"/>
          <w:rFonts w:hint="eastAsia" w:ascii="楷体_GB2312" w:hAnsi="仿宋" w:eastAsia="楷体_GB2312" w:cs="仿宋"/>
          <w:b/>
          <w:bCs/>
          <w:sz w:val="32"/>
          <w:szCs w:val="32"/>
        </w:rPr>
        <w:t>第一节  健全劳动关系协调机制</w:t>
      </w:r>
    </w:p>
    <w:p>
      <w:pPr>
        <w:tabs>
          <w:tab w:val="left" w:pos="312"/>
        </w:tabs>
        <w:spacing w:line="600" w:lineRule="exact"/>
        <w:ind w:firstLine="640" w:firstLineChars="200"/>
        <w:rPr>
          <w:rFonts w:ascii="仿宋_GB2312" w:hAnsi="仿宋" w:eastAsia="仿宋_GB2312" w:cs="仿宋"/>
          <w:sz w:val="32"/>
          <w:szCs w:val="32"/>
        </w:rPr>
      </w:pPr>
    </w:p>
    <w:p>
      <w:pPr>
        <w:tabs>
          <w:tab w:val="left" w:pos="312"/>
        </w:tabs>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加强协调劳动关系三方机制建设。</w:t>
      </w:r>
      <w:r>
        <w:rPr>
          <w:rFonts w:hint="eastAsia" w:ascii="仿宋_GB2312" w:hAnsi="仿宋" w:eastAsia="仿宋_GB2312" w:cs="仿宋"/>
          <w:bCs/>
          <w:sz w:val="32"/>
          <w:szCs w:val="32"/>
        </w:rPr>
        <w:t>深入贯彻《中华人民共和国劳动合同法》，依法规范企业用工、劳务派遣用工和企业经济性裁员，进一步推进劳动用工备案工作，</w:t>
      </w:r>
      <w:r>
        <w:rPr>
          <w:rFonts w:hint="eastAsia" w:ascii="仿宋_GB2312" w:hAnsi="仿宋" w:eastAsia="仿宋_GB2312" w:cs="仿宋"/>
          <w:sz w:val="32"/>
          <w:szCs w:val="32"/>
        </w:rPr>
        <w:t>指导督促企业落实特殊工时、带薪休假、女职工特殊劳动保护政策。以非公企业和劳动密集型企业为重点，持续推进集体合同制度，积极稳妥扩大工资集体协商覆盖范围。实施劳动关系“和谐同行”能力提升三年行动计划。探索建立新业态从业人员劳动保障机制。加强劳动关系形势分析研判和风险监测预警，推进劳动关系协调员队伍和基层能力建设。</w:t>
      </w:r>
    </w:p>
    <w:p>
      <w:pPr>
        <w:tabs>
          <w:tab w:val="left" w:pos="312"/>
        </w:tabs>
        <w:spacing w:line="600" w:lineRule="exact"/>
        <w:ind w:firstLine="630" w:firstLineChars="196"/>
        <w:rPr>
          <w:rStyle w:val="11"/>
          <w:rFonts w:ascii="仿宋_GB2312" w:hAnsi="仿宋" w:eastAsia="仿宋_GB2312" w:cs="仿宋"/>
          <w:b/>
          <w:bCs/>
          <w:sz w:val="32"/>
          <w:szCs w:val="32"/>
        </w:rPr>
      </w:pPr>
    </w:p>
    <w:p>
      <w:pPr>
        <w:tabs>
          <w:tab w:val="left" w:pos="312"/>
        </w:tabs>
        <w:spacing w:line="600" w:lineRule="exact"/>
        <w:ind w:firstLine="630" w:firstLineChars="196"/>
        <w:jc w:val="center"/>
        <w:rPr>
          <w:rStyle w:val="11"/>
          <w:rFonts w:ascii="楷体_GB2312" w:hAnsi="仿宋" w:eastAsia="楷体_GB2312" w:cs="仿宋"/>
          <w:b/>
          <w:bCs/>
          <w:sz w:val="32"/>
          <w:szCs w:val="32"/>
        </w:rPr>
      </w:pPr>
      <w:r>
        <w:rPr>
          <w:rStyle w:val="11"/>
          <w:rFonts w:hint="eastAsia" w:ascii="楷体_GB2312" w:hAnsi="仿宋" w:eastAsia="楷体_GB2312" w:cs="仿宋"/>
          <w:b/>
          <w:bCs/>
          <w:sz w:val="32"/>
          <w:szCs w:val="32"/>
        </w:rPr>
        <w:t>第二节  深化企业工资收入分配制度改革</w:t>
      </w:r>
    </w:p>
    <w:p>
      <w:pPr>
        <w:tabs>
          <w:tab w:val="left" w:pos="312"/>
        </w:tabs>
        <w:spacing w:line="600" w:lineRule="exact"/>
        <w:ind w:firstLine="627" w:firstLineChars="196"/>
        <w:rPr>
          <w:rFonts w:ascii="仿宋_GB2312" w:hAnsi="仿宋" w:eastAsia="仿宋_GB2312" w:cs="仿宋"/>
          <w:sz w:val="32"/>
          <w:szCs w:val="32"/>
        </w:rPr>
      </w:pPr>
    </w:p>
    <w:p>
      <w:pPr>
        <w:tabs>
          <w:tab w:val="left" w:pos="312"/>
        </w:tabs>
        <w:spacing w:line="600" w:lineRule="exact"/>
        <w:ind w:firstLine="627" w:firstLineChars="196"/>
        <w:rPr>
          <w:rFonts w:ascii="仿宋_GB2312" w:hAnsi="仿宋" w:eastAsia="仿宋_GB2312" w:cs="仿宋"/>
          <w:bCs/>
          <w:sz w:val="32"/>
          <w:szCs w:val="32"/>
        </w:rPr>
      </w:pPr>
      <w:r>
        <w:rPr>
          <w:rFonts w:hint="eastAsia" w:ascii="仿宋_GB2312" w:hAnsi="仿宋" w:eastAsia="仿宋_GB2312" w:cs="仿宋"/>
          <w:sz w:val="32"/>
          <w:szCs w:val="32"/>
        </w:rPr>
        <w:t>落实企业薪酬调查和信息发布制度，定期发布劳动力市场工资指导价位和企业人工成本等信息，引导企业合理确定工资水平。适时合理调整最低工资标准。健全国有企业市场化薪酬分配机制，落实国有企业负责人薪酬和工资总额管理政策，以及国有企业工资内外收入监督检查制度。</w:t>
      </w:r>
    </w:p>
    <w:p>
      <w:pPr>
        <w:tabs>
          <w:tab w:val="left" w:pos="312"/>
        </w:tabs>
        <w:spacing w:line="600" w:lineRule="exact"/>
        <w:ind w:firstLine="630" w:firstLineChars="196"/>
        <w:rPr>
          <w:rStyle w:val="11"/>
          <w:rFonts w:ascii="仿宋_GB2312" w:hAnsi="仿宋" w:eastAsia="仿宋_GB2312" w:cs="仿宋"/>
          <w:b/>
          <w:bCs/>
          <w:sz w:val="32"/>
          <w:szCs w:val="32"/>
        </w:rPr>
      </w:pPr>
    </w:p>
    <w:p>
      <w:pPr>
        <w:pStyle w:val="2"/>
      </w:pPr>
    </w:p>
    <w:p>
      <w:pPr>
        <w:tabs>
          <w:tab w:val="left" w:pos="312"/>
        </w:tabs>
        <w:spacing w:line="600" w:lineRule="exact"/>
        <w:ind w:firstLine="630" w:firstLineChars="196"/>
        <w:jc w:val="center"/>
        <w:rPr>
          <w:rStyle w:val="11"/>
          <w:rFonts w:ascii="楷体_GB2312" w:hAnsi="仿宋" w:eastAsia="楷体_GB2312" w:cs="仿宋"/>
          <w:b/>
          <w:bCs/>
          <w:sz w:val="32"/>
          <w:szCs w:val="32"/>
        </w:rPr>
      </w:pPr>
      <w:r>
        <w:rPr>
          <w:rStyle w:val="11"/>
          <w:rFonts w:hint="eastAsia" w:ascii="楷体_GB2312" w:hAnsi="仿宋" w:eastAsia="楷体_GB2312" w:cs="仿宋"/>
          <w:b/>
          <w:bCs/>
          <w:sz w:val="32"/>
          <w:szCs w:val="32"/>
        </w:rPr>
        <w:t>第三节  提高劳动保障监察执法效能</w:t>
      </w:r>
    </w:p>
    <w:p>
      <w:pPr>
        <w:tabs>
          <w:tab w:val="left" w:pos="312"/>
        </w:tabs>
        <w:spacing w:line="600" w:lineRule="exact"/>
        <w:ind w:firstLine="627" w:firstLineChars="196"/>
        <w:rPr>
          <w:rFonts w:ascii="仿宋_GB2312" w:hAnsi="仿宋" w:eastAsia="仿宋_GB2312" w:cs="仿宋"/>
          <w:bCs/>
          <w:sz w:val="32"/>
          <w:szCs w:val="32"/>
        </w:rPr>
      </w:pPr>
    </w:p>
    <w:p>
      <w:pPr>
        <w:tabs>
          <w:tab w:val="left" w:pos="312"/>
        </w:tabs>
        <w:spacing w:line="600" w:lineRule="exact"/>
        <w:ind w:firstLine="627" w:firstLineChars="196"/>
        <w:rPr>
          <w:rFonts w:ascii="仿宋_GB2312" w:hAnsi="仿宋" w:eastAsia="仿宋_GB2312" w:cs="仿宋"/>
          <w:b/>
          <w:sz w:val="32"/>
          <w:szCs w:val="32"/>
        </w:rPr>
      </w:pPr>
      <w:r>
        <w:rPr>
          <w:rFonts w:hint="eastAsia" w:ascii="仿宋_GB2312" w:hAnsi="仿宋" w:eastAsia="仿宋_GB2312" w:cs="仿宋"/>
          <w:bCs/>
          <w:sz w:val="32"/>
          <w:szCs w:val="32"/>
        </w:rPr>
        <w:t>以落实《保障农民工工资支付条例》为抓手，完善按月足额支付工资、农民工工资保证金、农民工工资专用账户等根治欠薪长效机制。开展工资支付专项执法行动，联动打击恶意欠薪等违法犯罪行为。</w:t>
      </w:r>
      <w:r>
        <w:rPr>
          <w:rFonts w:hint="eastAsia" w:ascii="仿宋_GB2312" w:hAnsi="仿宋" w:eastAsia="仿宋_GB2312" w:cs="仿宋"/>
          <w:sz w:val="32"/>
          <w:szCs w:val="32"/>
        </w:rPr>
        <w:t>加强劳动保障诚信体系建设，依法依规实施</w:t>
      </w:r>
      <w:r>
        <w:rPr>
          <w:rFonts w:hint="eastAsia" w:ascii="仿宋_GB2312" w:hAnsi="仿宋" w:eastAsia="仿宋_GB2312" w:cs="仿宋"/>
          <w:bCs/>
          <w:sz w:val="32"/>
          <w:szCs w:val="32"/>
        </w:rPr>
        <w:t>企业守法诚信等级评价、重大违法行为社会公布、拖欠农民工工资“黑名单”联合惩戒制度，强化“一处失信、处处受限”的信用约束机制。抓好劳动保障监察日常执法，</w:t>
      </w:r>
      <w:r>
        <w:rPr>
          <w:rFonts w:hint="eastAsia" w:ascii="仿宋_GB2312" w:hAnsi="仿宋" w:eastAsia="仿宋_GB2312" w:cs="仿宋"/>
          <w:sz w:val="32"/>
          <w:szCs w:val="32"/>
        </w:rPr>
        <w:t>规范自由裁量权，推进劳动保障监察依法行政。畅通劳动者举报投诉渠道，</w:t>
      </w:r>
      <w:r>
        <w:rPr>
          <w:rFonts w:hint="eastAsia" w:ascii="仿宋_GB2312" w:hAnsi="仿宋" w:eastAsia="仿宋_GB2312" w:cs="仿宋"/>
          <w:bCs/>
          <w:sz w:val="32"/>
          <w:szCs w:val="32"/>
        </w:rPr>
        <w:t>打造智慧劳动监察平台，建成覆盖城乡的劳动用工监控网，着力</w:t>
      </w:r>
      <w:r>
        <w:rPr>
          <w:rFonts w:hint="eastAsia" w:ascii="仿宋_GB2312" w:hAnsi="仿宋" w:eastAsia="仿宋_GB2312" w:cs="仿宋"/>
          <w:sz w:val="32"/>
          <w:szCs w:val="32"/>
        </w:rPr>
        <w:t>提高监察执法效能。实施分级分类培训，加强执法装备配备，提升执法规范化、标准化、专业化水平。</w:t>
      </w:r>
    </w:p>
    <w:p>
      <w:pPr>
        <w:tabs>
          <w:tab w:val="left" w:pos="312"/>
        </w:tabs>
        <w:spacing w:line="600" w:lineRule="exact"/>
        <w:ind w:firstLine="630" w:firstLineChars="196"/>
        <w:rPr>
          <w:rStyle w:val="11"/>
          <w:rFonts w:ascii="仿宋_GB2312" w:hAnsi="仿宋" w:eastAsia="仿宋_GB2312" w:cs="仿宋"/>
          <w:b/>
          <w:bCs/>
          <w:sz w:val="32"/>
          <w:szCs w:val="32"/>
        </w:rPr>
      </w:pPr>
    </w:p>
    <w:p>
      <w:pPr>
        <w:tabs>
          <w:tab w:val="left" w:pos="312"/>
        </w:tabs>
        <w:spacing w:line="600" w:lineRule="exact"/>
        <w:ind w:firstLine="630" w:firstLineChars="196"/>
        <w:jc w:val="center"/>
        <w:rPr>
          <w:rStyle w:val="11"/>
          <w:rFonts w:ascii="楷体_GB2312" w:hAnsi="仿宋" w:eastAsia="楷体_GB2312" w:cs="仿宋"/>
          <w:b/>
          <w:bCs/>
          <w:sz w:val="32"/>
          <w:szCs w:val="32"/>
        </w:rPr>
      </w:pPr>
      <w:r>
        <w:rPr>
          <w:rStyle w:val="11"/>
          <w:rFonts w:hint="eastAsia" w:ascii="楷体_GB2312" w:hAnsi="仿宋" w:eastAsia="楷体_GB2312" w:cs="仿宋"/>
          <w:b/>
          <w:bCs/>
          <w:sz w:val="32"/>
          <w:szCs w:val="32"/>
        </w:rPr>
        <w:t>第四节  加强劳动人事争议调解仲裁</w:t>
      </w:r>
    </w:p>
    <w:p>
      <w:pPr>
        <w:tabs>
          <w:tab w:val="left" w:pos="312"/>
        </w:tabs>
        <w:spacing w:line="600" w:lineRule="exact"/>
        <w:ind w:firstLine="627" w:firstLineChars="196"/>
        <w:rPr>
          <w:rFonts w:ascii="仿宋_GB2312" w:hAnsi="仿宋" w:eastAsia="仿宋_GB2312" w:cs="仿宋"/>
          <w:bCs/>
          <w:sz w:val="32"/>
          <w:szCs w:val="32"/>
        </w:rPr>
      </w:pPr>
    </w:p>
    <w:p>
      <w:pPr>
        <w:tabs>
          <w:tab w:val="left" w:pos="312"/>
        </w:tabs>
        <w:spacing w:line="600" w:lineRule="exact"/>
        <w:ind w:firstLine="627" w:firstLineChars="196"/>
        <w:rPr>
          <w:rFonts w:ascii="仿宋_GB2312" w:hAnsi="仿宋" w:eastAsia="仿宋_GB2312" w:cs="仿宋"/>
          <w:b/>
          <w:sz w:val="32"/>
          <w:szCs w:val="32"/>
        </w:rPr>
      </w:pPr>
      <w:r>
        <w:rPr>
          <w:rFonts w:hint="eastAsia" w:ascii="仿宋_GB2312" w:hAnsi="仿宋" w:eastAsia="仿宋_GB2312" w:cs="仿宋"/>
          <w:bCs/>
          <w:sz w:val="32"/>
          <w:szCs w:val="32"/>
        </w:rPr>
        <w:t>建立调解组织和调解员名册制度，加强调解仲裁机构实体化建设，探索智慧仲裁院建设，提升争议调解仲裁效能。健全争议多元处理机制，指导用人单位建立健全内部申诉和协商回应制度，推动人民调解、行政调解、专业性行业性调解、仲裁调解、司法调解衔接联动，鼓励支持社会力量参与调解工作，劳动人事争议调解成功率达到60%以上。加强调解、仲裁与诉讼衔接，逐步推动裁审受理范围和法律适用标准的统一。推进仲裁标准化建设，建立符合仲裁机构特点的办案管理体系和评价机制。强化调解员仲裁员培训，实施调解员仲裁员知识更新工程。加强调解仲裁机构队伍建设，合理配备专职调解员、仲裁员。</w:t>
      </w:r>
    </w:p>
    <w:p>
      <w:pPr>
        <w:tabs>
          <w:tab w:val="left" w:pos="312"/>
        </w:tabs>
        <w:spacing w:line="600" w:lineRule="exact"/>
        <w:ind w:firstLine="630" w:firstLineChars="196"/>
        <w:rPr>
          <w:rStyle w:val="11"/>
          <w:rFonts w:ascii="仿宋_GB2312" w:hAnsi="仿宋" w:eastAsia="仿宋_GB2312" w:cs="仿宋"/>
          <w:b/>
          <w:bCs/>
          <w:sz w:val="32"/>
          <w:szCs w:val="32"/>
        </w:rPr>
      </w:pPr>
    </w:p>
    <w:p>
      <w:pPr>
        <w:tabs>
          <w:tab w:val="left" w:pos="312"/>
        </w:tabs>
        <w:spacing w:line="600" w:lineRule="exact"/>
        <w:ind w:firstLine="630" w:firstLineChars="196"/>
        <w:jc w:val="center"/>
        <w:rPr>
          <w:rStyle w:val="11"/>
          <w:rFonts w:ascii="楷体_GB2312" w:hAnsi="仿宋" w:eastAsia="楷体_GB2312" w:cs="仿宋"/>
          <w:b/>
          <w:bCs/>
          <w:sz w:val="32"/>
          <w:szCs w:val="32"/>
        </w:rPr>
      </w:pPr>
      <w:r>
        <w:rPr>
          <w:rStyle w:val="11"/>
          <w:rFonts w:hint="eastAsia" w:ascii="楷体_GB2312" w:hAnsi="仿宋" w:eastAsia="楷体_GB2312" w:cs="仿宋"/>
          <w:b/>
          <w:bCs/>
          <w:sz w:val="32"/>
          <w:szCs w:val="32"/>
        </w:rPr>
        <w:t>第五节  强化农民工服务保障</w:t>
      </w:r>
    </w:p>
    <w:p>
      <w:pPr>
        <w:tabs>
          <w:tab w:val="left" w:pos="312"/>
        </w:tabs>
        <w:spacing w:line="600" w:lineRule="exact"/>
        <w:ind w:firstLine="627" w:firstLineChars="196"/>
        <w:rPr>
          <w:rFonts w:ascii="仿宋_GB2312" w:hAnsi="仿宋" w:eastAsia="仿宋_GB2312" w:cs="仿宋"/>
          <w:sz w:val="32"/>
          <w:szCs w:val="32"/>
        </w:rPr>
      </w:pPr>
    </w:p>
    <w:p>
      <w:pPr>
        <w:tabs>
          <w:tab w:val="left" w:pos="312"/>
        </w:tabs>
        <w:spacing w:line="600" w:lineRule="exact"/>
        <w:ind w:firstLine="627" w:firstLineChars="196"/>
        <w:rPr>
          <w:rFonts w:ascii="仿宋_GB2312" w:hAnsi="仿宋" w:eastAsia="仿宋_GB2312" w:cs="仿宋"/>
          <w:b/>
          <w:sz w:val="32"/>
          <w:szCs w:val="32"/>
        </w:rPr>
      </w:pPr>
      <w:r>
        <w:rPr>
          <w:rFonts w:hint="eastAsia" w:ascii="仿宋_GB2312" w:hAnsi="仿宋" w:eastAsia="仿宋_GB2312" w:cs="仿宋"/>
          <w:sz w:val="32"/>
          <w:szCs w:val="32"/>
        </w:rPr>
        <w:t>强化农民工工作协调机制，加快信息化建设，完善统计监测制度，提高农民工基层服务能力。实施农民工素质提升工程，多形式开展农民工培训，提高农民工职业技能和综合素质。维护农民工劳动权益，推动农民工依法参加城镇职工社会保险，实现有稳定劳动关系的农民工全部参保。加快推进农民工市民化，提升农民工均等享受城镇基本公共服务水平。做好侵犯农民工合法权益的舆情监测、风险防控和应急处理，促进社会和谐稳定。</w:t>
      </w:r>
    </w:p>
    <w:tbl>
      <w:tblPr>
        <w:tblStyle w:val="9"/>
        <w:tblW w:w="8850"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8850" w:type="dxa"/>
            <w:tcBorders>
              <w:bottom w:val="single" w:color="auto" w:sz="4" w:space="0"/>
            </w:tcBorders>
            <w:shd w:val="clear" w:color="auto" w:fill="A7A7A7"/>
            <w:vAlign w:val="center"/>
          </w:tcPr>
          <w:p>
            <w:pPr>
              <w:spacing w:line="400" w:lineRule="exact"/>
              <w:jc w:val="center"/>
              <w:rPr>
                <w:rFonts w:ascii="仿宋_GB2312" w:hAnsi="仿宋" w:eastAsia="仿宋_GB2312" w:cs="仿宋"/>
                <w:b/>
                <w:sz w:val="32"/>
                <w:szCs w:val="32"/>
              </w:rPr>
            </w:pPr>
            <w:r>
              <w:rPr>
                <w:rFonts w:hint="eastAsia" w:ascii="仿宋_GB2312" w:hAnsi="仿宋" w:eastAsia="仿宋_GB2312" w:cs="仿宋"/>
                <w:b/>
                <w:sz w:val="32"/>
                <w:szCs w:val="32"/>
              </w:rPr>
              <w:t>专栏7  劳动关系提升工程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8" w:hRule="atLeast"/>
        </w:trPr>
        <w:tc>
          <w:tcPr>
            <w:tcW w:w="8850" w:type="dxa"/>
          </w:tcPr>
          <w:p>
            <w:pPr>
              <w:spacing w:line="400" w:lineRule="exact"/>
              <w:ind w:firstLine="562" w:firstLineChars="200"/>
              <w:rPr>
                <w:rFonts w:ascii="仿宋_GB2312" w:hAnsi="仿宋" w:eastAsia="仿宋_GB2312" w:cs="仿宋"/>
                <w:b/>
                <w:bCs/>
                <w:sz w:val="28"/>
                <w:szCs w:val="28"/>
              </w:rPr>
            </w:pPr>
            <w:r>
              <w:rPr>
                <w:rFonts w:hint="eastAsia" w:ascii="仿宋_GB2312" w:hAnsi="仿宋" w:eastAsia="仿宋_GB2312" w:cs="仿宋"/>
                <w:b/>
                <w:bCs/>
                <w:sz w:val="28"/>
                <w:szCs w:val="28"/>
              </w:rPr>
              <w:t>1．和谐劳动关系培育计划。</w:t>
            </w:r>
            <w:r>
              <w:rPr>
                <w:rFonts w:hint="eastAsia" w:ascii="仿宋_GB2312" w:hAnsi="仿宋" w:eastAsia="仿宋_GB2312" w:cs="仿宋"/>
                <w:sz w:val="28"/>
                <w:szCs w:val="28"/>
              </w:rPr>
              <w:t>选树先进典型劳动关系协调员、劳动关系社会组织参与全市金牌组织评选，打造3家劳动人事争议调解组织，培育5家劳动关系和谐企业。</w:t>
            </w:r>
          </w:p>
          <w:p>
            <w:pPr>
              <w:pStyle w:val="2"/>
              <w:spacing w:line="400" w:lineRule="exact"/>
              <w:ind w:firstLine="562" w:firstLineChars="200"/>
              <w:jc w:val="both"/>
              <w:rPr>
                <w:rFonts w:ascii="仿宋_GB2312" w:hAnsi="仿宋" w:eastAsia="仿宋_GB2312" w:cs="仿宋"/>
                <w:sz w:val="28"/>
                <w:szCs w:val="28"/>
              </w:rPr>
            </w:pPr>
            <w:r>
              <w:rPr>
                <w:rFonts w:hint="eastAsia" w:ascii="仿宋_GB2312" w:hAnsi="仿宋" w:eastAsia="仿宋_GB2312" w:cs="仿宋"/>
                <w:b/>
                <w:bCs/>
                <w:sz w:val="28"/>
                <w:szCs w:val="28"/>
              </w:rPr>
              <w:t>2．重点企业用工指导计划。</w:t>
            </w:r>
            <w:r>
              <w:rPr>
                <w:rFonts w:hint="eastAsia" w:ascii="仿宋_GB2312" w:hAnsi="仿宋" w:eastAsia="仿宋_GB2312" w:cs="仿宋"/>
                <w:sz w:val="28"/>
                <w:szCs w:val="28"/>
              </w:rPr>
              <w:t>建立完善对用工规模较大企业的用工指导服务机制，帮助企业提升用工管理水平。以用工规模较大、生产经营存在较大困难的企业为重点，指导企业采取多种措施稳定工作岗位，发挥集体协商协调劳动关系重要作用，引导企业尽量不裁员、少裁员，稳定劳动关系。</w:t>
            </w:r>
          </w:p>
          <w:p>
            <w:pPr>
              <w:pStyle w:val="2"/>
              <w:spacing w:line="400" w:lineRule="exact"/>
              <w:ind w:firstLine="562" w:firstLineChars="200"/>
              <w:jc w:val="both"/>
              <w:rPr>
                <w:rFonts w:ascii="仿宋_GB2312" w:hAnsi="仿宋" w:eastAsia="仿宋_GB2312" w:cs="仿宋"/>
                <w:sz w:val="28"/>
                <w:szCs w:val="28"/>
              </w:rPr>
            </w:pPr>
            <w:r>
              <w:rPr>
                <w:rFonts w:hint="eastAsia" w:ascii="仿宋_GB2312" w:hAnsi="仿宋" w:eastAsia="仿宋_GB2312" w:cs="仿宋"/>
                <w:b/>
                <w:bCs/>
                <w:sz w:val="28"/>
                <w:szCs w:val="28"/>
              </w:rPr>
              <w:t>3．农民工服务保障行动。</w:t>
            </w:r>
            <w:r>
              <w:rPr>
                <w:rFonts w:hint="eastAsia" w:ascii="仿宋_GB2312" w:hAnsi="仿宋" w:eastAsia="仿宋_GB2312" w:cs="仿宋"/>
                <w:sz w:val="28"/>
                <w:szCs w:val="28"/>
              </w:rPr>
              <w:t>针对农民工成长为新型产业工人和乡村振兴所需劳动技能人才，统筹协调市就业和农民工工作领导小组成员单位，大规模开展农民工职业技能培训，提高农民工技能水平。打造农民工服务保障与监测预警平台，采集和监测农民工动态信息，准确掌握农民工数量、结构及其分布情况。健全农民工服务保障社会协作机制，支持鼓励协作单位为农民工服务保障提供有力的社会补充。征集一批社会协作单位，多层次维护和关爱农民工权益，推介一批关爱典型做好示范引领，形成关爱农民工的良好社会氛围。打造农民工市民化融合样板社区、街道、园区。</w:t>
            </w:r>
          </w:p>
        </w:tc>
      </w:tr>
    </w:tbl>
    <w:p>
      <w:pPr>
        <w:pStyle w:val="2"/>
        <w:spacing w:line="600" w:lineRule="exact"/>
        <w:jc w:val="both"/>
        <w:rPr>
          <w:rFonts w:ascii="仿宋" w:hAnsi="仿宋" w:eastAsia="仿宋" w:cs="仿宋"/>
        </w:rPr>
      </w:pPr>
    </w:p>
    <w:p>
      <w:pPr>
        <w:pStyle w:val="3"/>
      </w:pPr>
    </w:p>
    <w:p>
      <w:pPr>
        <w:widowControl/>
        <w:spacing w:line="600" w:lineRule="exact"/>
        <w:ind w:firstLine="640" w:firstLineChars="200"/>
        <w:jc w:val="center"/>
        <w:rPr>
          <w:rFonts w:ascii="黑体" w:hAnsi="黑体" w:eastAsia="黑体" w:cs="方正粗黑宋简体"/>
          <w:bCs/>
          <w:sz w:val="32"/>
          <w:szCs w:val="32"/>
        </w:rPr>
      </w:pPr>
      <w:r>
        <w:rPr>
          <w:rFonts w:hint="eastAsia" w:ascii="黑体" w:hAnsi="黑体" w:eastAsia="黑体" w:cs="方正粗黑宋简体"/>
          <w:bCs/>
          <w:sz w:val="32"/>
          <w:szCs w:val="32"/>
        </w:rPr>
        <w:t>第七章  提高人力资源和社会保障服务水平</w:t>
      </w:r>
    </w:p>
    <w:p>
      <w:pPr>
        <w:widowControl/>
        <w:spacing w:line="600" w:lineRule="exact"/>
        <w:ind w:firstLine="639" w:firstLineChars="199"/>
        <w:jc w:val="center"/>
        <w:rPr>
          <w:rFonts w:ascii="仿宋_GB2312" w:hAnsi="仿宋" w:eastAsia="仿宋_GB2312" w:cs="仿宋"/>
          <w:b/>
          <w:sz w:val="32"/>
          <w:szCs w:val="32"/>
        </w:rPr>
      </w:pPr>
    </w:p>
    <w:p>
      <w:pPr>
        <w:widowControl/>
        <w:spacing w:line="600" w:lineRule="exact"/>
        <w:ind w:firstLine="639" w:firstLineChars="199"/>
        <w:jc w:val="center"/>
        <w:rPr>
          <w:rFonts w:ascii="楷体_GB2312" w:hAnsi="仿宋" w:eastAsia="楷体_GB2312" w:cs="仿宋"/>
          <w:b/>
          <w:sz w:val="32"/>
          <w:szCs w:val="32"/>
        </w:rPr>
      </w:pPr>
      <w:r>
        <w:rPr>
          <w:rFonts w:hint="eastAsia" w:ascii="楷体_GB2312" w:hAnsi="仿宋" w:eastAsia="楷体_GB2312" w:cs="仿宋"/>
          <w:b/>
          <w:sz w:val="32"/>
          <w:szCs w:val="32"/>
        </w:rPr>
        <w:t>第一节  完善公共服务平台</w:t>
      </w:r>
    </w:p>
    <w:p>
      <w:pPr>
        <w:widowControl/>
        <w:spacing w:line="600" w:lineRule="exact"/>
        <w:ind w:firstLine="636" w:firstLineChars="199"/>
        <w:jc w:val="left"/>
        <w:rPr>
          <w:rFonts w:ascii="仿宋_GB2312" w:hAnsi="仿宋" w:eastAsia="仿宋_GB2312" w:cs="仿宋"/>
          <w:sz w:val="32"/>
          <w:szCs w:val="32"/>
        </w:rPr>
      </w:pPr>
    </w:p>
    <w:p>
      <w:pPr>
        <w:widowControl/>
        <w:spacing w:line="600" w:lineRule="exact"/>
        <w:ind w:firstLine="636" w:firstLineChars="199"/>
        <w:jc w:val="left"/>
        <w:rPr>
          <w:rFonts w:ascii="仿宋_GB2312" w:hAnsi="仿宋" w:eastAsia="仿宋_GB2312" w:cs="仿宋"/>
          <w:sz w:val="32"/>
          <w:szCs w:val="32"/>
        </w:rPr>
      </w:pPr>
      <w:r>
        <w:rPr>
          <w:rFonts w:hint="eastAsia" w:ascii="仿宋_GB2312" w:hAnsi="仿宋" w:eastAsia="仿宋_GB2312" w:cs="仿宋"/>
          <w:sz w:val="32"/>
          <w:szCs w:val="32"/>
        </w:rPr>
        <w:t>以就业服务、职业培训、社会保险、农民工管理服务、退休人员管理、劳动关系协调、人事人才管理、普法宣传、劳动保障监察等为重点，有效整合服务资源，推进人力资源社会和保障公共服务下沉镇(街)、村（社区），健全完善覆盖镇（街）、村（社区）的人力资源社会保障公共服务平台和网络。以推进基层公共服务“一门式”全覆盖工作为抓手，推进人力资源和社会保障公共服务下沉镇（街）、村（社区）。</w:t>
      </w:r>
    </w:p>
    <w:p>
      <w:pPr>
        <w:widowControl/>
        <w:spacing w:line="600" w:lineRule="exact"/>
        <w:ind w:firstLine="639" w:firstLineChars="199"/>
        <w:jc w:val="left"/>
        <w:rPr>
          <w:rFonts w:ascii="仿宋_GB2312" w:hAnsi="仿宋" w:eastAsia="仿宋_GB2312" w:cs="仿宋"/>
          <w:b/>
          <w:sz w:val="32"/>
          <w:szCs w:val="32"/>
        </w:rPr>
      </w:pPr>
    </w:p>
    <w:p>
      <w:pPr>
        <w:widowControl/>
        <w:spacing w:line="600" w:lineRule="exact"/>
        <w:ind w:firstLine="639" w:firstLineChars="199"/>
        <w:jc w:val="center"/>
        <w:rPr>
          <w:rFonts w:ascii="楷体_GB2312" w:hAnsi="仿宋" w:eastAsia="楷体_GB2312" w:cs="仿宋"/>
          <w:b/>
          <w:sz w:val="32"/>
          <w:szCs w:val="32"/>
        </w:rPr>
      </w:pPr>
      <w:r>
        <w:rPr>
          <w:rFonts w:hint="eastAsia" w:ascii="楷体_GB2312" w:hAnsi="仿宋" w:eastAsia="楷体_GB2312" w:cs="仿宋"/>
          <w:b/>
          <w:sz w:val="32"/>
          <w:szCs w:val="32"/>
        </w:rPr>
        <w:t>第二节  加强人社系统行风建设</w:t>
      </w:r>
    </w:p>
    <w:p>
      <w:pPr>
        <w:widowControl/>
        <w:spacing w:line="600" w:lineRule="exact"/>
        <w:jc w:val="left"/>
        <w:rPr>
          <w:rFonts w:ascii="仿宋_GB2312" w:hAnsi="仿宋" w:eastAsia="仿宋_GB2312" w:cs="仿宋"/>
          <w:sz w:val="32"/>
          <w:szCs w:val="32"/>
        </w:rPr>
      </w:pPr>
    </w:p>
    <w:p>
      <w:pPr>
        <w:widowControl/>
        <w:spacing w:line="600" w:lineRule="exact"/>
        <w:jc w:val="left"/>
        <w:rPr>
          <w:rFonts w:ascii="仿宋_GB2312" w:hAnsi="仿宋" w:eastAsia="仿宋_GB2312" w:cs="仿宋"/>
          <w:sz w:val="32"/>
          <w:szCs w:val="32"/>
        </w:rPr>
      </w:pPr>
      <w:r>
        <w:rPr>
          <w:rFonts w:hint="eastAsia" w:ascii="仿宋_GB2312" w:hAnsi="仿宋" w:eastAsia="仿宋_GB2312" w:cs="仿宋"/>
          <w:sz w:val="32"/>
          <w:szCs w:val="32"/>
        </w:rPr>
        <w:t xml:space="preserve">     坚持以人民为中心，开展人社系统行风建设提升行动。全面落实“一件事一次办”改革，持续推进“减证便民”，畅通为民服务的“最先一公里”和“最后一公里”，不断提升企业和群众办事的便捷度和满意度。进一步加强业务培训，持续开展业务技能练兵比武活动，培育更多“人社业务通”，不断提高系统干部职工能力素质和业务水平。健全公众满意度测评体系，常态化开展明察暗访，强化警示教育和问责监督，做好行风建设问题专项整改。</w:t>
      </w:r>
    </w:p>
    <w:p>
      <w:pPr>
        <w:pStyle w:val="2"/>
        <w:rPr>
          <w:rFonts w:ascii="仿宋_GB2312" w:eastAsia="仿宋_GB2312"/>
          <w:sz w:val="32"/>
          <w:szCs w:val="32"/>
        </w:rPr>
      </w:pPr>
    </w:p>
    <w:p>
      <w:pPr>
        <w:widowControl/>
        <w:spacing w:line="600" w:lineRule="exact"/>
        <w:ind w:firstLine="639" w:firstLineChars="199"/>
        <w:jc w:val="center"/>
        <w:rPr>
          <w:rFonts w:ascii="楷体_GB2312" w:hAnsi="仿宋" w:eastAsia="楷体_GB2312" w:cs="仿宋"/>
          <w:b/>
          <w:sz w:val="32"/>
          <w:szCs w:val="32"/>
        </w:rPr>
      </w:pPr>
      <w:r>
        <w:rPr>
          <w:rFonts w:hint="eastAsia" w:ascii="楷体_GB2312" w:hAnsi="仿宋" w:eastAsia="楷体_GB2312" w:cs="仿宋"/>
          <w:b/>
          <w:sz w:val="32"/>
          <w:szCs w:val="32"/>
        </w:rPr>
        <w:t>第三节  推进基本公共服务均等化</w:t>
      </w:r>
    </w:p>
    <w:p>
      <w:pPr>
        <w:widowControl/>
        <w:spacing w:line="600" w:lineRule="exact"/>
        <w:ind w:firstLine="636" w:firstLineChars="199"/>
        <w:jc w:val="left"/>
        <w:rPr>
          <w:rFonts w:ascii="仿宋_GB2312" w:hAnsi="仿宋" w:eastAsia="仿宋_GB2312" w:cs="仿宋"/>
          <w:sz w:val="32"/>
          <w:szCs w:val="32"/>
        </w:rPr>
      </w:pPr>
    </w:p>
    <w:p>
      <w:pPr>
        <w:widowControl/>
        <w:spacing w:line="600" w:lineRule="exact"/>
        <w:ind w:firstLine="636" w:firstLineChars="199"/>
        <w:jc w:val="left"/>
        <w:rPr>
          <w:rFonts w:ascii="仿宋_GB2312" w:hAnsi="仿宋" w:eastAsia="仿宋_GB2312" w:cs="仿宋"/>
          <w:sz w:val="32"/>
          <w:szCs w:val="32"/>
        </w:rPr>
      </w:pPr>
      <w:r>
        <w:rPr>
          <w:rFonts w:hint="eastAsia" w:ascii="仿宋_GB2312" w:hAnsi="仿宋" w:eastAsia="仿宋_GB2312" w:cs="仿宋"/>
          <w:sz w:val="32"/>
          <w:szCs w:val="32"/>
        </w:rPr>
        <w:t xml:space="preserve">建立健全覆盖全民、城乡一体、均衡发展的人社公共服务体系，继续加强基层人社公共服务平台能力建设，推进公共服务设施共建共享，逐步缩小区域、城乡间基本公共服务差距。完善人才管理和服务体系，推进人才公共服务产品标准化管理，加强流动人员人事档案管理服务。 </w:t>
      </w:r>
    </w:p>
    <w:p>
      <w:pPr>
        <w:pStyle w:val="2"/>
      </w:pPr>
    </w:p>
    <w:p>
      <w:pPr>
        <w:spacing w:line="600" w:lineRule="exact"/>
        <w:ind w:firstLine="640" w:firstLineChars="200"/>
        <w:jc w:val="center"/>
        <w:rPr>
          <w:rFonts w:ascii="黑体" w:hAnsi="黑体" w:eastAsia="黑体" w:cs="方正粗黑宋简体"/>
          <w:sz w:val="32"/>
          <w:szCs w:val="32"/>
        </w:rPr>
      </w:pPr>
      <w:r>
        <w:rPr>
          <w:rFonts w:hint="eastAsia" w:ascii="黑体" w:hAnsi="黑体" w:eastAsia="黑体" w:cs="方正粗黑宋简体"/>
          <w:sz w:val="32"/>
          <w:szCs w:val="32"/>
        </w:rPr>
        <w:t>第八章  强化规划实施保障</w:t>
      </w:r>
    </w:p>
    <w:p>
      <w:pPr>
        <w:pStyle w:val="2"/>
        <w:rPr>
          <w:rFonts w:ascii="仿宋_GB2312" w:eastAsia="仿宋_GB2312"/>
          <w:sz w:val="32"/>
          <w:szCs w:val="32"/>
        </w:rPr>
      </w:pPr>
    </w:p>
    <w:p>
      <w:pPr>
        <w:spacing w:line="600" w:lineRule="exact"/>
        <w:ind w:firstLine="643" w:firstLineChars="200"/>
        <w:jc w:val="center"/>
        <w:rPr>
          <w:rFonts w:ascii="楷体_GB2312" w:hAnsi="仿宋" w:eastAsia="楷体_GB2312" w:cs="仿宋"/>
          <w:b/>
          <w:sz w:val="32"/>
          <w:szCs w:val="32"/>
        </w:rPr>
      </w:pPr>
      <w:r>
        <w:rPr>
          <w:rFonts w:hint="eastAsia" w:ascii="楷体_GB2312" w:hAnsi="仿宋" w:eastAsia="楷体_GB2312" w:cs="仿宋"/>
          <w:b/>
          <w:sz w:val="32"/>
          <w:szCs w:val="32"/>
        </w:rPr>
        <w:t>第一节  加强组织领导</w:t>
      </w:r>
    </w:p>
    <w:p>
      <w:pPr>
        <w:spacing w:line="600" w:lineRule="exact"/>
        <w:ind w:firstLine="640" w:firstLineChars="200"/>
        <w:rPr>
          <w:rFonts w:ascii="仿宋_GB2312" w:hAnsi="仿宋" w:eastAsia="仿宋_GB2312" w:cs="仿宋"/>
          <w:sz w:val="32"/>
          <w:szCs w:val="32"/>
        </w:rPr>
      </w:pP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加强规划实施的统筹协调和宏观指导，制定各项目标任务的分解落实方案，把确定的发展目标、具体指标和主要任务分解到年度，纳入年度工作计划，确保规划目标任务有计划、按步骤地得到落实。</w:t>
      </w:r>
    </w:p>
    <w:p>
      <w:pPr>
        <w:pStyle w:val="2"/>
        <w:rPr>
          <w:rFonts w:ascii="仿宋_GB2312" w:eastAsia="仿宋_GB2312"/>
          <w:sz w:val="32"/>
          <w:szCs w:val="32"/>
        </w:rPr>
      </w:pPr>
    </w:p>
    <w:p>
      <w:pPr>
        <w:spacing w:line="600" w:lineRule="exact"/>
        <w:ind w:firstLine="643" w:firstLineChars="200"/>
        <w:jc w:val="center"/>
        <w:rPr>
          <w:rFonts w:ascii="楷体_GB2312" w:hAnsi="仿宋" w:eastAsia="楷体_GB2312" w:cs="仿宋"/>
          <w:b/>
          <w:sz w:val="32"/>
          <w:szCs w:val="32"/>
        </w:rPr>
      </w:pPr>
      <w:r>
        <w:rPr>
          <w:rFonts w:hint="eastAsia" w:ascii="楷体_GB2312" w:hAnsi="仿宋" w:eastAsia="楷体_GB2312" w:cs="仿宋"/>
          <w:b/>
          <w:sz w:val="32"/>
          <w:szCs w:val="32"/>
        </w:rPr>
        <w:t>第二节  加大财政投入</w:t>
      </w:r>
    </w:p>
    <w:p>
      <w:pPr>
        <w:spacing w:line="600" w:lineRule="exact"/>
        <w:ind w:firstLine="640" w:firstLineChars="200"/>
        <w:rPr>
          <w:rFonts w:ascii="仿宋_GB2312" w:hAnsi="仿宋" w:eastAsia="仿宋_GB2312" w:cs="仿宋"/>
          <w:sz w:val="32"/>
          <w:szCs w:val="32"/>
        </w:rPr>
      </w:pP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建立健全财政对人力资源和社会保障事业发展的积极保障机制，将人力资源和社会保障支出发展列入公共财政支出的重点领域。加强人力资源社会保障专项资金管理，建立科学化、精细化理财模式，提高专项资金使用绩效。</w:t>
      </w:r>
    </w:p>
    <w:p>
      <w:pPr>
        <w:pStyle w:val="3"/>
      </w:pPr>
    </w:p>
    <w:p/>
    <w:p>
      <w:pPr>
        <w:spacing w:line="600" w:lineRule="exact"/>
        <w:ind w:firstLine="630" w:firstLineChars="196"/>
        <w:jc w:val="center"/>
        <w:rPr>
          <w:rFonts w:ascii="楷体_GB2312" w:hAnsi="仿宋" w:eastAsia="楷体_GB2312" w:cs="仿宋"/>
          <w:b/>
          <w:sz w:val="32"/>
          <w:szCs w:val="32"/>
        </w:rPr>
      </w:pPr>
      <w:r>
        <w:rPr>
          <w:rFonts w:hint="eastAsia" w:ascii="楷体_GB2312" w:hAnsi="仿宋" w:eastAsia="楷体_GB2312" w:cs="仿宋"/>
          <w:b/>
          <w:sz w:val="32"/>
          <w:szCs w:val="32"/>
        </w:rPr>
        <w:t>第三节  加强宣传引导</w:t>
      </w:r>
    </w:p>
    <w:p>
      <w:pPr>
        <w:spacing w:line="600" w:lineRule="exact"/>
        <w:ind w:firstLine="640" w:firstLineChars="200"/>
        <w:rPr>
          <w:rFonts w:ascii="仿宋_GB2312" w:hAnsi="仿宋" w:eastAsia="仿宋_GB2312" w:cs="仿宋"/>
          <w:sz w:val="32"/>
          <w:szCs w:val="32"/>
        </w:rPr>
      </w:pPr>
    </w:p>
    <w:p>
      <w:pPr>
        <w:overflowPunct w:val="0"/>
        <w:topLinePunct/>
        <w:autoSpaceDE w:val="0"/>
        <w:autoSpaceDN w:val="0"/>
        <w:spacing w:line="560" w:lineRule="exact"/>
        <w:ind w:firstLine="640" w:firstLineChars="200"/>
        <w:rPr>
          <w:rFonts w:eastAsia="仿宋_GB2312"/>
          <w:sz w:val="32"/>
          <w:szCs w:val="32"/>
        </w:rPr>
      </w:pPr>
      <w:r>
        <w:rPr>
          <w:rFonts w:hint="eastAsia" w:ascii="仿宋_GB2312" w:hAnsi="仿宋" w:eastAsia="仿宋_GB2312" w:cs="仿宋"/>
          <w:sz w:val="32"/>
          <w:szCs w:val="32"/>
        </w:rPr>
        <w:t>坚持正确的舆论导向，不断加大人力资源和社会保障工作宣传力度。引导群众更新就业观念，强化参保意识，增强公民守法维权意识，构建和谐劳动关系，营造有利于人力资源和社会保障事业健康发展的良好舆论环境。</w:t>
      </w:r>
    </w:p>
    <w:p>
      <w:pPr>
        <w:rPr>
          <w:rFonts w:ascii="仿宋_GB2312" w:eastAsia="仿宋_GB2312"/>
          <w:sz w:val="32"/>
          <w:szCs w:val="32"/>
        </w:rPr>
      </w:pPr>
    </w:p>
    <w:sectPr>
      <w:footerReference r:id="rId5"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粗黑宋简体">
    <w:altName w:val="宋体"/>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path/>
          <v:fill on="f" focussize="0,0"/>
          <v:stroke on="f" weight="0.5pt" joinstyle="miter"/>
          <v:imagedata o:title=""/>
          <o:lock v:ext="edit"/>
          <v:textbox inset="0mm,0mm,0mm,0mm" style="mso-fit-shape-to-text:t;">
            <w:txbxContent>
              <w:p>
                <w:pPr>
                  <w:pStyle w:val="3"/>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4687A8B"/>
    <w:rsid w:val="000A496C"/>
    <w:rsid w:val="00223337"/>
    <w:rsid w:val="00641667"/>
    <w:rsid w:val="00694EEF"/>
    <w:rsid w:val="006B0CEE"/>
    <w:rsid w:val="00797ECC"/>
    <w:rsid w:val="00FF687E"/>
    <w:rsid w:val="09A12E5E"/>
    <w:rsid w:val="11547A8C"/>
    <w:rsid w:val="34687A8B"/>
    <w:rsid w:val="458F17C4"/>
    <w:rsid w:val="6CA32998"/>
    <w:rsid w:val="7CEC3B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pPr>
      <w:jc w:val="center"/>
    </w:pPr>
    <w:rPr>
      <w:rFonts w:eastAsia="方正小标宋简体" w:cs="黑体"/>
      <w:sz w:val="36"/>
      <w:szCs w:val="22"/>
    </w:rPr>
  </w:style>
  <w:style w:type="paragraph" w:styleId="3">
    <w:name w:val="footer"/>
    <w:basedOn w:val="1"/>
    <w:next w:val="4"/>
    <w:semiHidden/>
    <w:unhideWhenUsed/>
    <w:qFormat/>
    <w:uiPriority w:val="99"/>
    <w:pPr>
      <w:tabs>
        <w:tab w:val="center" w:pos="4153"/>
        <w:tab w:val="right" w:pos="8306"/>
      </w:tabs>
      <w:snapToGrid w:val="0"/>
      <w:jc w:val="left"/>
    </w:pPr>
    <w:rPr>
      <w:sz w:val="18"/>
      <w:szCs w:val="18"/>
    </w:rPr>
  </w:style>
  <w:style w:type="paragraph" w:styleId="4">
    <w:name w:val="index 5"/>
    <w:basedOn w:val="1"/>
    <w:next w:val="1"/>
    <w:qFormat/>
    <w:uiPriority w:val="0"/>
    <w:pPr>
      <w:ind w:left="1680"/>
    </w:pPr>
  </w:style>
  <w:style w:type="paragraph" w:styleId="5">
    <w:name w:val="Body Text Indent"/>
    <w:basedOn w:val="1"/>
    <w:qFormat/>
    <w:uiPriority w:val="0"/>
    <w:pPr>
      <w:spacing w:after="120"/>
      <w:ind w:left="420" w:leftChars="200"/>
    </w:pPr>
  </w:style>
  <w:style w:type="paragraph" w:styleId="6">
    <w:name w:val="Body Text First Indent 2"/>
    <w:basedOn w:val="5"/>
    <w:qFormat/>
    <w:uiPriority w:val="0"/>
    <w:pPr>
      <w:ind w:firstLine="420" w:firstLineChars="200"/>
    </w:p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ca-42"/>
    <w:basedOn w:val="8"/>
    <w:qFormat/>
    <w:uiPriority w:val="0"/>
  </w:style>
  <w:style w:type="character" w:customStyle="1" w:styleId="12">
    <w:name w:val="font21"/>
    <w:basedOn w:val="8"/>
    <w:qFormat/>
    <w:uiPriority w:val="0"/>
    <w:rPr>
      <w:rFonts w:hint="eastAsia" w:ascii="方正小标宋简体" w:hAnsi="方正小标宋简体" w:eastAsia="方正小标宋简体" w:cs="方正小标宋简体"/>
      <w:color w:val="000000"/>
      <w:sz w:val="28"/>
      <w:szCs w:val="28"/>
      <w:u w:val="none"/>
    </w:rPr>
  </w:style>
  <w:style w:type="character" w:customStyle="1" w:styleId="13">
    <w:name w:val="font01"/>
    <w:basedOn w:val="8"/>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26</Pages>
  <Words>1916</Words>
  <Characters>10927</Characters>
  <Lines>91</Lines>
  <Paragraphs>25</Paragraphs>
  <TotalTime>2</TotalTime>
  <ScaleCrop>false</ScaleCrop>
  <LinksUpToDate>false</LinksUpToDate>
  <CharactersWithSpaces>12818</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2022-03-25T06:23:00Z</dcterms:created>
  <dc:creator>Guoguo</dc:creator>
  <cp:lastModifiedBy>Administrator</cp:lastModifiedBy>
  <dcterms:modified xsi:type="dcterms:W3CDTF">2022-09-28T02:10:40Z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