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pStyle w:val="3"/>
        <w:ind w:left="0" w:left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望城区司法局2019年重点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项目（工作）表</w:t>
      </w:r>
    </w:p>
    <w:tbl>
      <w:tblPr>
        <w:tblStyle w:val="4"/>
        <w:tblW w:w="9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8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方面</w:t>
            </w:r>
          </w:p>
        </w:tc>
        <w:tc>
          <w:tcPr>
            <w:tcW w:w="8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重点内容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  <w:jc w:val="center"/>
        </w:trPr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一、突出政治建设，强化党建引领</w:t>
            </w:r>
          </w:p>
        </w:tc>
        <w:tc>
          <w:tcPr>
            <w:tcW w:w="8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1.政治建设取得新成效。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把政治建设摆在首位，争创“五好”班子，按照“五个过硬”的干部队伍要求，打造政治建队品牌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★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；加强支部“五化”建设，争创“四星”党支部，成立法律服务协会和“两新”党组织，党建工作在年度考核中评为“优秀”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★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；严格落实党风廉政建设“一岗双责”和网络意识形态工作责任制，加强舆情管控。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0" w:hRule="atLeast"/>
          <w:jc w:val="center"/>
        </w:trPr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二、突出法治建设，推进依法治区</w:t>
            </w:r>
          </w:p>
        </w:tc>
        <w:tc>
          <w:tcPr>
            <w:tcW w:w="8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★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贯彻落实依法治国新要求。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按照“两规则一细则”要求，认真履行区委全面依法治区委员会办公室职责；制定全面依法治区2019年工作要点；制定2019-2025年依法治区建设规划、法治社会建设实施意见；提请区委、区政府制定并通过《望城区贯彻落实&lt;党政主要负责人履行推进法治建设第一责任人职责规定&gt;的实施细则》；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落实“谁执法谁普法”责任制；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深入开展法治政府示范创建活动；加强基层依法治理，探索“自治、法治、德治”相结合的基层治理“望城模式”。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6" w:hRule="atLeast"/>
          <w:jc w:val="center"/>
        </w:trPr>
        <w:tc>
          <w:tcPr>
            <w:tcW w:w="16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三、突出平安建设，维护社会稳定</w:t>
            </w:r>
          </w:p>
        </w:tc>
        <w:tc>
          <w:tcPr>
            <w:tcW w:w="8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3.坚持发展“枫桥经验”实现矛盾不上交。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督促指导街（镇）、村（社区）加强人民调解委员会规范化建设，建立组级品牌调解室；加强人民调解员定期培训和行业、专业调解员季度考评讲评；将调解案卷季度评查结果与“以奖代补”相挂钩；争取在省级层面宣传推介人民调解进公安派出所、交警中队、商会的工作经验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★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8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加强司法所规范化建设。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</w:rPr>
              <w:t>靖港、乔口、茶亭所已纳入“十三五”规划司法业务用房的建设项目，确保年内开工、力争建成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eastAsia="zh-CN"/>
              </w:rPr>
              <w:t>；丁字湾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</w:rPr>
              <w:t>所争创省级规范化所，乌山、白箬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eastAsia="zh-CN"/>
              </w:rPr>
              <w:t>铺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</w:rPr>
              <w:t>所争创省级模范化所。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0" w:hRule="atLeast"/>
          <w:jc w:val="center"/>
        </w:trPr>
        <w:tc>
          <w:tcPr>
            <w:tcW w:w="16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8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5.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坚持维护社会长治久安。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eastAsia="zh-CN"/>
              </w:rPr>
              <w:t>高标准建好区级社区矫正指挥中心，开通司法所的监管系统，推广社区服刑人员移动教育APP，确保社区服刑人员“四个不发生”，不出现安全监管责任事故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★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eastAsia="zh-CN"/>
              </w:rPr>
              <w:t>；继续购买4项社区矫正社会服务；将社区矫正人员和刑释人员纳入综治网格化“六帮一”方案管理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★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eastAsia="zh-CN"/>
              </w:rPr>
              <w:t>；深入开展扫黑除恶</w:t>
            </w:r>
            <w:bookmarkStart w:id="0" w:name="_GoBack"/>
            <w:bookmarkEnd w:id="0"/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eastAsia="zh-CN"/>
              </w:rPr>
              <w:t>和“禁毒”专项斗争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★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2" w:hRule="atLeast"/>
          <w:jc w:val="center"/>
        </w:trPr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四、强化执法监督，服务依法决策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8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6.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强化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执法监督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eastAsia="zh-CN"/>
              </w:rPr>
              <w:t>推动行政执法“三项制度”在望城全面落实，实现行政执法案件评查常态化，切实加强对重点领域行政执法的监督；加强规范性文件和政府合同管理，规范政府机关行政权力运行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val="en-US" w:eastAsia="zh-CN"/>
              </w:rPr>
              <w:t>★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eastAsia="zh-CN"/>
              </w:rPr>
              <w:t>；提升行政复议和应诉综合效能，对全区有重大影响的案件，应及时介入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val="en-US" w:eastAsia="zh-CN"/>
              </w:rPr>
              <w:t>★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eastAsia="zh-CN"/>
              </w:rPr>
              <w:t>；积极推进行政机关负责人出庭应诉责任落实。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  <w:jc w:val="center"/>
        </w:trPr>
        <w:tc>
          <w:tcPr>
            <w:tcW w:w="16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五、致力服务社会，满足群众需求</w:t>
            </w:r>
          </w:p>
        </w:tc>
        <w:tc>
          <w:tcPr>
            <w:tcW w:w="8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7.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全面推进公共法律服务体系建设。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健全“一村（社区）一法律顾问”工作机制，推进“一站式”“综合化”的公共法律服务工作站点建设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★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；抓好法律援助案件的办理，规范看守所、法院、检察院法律援助工作站运行。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6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8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8.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★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持续优化营商环境。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围绕“营商环境优化年”“产业发展攻坚年”，组建律师服务团，开展“法律进企业、进园区”活动。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  <w:jc w:val="center"/>
        </w:trPr>
        <w:tc>
          <w:tcPr>
            <w:tcW w:w="16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8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9</w:t>
            </w:r>
            <w:r>
              <w:rPr>
                <w:rFonts w:hint="eastAsia" w:ascii="仿宋_GB2312" w:hAnsi="Calibri" w:eastAsia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.</w:t>
            </w:r>
            <w:r>
              <w:rPr>
                <w:rFonts w:hint="eastAsia" w:ascii="仿宋_GB2312" w:eastAsia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推进全民守法。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兑现“金种子行动”法律服务支队承诺，服务脱贫攻坚、乡村振兴、基层依法治理、扫黑除恶、禁毒等工作★；在雷锋纪念馆开设“青少年法治教育课堂”;打造2个以上法治文化示范项目★；完成人民陪审员选任工作；把“望城区司法局”微信公众号建设好、运行好★。</w:t>
            </w:r>
          </w:p>
        </w:tc>
      </w:tr>
    </w:tbl>
    <w:p>
      <w:pPr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备注：文中标注★的内容为重点。</w:t>
      </w:r>
    </w:p>
    <w:p/>
    <w:sectPr>
      <w:footerReference r:id="rId3" w:type="default"/>
      <w:type w:val="continuous"/>
      <w:pgSz w:w="11906" w:h="16838"/>
      <w:pgMar w:top="1701" w:right="1418" w:bottom="1417" w:left="1701" w:header="851" w:footer="992" w:gutter="0"/>
      <w:pgNumType w:fmt="decimal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FgAAAGRycy9QSwECFAAUAAAACACHTuJAzql5uc8AAAAFAQAADwAA&#10;AAAAAAABACAAAAA4AAAAZHJzL2Rvd25yZXYueG1sUEsBAhQAFAAAAAgAh07iQGF4TI/QAQAAogMA&#10;AA4AAAAAAAAAAQAgAAAANAEAAGRycy9lMm9Eb2MueG1sUEsFBgAAAAAGAAYAWQEAAH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93FD7"/>
    <w:rsid w:val="097B4A26"/>
    <w:rsid w:val="2F3FD910"/>
    <w:rsid w:val="4D6B056E"/>
    <w:rsid w:val="65E93F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index 5"/>
    <w:basedOn w:val="1"/>
    <w:next w:val="1"/>
    <w:qFormat/>
    <w:uiPriority w:val="0"/>
    <w:pPr>
      <w:ind w:left="800" w:leftChars="8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2019-09-05T11:16:00Z</dcterms:created>
  <dc:creator>与共</dc:creator>
  <cp:lastModifiedBy>ZQ</cp:lastModifiedBy>
  <dcterms:modified xsi:type="dcterms:W3CDTF">2024-09-24T15:15:39Z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13CEA579B7F2CFF61B67F266653C5D8F_42</vt:lpwstr>
  </property>
</Properties>
</file>