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505657">
      <w:pPr>
        <w:widowControl/>
        <w:spacing w:line="450" w:lineRule="atLeast"/>
        <w:jc w:val="center"/>
        <w:outlineLvl w:val="1"/>
        <w:rPr>
          <w:rFonts w:ascii="微软雅黑" w:hAnsi="微软雅黑" w:eastAsia="微软雅黑" w:cs="宋体"/>
          <w:color w:val="414141"/>
          <w:kern w:val="0"/>
          <w:sz w:val="36"/>
          <w:szCs w:val="36"/>
        </w:rPr>
      </w:pPr>
      <w:r>
        <w:rPr>
          <w:rFonts w:hint="eastAsia" w:ascii="微软雅黑" w:hAnsi="微软雅黑" w:eastAsia="微软雅黑" w:cs="宋体"/>
          <w:color w:val="414141"/>
          <w:kern w:val="0"/>
          <w:sz w:val="36"/>
          <w:szCs w:val="36"/>
        </w:rPr>
        <w:t>202</w:t>
      </w:r>
      <w:r>
        <w:rPr>
          <w:rFonts w:hint="eastAsia" w:ascii="微软雅黑" w:hAnsi="微软雅黑" w:eastAsia="微软雅黑" w:cs="宋体"/>
          <w:color w:val="414141"/>
          <w:kern w:val="0"/>
          <w:sz w:val="36"/>
          <w:szCs w:val="36"/>
          <w:lang w:val="en-US" w:eastAsia="zh-CN"/>
        </w:rPr>
        <w:t>3</w:t>
      </w:r>
      <w:r>
        <w:rPr>
          <w:rFonts w:hint="eastAsia" w:ascii="微软雅黑" w:hAnsi="微软雅黑" w:eastAsia="微软雅黑" w:cs="宋体"/>
          <w:color w:val="414141"/>
          <w:kern w:val="0"/>
          <w:sz w:val="36"/>
          <w:szCs w:val="36"/>
        </w:rPr>
        <w:t>年度物资事务中心预算绩效评价自评工作报告</w:t>
      </w:r>
    </w:p>
    <w:p w14:paraId="0616FD70">
      <w:pPr>
        <w:widowControl/>
        <w:spacing w:line="500" w:lineRule="atLeast"/>
        <w:jc w:val="left"/>
        <w:rPr>
          <w:rFonts w:cs="宋体" w:asciiTheme="minorEastAsia" w:hAnsiTheme="minorEastAsia"/>
          <w:color w:val="414141"/>
          <w:kern w:val="0"/>
          <w:sz w:val="32"/>
          <w:szCs w:val="32"/>
        </w:rPr>
      </w:pPr>
      <w:r>
        <w:rPr>
          <w:rFonts w:hint="eastAsia" w:ascii="宋体" w:hAnsi="宋体" w:eastAsia="宋体" w:cs="宋体"/>
          <w:color w:val="414141"/>
          <w:kern w:val="0"/>
          <w:sz w:val="32"/>
          <w:szCs w:val="32"/>
        </w:rPr>
        <w:t>    </w:t>
      </w:r>
    </w:p>
    <w:p w14:paraId="247399A9">
      <w:pPr>
        <w:widowControl/>
        <w:spacing w:line="500" w:lineRule="atLeast"/>
        <w:jc w:val="left"/>
        <w:rPr>
          <w:rFonts w:hint="eastAsia" w:ascii="黑体" w:hAnsi="黑体" w:eastAsia="黑体" w:cs="黑体"/>
          <w:color w:val="414141"/>
          <w:kern w:val="0"/>
          <w:sz w:val="32"/>
          <w:szCs w:val="32"/>
        </w:rPr>
      </w:pPr>
      <w:r>
        <w:rPr>
          <w:rFonts w:hint="eastAsia" w:ascii="黑体" w:hAnsi="黑体" w:eastAsia="黑体" w:cs="黑体"/>
          <w:b/>
          <w:bCs/>
          <w:color w:val="414141"/>
          <w:kern w:val="0"/>
          <w:sz w:val="32"/>
          <w:szCs w:val="32"/>
        </w:rPr>
        <w:t>一、单位基本情况</w:t>
      </w:r>
    </w:p>
    <w:p w14:paraId="0727C5E7">
      <w:pPr>
        <w:snapToGrid w:val="0"/>
        <w:spacing w:line="520" w:lineRule="exact"/>
        <w:rPr>
          <w:rFonts w:hint="eastAsia" w:ascii="仿宋" w:hAnsi="仿宋" w:eastAsia="仿宋" w:cs="仿宋"/>
          <w:sz w:val="28"/>
          <w:szCs w:val="28"/>
        </w:rPr>
      </w:pPr>
      <w:r>
        <w:rPr>
          <w:rFonts w:hint="eastAsia" w:ascii="仿宋" w:hAnsi="仿宋" w:eastAsia="仿宋" w:cs="仿宋"/>
          <w:sz w:val="28"/>
          <w:szCs w:val="28"/>
        </w:rPr>
        <w:t>1．主要职能。</w:t>
      </w:r>
    </w:p>
    <w:p w14:paraId="430FAD8D">
      <w:pPr>
        <w:snapToGrid w:val="0"/>
        <w:spacing w:line="520" w:lineRule="exact"/>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rPr>
        <w:t>负责原物资总公司遗留问题的处理和政府授权范围内的国有资产的安全管理，负责原物资总公司退休和内退人员的管理服务工作</w:t>
      </w:r>
      <w:r>
        <w:rPr>
          <w:rFonts w:hint="eastAsia" w:ascii="仿宋" w:hAnsi="仿宋" w:eastAsia="仿宋" w:cs="仿宋"/>
          <w:sz w:val="28"/>
          <w:szCs w:val="28"/>
          <w:lang w:eastAsia="zh-CN"/>
        </w:rPr>
        <w:t>，</w:t>
      </w:r>
      <w:r>
        <w:rPr>
          <w:rFonts w:hint="eastAsia" w:ascii="华文仿宋" w:hAnsi="华文仿宋" w:eastAsia="华文仿宋" w:cs="华文仿宋"/>
          <w:sz w:val="30"/>
          <w:szCs w:val="30"/>
          <w:lang w:val="en-US" w:eastAsia="zh-CN"/>
        </w:rPr>
        <w:t>监督和管理原物资总公司改制后而成立的国有参股公司长沙市望城区民爆器材有限责任公司。</w:t>
      </w:r>
    </w:p>
    <w:p w14:paraId="40CBC5CB">
      <w:pPr>
        <w:snapToGrid w:val="0"/>
        <w:spacing w:line="520" w:lineRule="exact"/>
        <w:rPr>
          <w:rFonts w:hint="eastAsia" w:ascii="仿宋" w:hAnsi="仿宋" w:eastAsia="仿宋" w:cs="仿宋"/>
          <w:sz w:val="28"/>
          <w:szCs w:val="28"/>
        </w:rPr>
      </w:pPr>
      <w:r>
        <w:rPr>
          <w:rFonts w:hint="eastAsia" w:ascii="仿宋" w:hAnsi="仿宋" w:eastAsia="仿宋" w:cs="仿宋"/>
          <w:sz w:val="28"/>
          <w:szCs w:val="28"/>
        </w:rPr>
        <w:t>2．机构及人员情况。</w:t>
      </w:r>
    </w:p>
    <w:p w14:paraId="5F6DBD13">
      <w:pPr>
        <w:widowControl/>
        <w:spacing w:line="500" w:lineRule="atLeast"/>
        <w:ind w:firstLine="560" w:firstLineChars="200"/>
        <w:jc w:val="left"/>
        <w:rPr>
          <w:rFonts w:hint="eastAsia" w:ascii="仿宋" w:hAnsi="仿宋" w:eastAsia="仿宋" w:cs="仿宋"/>
          <w:sz w:val="28"/>
          <w:szCs w:val="28"/>
        </w:rPr>
      </w:pPr>
      <w:r>
        <w:rPr>
          <w:rFonts w:hint="eastAsia" w:ascii="仿宋" w:hAnsi="仿宋" w:eastAsia="仿宋" w:cs="仿宋"/>
          <w:sz w:val="28"/>
          <w:szCs w:val="28"/>
        </w:rPr>
        <w:t>物资</w:t>
      </w:r>
      <w:r>
        <w:rPr>
          <w:rFonts w:hint="eastAsia" w:ascii="仿宋" w:hAnsi="仿宋" w:eastAsia="仿宋" w:cs="仿宋"/>
          <w:sz w:val="28"/>
          <w:szCs w:val="28"/>
          <w:lang w:val="en-US" w:eastAsia="zh-CN"/>
        </w:rPr>
        <w:t>事务</w:t>
      </w:r>
      <w:r>
        <w:rPr>
          <w:rFonts w:hint="eastAsia" w:ascii="仿宋" w:hAnsi="仿宋" w:eastAsia="仿宋" w:cs="仿宋"/>
          <w:sz w:val="28"/>
          <w:szCs w:val="28"/>
        </w:rPr>
        <w:t>中心为事业性质、区商务局下属二级机构、财务独立核算单位，单位编制人数</w:t>
      </w:r>
      <w:r>
        <w:rPr>
          <w:rFonts w:hint="eastAsia" w:ascii="仿宋" w:hAnsi="仿宋" w:eastAsia="仿宋" w:cs="仿宋"/>
          <w:sz w:val="28"/>
          <w:szCs w:val="28"/>
          <w:lang w:val="en-US" w:eastAsia="zh-CN"/>
        </w:rPr>
        <w:t>2</w:t>
      </w:r>
      <w:r>
        <w:rPr>
          <w:rFonts w:hint="eastAsia" w:ascii="仿宋" w:hAnsi="仿宋" w:eastAsia="仿宋" w:cs="仿宋"/>
          <w:sz w:val="28"/>
          <w:szCs w:val="28"/>
        </w:rPr>
        <w:t>人，年末实有在职人员</w:t>
      </w:r>
      <w:r>
        <w:rPr>
          <w:rFonts w:hint="eastAsia" w:ascii="仿宋" w:hAnsi="仿宋" w:eastAsia="仿宋" w:cs="仿宋"/>
          <w:sz w:val="28"/>
          <w:szCs w:val="28"/>
          <w:lang w:val="en-US" w:eastAsia="zh-CN"/>
        </w:rPr>
        <w:t>2</w:t>
      </w:r>
      <w:r>
        <w:rPr>
          <w:rFonts w:hint="eastAsia" w:ascii="仿宋" w:hAnsi="仿宋" w:eastAsia="仿宋" w:cs="仿宋"/>
          <w:sz w:val="28"/>
          <w:szCs w:val="28"/>
        </w:rPr>
        <w:t>人，退休人员2</w:t>
      </w:r>
      <w:r>
        <w:rPr>
          <w:rFonts w:hint="eastAsia" w:ascii="仿宋" w:hAnsi="仿宋" w:eastAsia="仿宋" w:cs="仿宋"/>
          <w:sz w:val="28"/>
          <w:szCs w:val="28"/>
          <w:lang w:val="en-US" w:eastAsia="zh-CN"/>
        </w:rPr>
        <w:t>4</w:t>
      </w:r>
      <w:r>
        <w:rPr>
          <w:rFonts w:hint="eastAsia" w:ascii="仿宋" w:hAnsi="仿宋" w:eastAsia="仿宋" w:cs="仿宋"/>
          <w:sz w:val="28"/>
          <w:szCs w:val="28"/>
        </w:rPr>
        <w:t>人，还有由我中心代管的原物资总公司内退人员7人（已全部退休）。</w:t>
      </w:r>
    </w:p>
    <w:p w14:paraId="6D7F9D34">
      <w:pPr>
        <w:keepNext w:val="0"/>
        <w:keepLines w:val="0"/>
        <w:widowControl/>
        <w:suppressLineNumbers w:val="0"/>
        <w:jc w:val="left"/>
        <w:rPr>
          <w:rFonts w:hint="eastAsia" w:ascii="黑体" w:hAnsi="黑体" w:eastAsia="黑体" w:cs="黑体"/>
          <w:b/>
          <w:bCs/>
          <w:sz w:val="32"/>
          <w:szCs w:val="32"/>
        </w:rPr>
      </w:pPr>
      <w:r>
        <w:rPr>
          <w:rFonts w:hint="eastAsia" w:ascii="黑体" w:hAnsi="黑体" w:eastAsia="黑体" w:cs="黑体"/>
          <w:sz w:val="32"/>
          <w:szCs w:val="32"/>
        </w:rPr>
        <w:t>二</w:t>
      </w:r>
      <w:r>
        <w:rPr>
          <w:rFonts w:hint="eastAsia" w:ascii="黑体" w:hAnsi="黑体" w:eastAsia="黑体" w:cs="黑体"/>
          <w:b/>
          <w:bCs/>
          <w:color w:val="414141"/>
          <w:kern w:val="0"/>
          <w:sz w:val="32"/>
          <w:szCs w:val="32"/>
        </w:rPr>
        <w:t>、</w:t>
      </w:r>
      <w:r>
        <w:rPr>
          <w:rFonts w:hint="eastAsia" w:ascii="黑体" w:hAnsi="黑体" w:eastAsia="黑体" w:cs="黑体"/>
          <w:b/>
          <w:bCs/>
          <w:color w:val="000000"/>
          <w:kern w:val="0"/>
          <w:sz w:val="32"/>
          <w:szCs w:val="32"/>
          <w:lang w:val="en-US" w:eastAsia="zh-CN" w:bidi="ar"/>
        </w:rPr>
        <w:t>部门整体预算支出情况</w:t>
      </w:r>
    </w:p>
    <w:p w14:paraId="5A8EC2CF">
      <w:pPr>
        <w:keepNext w:val="0"/>
        <w:keepLines w:val="0"/>
        <w:widowControl/>
        <w:suppressLineNumbers w:val="0"/>
        <w:ind w:firstLine="560" w:firstLineChars="200"/>
        <w:jc w:val="left"/>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（一）基本支出情况</w:t>
      </w:r>
    </w:p>
    <w:p w14:paraId="1E8D97F4">
      <w:pPr>
        <w:keepNext w:val="0"/>
        <w:keepLines w:val="0"/>
        <w:widowControl/>
        <w:suppressLineNumbers w:val="0"/>
        <w:ind w:firstLine="560" w:firstLineChars="200"/>
        <w:jc w:val="left"/>
        <w:rPr>
          <w:rFonts w:hint="eastAsia" w:ascii="仿宋" w:hAnsi="仿宋" w:eastAsia="仿宋" w:cs="仿宋"/>
          <w:sz w:val="28"/>
          <w:szCs w:val="28"/>
          <w:lang w:val="en-US" w:eastAsia="zh-CN"/>
        </w:rPr>
      </w:pPr>
      <w:r>
        <w:rPr>
          <w:rFonts w:hint="eastAsia" w:ascii="仿宋" w:hAnsi="仿宋" w:eastAsia="仿宋" w:cs="仿宋"/>
          <w:color w:val="000000"/>
          <w:kern w:val="0"/>
          <w:sz w:val="28"/>
          <w:szCs w:val="28"/>
          <w:lang w:val="en-US" w:eastAsia="zh-CN" w:bidi="ar"/>
        </w:rPr>
        <w:t xml:space="preserve">  </w:t>
      </w:r>
      <w:r>
        <w:rPr>
          <w:rFonts w:hint="eastAsia" w:ascii="仿宋" w:hAnsi="仿宋" w:eastAsia="仿宋" w:cs="仿宋"/>
          <w:sz w:val="28"/>
          <w:szCs w:val="28"/>
          <w:lang w:val="en-US" w:eastAsia="zh-CN"/>
        </w:rPr>
        <w:t>2023年基本支出192.43万元，</w:t>
      </w:r>
      <w:r>
        <w:rPr>
          <w:rFonts w:hint="eastAsia" w:ascii="仿宋" w:hAnsi="仿宋" w:eastAsia="仿宋" w:cs="仿宋"/>
          <w:sz w:val="28"/>
          <w:szCs w:val="28"/>
        </w:rPr>
        <w:t>占总支出的8</w:t>
      </w:r>
      <w:r>
        <w:rPr>
          <w:rFonts w:hint="eastAsia" w:ascii="仿宋" w:hAnsi="仿宋" w:eastAsia="仿宋" w:cs="仿宋"/>
          <w:sz w:val="28"/>
          <w:szCs w:val="28"/>
          <w:lang w:val="en-US" w:eastAsia="zh-CN"/>
        </w:rPr>
        <w:t>0</w:t>
      </w:r>
      <w:r>
        <w:rPr>
          <w:rFonts w:hint="eastAsia" w:ascii="仿宋" w:hAnsi="仿宋" w:eastAsia="仿宋" w:cs="仿宋"/>
          <w:sz w:val="28"/>
          <w:szCs w:val="28"/>
        </w:rPr>
        <w:t>%</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年初基本支出预算数为186.83万元，比年初预算增加5.6万元。2023年基本支出192.43万元，2022年基本支出356.84万元，比上年减少164.4万，降幅达46.07%。</w:t>
      </w:r>
    </w:p>
    <w:p w14:paraId="07D4E6D6">
      <w:pPr>
        <w:keepNext w:val="0"/>
        <w:keepLines w:val="0"/>
        <w:widowControl/>
        <w:suppressLineNumbers w:val="0"/>
        <w:ind w:firstLine="560" w:firstLineChars="200"/>
        <w:jc w:val="left"/>
        <w:rPr>
          <w:rFonts w:hint="eastAsia" w:ascii="仿宋" w:hAnsi="仿宋" w:eastAsia="仿宋" w:cs="仿宋"/>
          <w:sz w:val="28"/>
          <w:szCs w:val="28"/>
        </w:rPr>
      </w:pPr>
      <w:r>
        <w:rPr>
          <w:rFonts w:hint="eastAsia" w:ascii="仿宋" w:hAnsi="仿宋" w:eastAsia="仿宋" w:cs="仿宋"/>
          <w:color w:val="000000"/>
          <w:kern w:val="0"/>
          <w:sz w:val="28"/>
          <w:szCs w:val="28"/>
          <w:lang w:val="en-US" w:eastAsia="zh-CN" w:bidi="ar"/>
        </w:rPr>
        <w:t>（二）项目支出情况</w:t>
      </w:r>
    </w:p>
    <w:p w14:paraId="7D0EE7C8">
      <w:pPr>
        <w:keepNext w:val="0"/>
        <w:keepLines w:val="0"/>
        <w:widowControl/>
        <w:suppressLineNumbers w:val="0"/>
        <w:ind w:firstLine="840" w:firstLineChars="300"/>
        <w:jc w:val="left"/>
        <w:rPr>
          <w:rFonts w:hint="default" w:ascii="仿宋" w:hAnsi="仿宋" w:eastAsia="仿宋" w:cs="仿宋"/>
          <w:color w:val="414141"/>
          <w:kern w:val="0"/>
          <w:sz w:val="28"/>
          <w:szCs w:val="28"/>
          <w:lang w:val="en-US"/>
        </w:rPr>
      </w:pPr>
      <w:r>
        <w:rPr>
          <w:rFonts w:hint="eastAsia" w:ascii="仿宋" w:hAnsi="仿宋" w:eastAsia="仿宋" w:cs="仿宋"/>
          <w:sz w:val="28"/>
          <w:szCs w:val="28"/>
          <w:lang w:val="en-US" w:eastAsia="zh-CN"/>
        </w:rPr>
        <w:t>2023年</w:t>
      </w:r>
      <w:r>
        <w:rPr>
          <w:rFonts w:hint="eastAsia" w:ascii="仿宋" w:hAnsi="仿宋" w:eastAsia="仿宋" w:cs="仿宋"/>
          <w:color w:val="000000"/>
          <w:kern w:val="0"/>
          <w:sz w:val="28"/>
          <w:szCs w:val="28"/>
          <w:lang w:val="en-US" w:eastAsia="zh-CN" w:bidi="ar"/>
        </w:rPr>
        <w:t>公共专项资金以外的其他项目支出为</w:t>
      </w:r>
      <w:r>
        <w:rPr>
          <w:rFonts w:hint="eastAsia" w:ascii="仿宋" w:hAnsi="仿宋" w:eastAsia="仿宋" w:cs="仿宋"/>
          <w:sz w:val="28"/>
          <w:szCs w:val="28"/>
          <w:lang w:val="en-US" w:eastAsia="zh-CN"/>
        </w:rPr>
        <w:t>48.18万元，</w:t>
      </w:r>
      <w:r>
        <w:rPr>
          <w:rFonts w:hint="eastAsia" w:ascii="仿宋" w:hAnsi="仿宋" w:eastAsia="仿宋" w:cs="仿宋"/>
          <w:sz w:val="28"/>
          <w:szCs w:val="28"/>
        </w:rPr>
        <w:t>占总支出的</w:t>
      </w:r>
      <w:r>
        <w:rPr>
          <w:rFonts w:hint="eastAsia" w:ascii="仿宋" w:hAnsi="仿宋" w:eastAsia="仿宋" w:cs="仿宋"/>
          <w:sz w:val="28"/>
          <w:szCs w:val="28"/>
          <w:lang w:val="en-US" w:eastAsia="zh-CN"/>
        </w:rPr>
        <w:t>20</w:t>
      </w:r>
      <w:r>
        <w:rPr>
          <w:rFonts w:hint="eastAsia" w:ascii="仿宋" w:hAnsi="仿宋" w:eastAsia="仿宋" w:cs="仿宋"/>
          <w:sz w:val="28"/>
          <w:szCs w:val="28"/>
        </w:rPr>
        <w:t>%</w:t>
      </w:r>
      <w:r>
        <w:rPr>
          <w:rFonts w:hint="eastAsia" w:ascii="仿宋" w:hAnsi="仿宋" w:eastAsia="仿宋" w:cs="仿宋"/>
          <w:sz w:val="28"/>
          <w:szCs w:val="28"/>
          <w:lang w:val="en-US" w:eastAsia="zh-CN"/>
        </w:rPr>
        <w:t>.年初项目预算数为64万元，预算执行率为75%，节约开支15.82万元。2022年项目支出46.69万元，比上年增加1.5万元，增长3.21%.</w:t>
      </w:r>
    </w:p>
    <w:p w14:paraId="118CBD11">
      <w:pPr>
        <w:numPr>
          <w:ilvl w:val="0"/>
          <w:numId w:val="1"/>
        </w:numPr>
        <w:snapToGrid w:val="0"/>
        <w:spacing w:line="520" w:lineRule="exact"/>
        <w:ind w:firstLine="560" w:firstLineChars="200"/>
        <w:rPr>
          <w:rFonts w:hint="eastAsia" w:ascii="仿宋" w:hAnsi="仿宋" w:eastAsia="仿宋" w:cs="仿宋"/>
          <w:color w:val="414141"/>
          <w:kern w:val="0"/>
          <w:sz w:val="28"/>
          <w:szCs w:val="28"/>
          <w:lang w:val="en-US" w:eastAsia="zh-CN"/>
        </w:rPr>
      </w:pPr>
      <w:r>
        <w:rPr>
          <w:rFonts w:hint="eastAsia" w:ascii="仿宋" w:hAnsi="仿宋" w:eastAsia="仿宋" w:cs="仿宋"/>
          <w:color w:val="414141"/>
          <w:kern w:val="0"/>
          <w:sz w:val="28"/>
          <w:szCs w:val="28"/>
        </w:rPr>
        <w:t>历史遗留问题处理资金40万，实际使用</w:t>
      </w:r>
      <w:r>
        <w:rPr>
          <w:rFonts w:hint="eastAsia" w:ascii="仿宋" w:hAnsi="仿宋" w:eastAsia="仿宋" w:cs="仿宋"/>
          <w:color w:val="414141"/>
          <w:kern w:val="0"/>
          <w:sz w:val="28"/>
          <w:szCs w:val="28"/>
          <w:lang w:val="en-US" w:eastAsia="zh-CN"/>
        </w:rPr>
        <w:t>23.88</w:t>
      </w:r>
      <w:r>
        <w:rPr>
          <w:rFonts w:hint="eastAsia" w:ascii="仿宋" w:hAnsi="仿宋" w:eastAsia="仿宋" w:cs="仿宋"/>
          <w:color w:val="414141"/>
          <w:kern w:val="0"/>
          <w:sz w:val="28"/>
          <w:szCs w:val="28"/>
        </w:rPr>
        <w:t>万元，其中工资福利支出</w:t>
      </w:r>
      <w:r>
        <w:rPr>
          <w:rFonts w:hint="eastAsia" w:ascii="仿宋" w:hAnsi="仿宋" w:eastAsia="仿宋" w:cs="仿宋"/>
          <w:color w:val="414141"/>
          <w:kern w:val="0"/>
          <w:sz w:val="28"/>
          <w:szCs w:val="28"/>
          <w:lang w:val="en-US" w:eastAsia="zh-CN"/>
        </w:rPr>
        <w:t>4.67</w:t>
      </w:r>
      <w:r>
        <w:rPr>
          <w:rFonts w:hint="eastAsia" w:ascii="仿宋" w:hAnsi="仿宋" w:eastAsia="仿宋" w:cs="仿宋"/>
          <w:color w:val="414141"/>
          <w:kern w:val="0"/>
          <w:sz w:val="28"/>
          <w:szCs w:val="28"/>
        </w:rPr>
        <w:t>万元,占总支出的</w:t>
      </w:r>
      <w:r>
        <w:rPr>
          <w:rFonts w:hint="eastAsia" w:ascii="仿宋" w:hAnsi="仿宋" w:eastAsia="仿宋" w:cs="仿宋"/>
          <w:color w:val="414141"/>
          <w:kern w:val="0"/>
          <w:sz w:val="28"/>
          <w:szCs w:val="28"/>
          <w:lang w:val="en-US" w:eastAsia="zh-CN"/>
        </w:rPr>
        <w:t>20</w:t>
      </w:r>
      <w:r>
        <w:rPr>
          <w:rFonts w:hint="eastAsia" w:ascii="仿宋" w:hAnsi="仿宋" w:eastAsia="仿宋" w:cs="仿宋"/>
          <w:color w:val="414141"/>
          <w:kern w:val="0"/>
          <w:sz w:val="28"/>
          <w:szCs w:val="28"/>
        </w:rPr>
        <w:t>%;商品服务支出</w:t>
      </w:r>
      <w:r>
        <w:rPr>
          <w:rFonts w:hint="eastAsia" w:ascii="仿宋" w:hAnsi="仿宋" w:eastAsia="仿宋" w:cs="仿宋"/>
          <w:color w:val="414141"/>
          <w:kern w:val="0"/>
          <w:sz w:val="28"/>
          <w:szCs w:val="28"/>
          <w:lang w:val="en-US" w:eastAsia="zh-CN"/>
        </w:rPr>
        <w:t>10.9</w:t>
      </w:r>
      <w:r>
        <w:rPr>
          <w:rFonts w:hint="eastAsia" w:ascii="仿宋" w:hAnsi="仿宋" w:eastAsia="仿宋" w:cs="仿宋"/>
          <w:color w:val="414141"/>
          <w:kern w:val="0"/>
          <w:sz w:val="28"/>
          <w:szCs w:val="28"/>
        </w:rPr>
        <w:t>万元,占总支出的</w:t>
      </w:r>
      <w:r>
        <w:rPr>
          <w:rFonts w:hint="eastAsia" w:ascii="仿宋" w:hAnsi="仿宋" w:eastAsia="仿宋" w:cs="仿宋"/>
          <w:color w:val="414141"/>
          <w:kern w:val="0"/>
          <w:sz w:val="28"/>
          <w:szCs w:val="28"/>
          <w:lang w:val="en-US" w:eastAsia="zh-CN"/>
        </w:rPr>
        <w:t>45</w:t>
      </w:r>
      <w:r>
        <w:rPr>
          <w:rFonts w:hint="eastAsia" w:ascii="仿宋" w:hAnsi="仿宋" w:eastAsia="仿宋" w:cs="仿宋"/>
          <w:color w:val="414141"/>
          <w:kern w:val="0"/>
          <w:sz w:val="28"/>
          <w:szCs w:val="28"/>
        </w:rPr>
        <w:t>%;其他对个人和家庭补助支出</w:t>
      </w:r>
      <w:r>
        <w:rPr>
          <w:rFonts w:hint="eastAsia" w:ascii="仿宋" w:hAnsi="仿宋" w:eastAsia="仿宋" w:cs="仿宋"/>
          <w:color w:val="414141"/>
          <w:kern w:val="0"/>
          <w:sz w:val="28"/>
          <w:szCs w:val="28"/>
          <w:lang w:val="en-US" w:eastAsia="zh-CN"/>
        </w:rPr>
        <w:t>8.31</w:t>
      </w:r>
      <w:r>
        <w:rPr>
          <w:rFonts w:hint="eastAsia" w:ascii="仿宋" w:hAnsi="仿宋" w:eastAsia="仿宋" w:cs="仿宋"/>
          <w:color w:val="414141"/>
          <w:kern w:val="0"/>
          <w:sz w:val="28"/>
          <w:szCs w:val="28"/>
        </w:rPr>
        <w:t>万元,占总支出的</w:t>
      </w:r>
      <w:r>
        <w:rPr>
          <w:rFonts w:hint="eastAsia" w:ascii="仿宋" w:hAnsi="仿宋" w:eastAsia="仿宋" w:cs="仿宋"/>
          <w:color w:val="414141"/>
          <w:kern w:val="0"/>
          <w:sz w:val="28"/>
          <w:szCs w:val="28"/>
          <w:lang w:val="en-US" w:eastAsia="zh-CN"/>
        </w:rPr>
        <w:t>35</w:t>
      </w:r>
      <w:r>
        <w:rPr>
          <w:rFonts w:hint="eastAsia" w:ascii="仿宋" w:hAnsi="仿宋" w:eastAsia="仿宋" w:cs="仿宋"/>
          <w:color w:val="414141"/>
          <w:kern w:val="0"/>
          <w:sz w:val="28"/>
          <w:szCs w:val="28"/>
        </w:rPr>
        <w:t>%</w:t>
      </w:r>
      <w:r>
        <w:rPr>
          <w:rFonts w:hint="eastAsia" w:ascii="仿宋" w:hAnsi="仿宋" w:eastAsia="仿宋" w:cs="仿宋"/>
          <w:color w:val="414141"/>
          <w:kern w:val="0"/>
          <w:sz w:val="28"/>
          <w:szCs w:val="28"/>
          <w:lang w:val="en-US" w:eastAsia="zh-CN"/>
        </w:rPr>
        <w:t>.</w:t>
      </w:r>
    </w:p>
    <w:p w14:paraId="388F18E7">
      <w:pPr>
        <w:numPr>
          <w:ilvl w:val="0"/>
          <w:numId w:val="0"/>
        </w:numPr>
        <w:snapToGrid w:val="0"/>
        <w:spacing w:line="520" w:lineRule="exact"/>
        <w:ind w:firstLine="560" w:firstLineChars="200"/>
        <w:rPr>
          <w:rFonts w:hint="eastAsia" w:ascii="仿宋" w:hAnsi="仿宋" w:eastAsia="仿宋" w:cs="仿宋"/>
          <w:sz w:val="28"/>
          <w:szCs w:val="28"/>
        </w:rPr>
      </w:pPr>
      <w:r>
        <w:rPr>
          <w:rFonts w:hint="eastAsia" w:ascii="仿宋" w:hAnsi="仿宋" w:eastAsia="仿宋" w:cs="仿宋"/>
          <w:color w:val="414141"/>
          <w:kern w:val="0"/>
          <w:sz w:val="28"/>
          <w:szCs w:val="28"/>
          <w:lang w:val="en-US" w:eastAsia="zh-CN"/>
        </w:rPr>
        <w:t>2.</w:t>
      </w:r>
      <w:r>
        <w:rPr>
          <w:rFonts w:hint="eastAsia" w:ascii="仿宋" w:hAnsi="仿宋" w:eastAsia="仿宋" w:cs="仿宋"/>
          <w:color w:val="414141"/>
          <w:kern w:val="0"/>
          <w:sz w:val="28"/>
          <w:szCs w:val="28"/>
        </w:rPr>
        <w:t>原物资总公司改制内退人员经费</w:t>
      </w:r>
      <w:r>
        <w:rPr>
          <w:rFonts w:hint="eastAsia" w:ascii="仿宋" w:hAnsi="仿宋" w:eastAsia="仿宋" w:cs="仿宋"/>
          <w:color w:val="414141"/>
          <w:kern w:val="0"/>
          <w:sz w:val="28"/>
          <w:szCs w:val="28"/>
          <w:lang w:val="en-US" w:eastAsia="zh-CN"/>
        </w:rPr>
        <w:t>24万元</w:t>
      </w:r>
      <w:r>
        <w:rPr>
          <w:rFonts w:hint="eastAsia" w:ascii="仿宋" w:hAnsi="仿宋" w:eastAsia="仿宋" w:cs="仿宋"/>
          <w:color w:val="414141"/>
          <w:kern w:val="0"/>
          <w:sz w:val="28"/>
          <w:szCs w:val="28"/>
        </w:rPr>
        <w:t>。内退人员专项资金都是根据文件精神按内退人员的实际需要开支的费用据实开支，专款专用</w:t>
      </w:r>
      <w:r>
        <w:rPr>
          <w:rFonts w:hint="eastAsia" w:ascii="仿宋" w:hAnsi="仿宋" w:eastAsia="仿宋" w:cs="仿宋"/>
          <w:color w:val="414141"/>
          <w:kern w:val="0"/>
          <w:sz w:val="28"/>
          <w:szCs w:val="28"/>
          <w:lang w:eastAsia="zh-CN"/>
        </w:rPr>
        <w:t>，</w:t>
      </w:r>
      <w:r>
        <w:rPr>
          <w:rFonts w:hint="eastAsia" w:ascii="仿宋" w:hAnsi="仿宋" w:eastAsia="仿宋" w:cs="仿宋"/>
          <w:color w:val="414141"/>
          <w:kern w:val="0"/>
          <w:sz w:val="28"/>
          <w:szCs w:val="28"/>
          <w:lang w:val="en-US" w:eastAsia="zh-CN"/>
        </w:rPr>
        <w:t>2023年支出23.8万，全部执行到位</w:t>
      </w:r>
      <w:r>
        <w:rPr>
          <w:rFonts w:hint="eastAsia" w:ascii="仿宋" w:hAnsi="仿宋" w:eastAsia="仿宋" w:cs="仿宋"/>
          <w:color w:val="414141"/>
          <w:kern w:val="0"/>
          <w:sz w:val="28"/>
          <w:szCs w:val="28"/>
        </w:rPr>
        <w:t>。</w:t>
      </w:r>
    </w:p>
    <w:p w14:paraId="120DF9C2">
      <w:pPr>
        <w:keepNext w:val="0"/>
        <w:keepLines w:val="0"/>
        <w:widowControl/>
        <w:suppressLineNumbers w:val="0"/>
        <w:jc w:val="left"/>
        <w:rPr>
          <w:rFonts w:hint="eastAsia" w:ascii="黑体" w:hAnsi="黑体" w:eastAsia="黑体" w:cs="黑体"/>
          <w:b/>
          <w:bCs/>
          <w:sz w:val="32"/>
          <w:szCs w:val="32"/>
        </w:rPr>
      </w:pPr>
      <w:r>
        <w:rPr>
          <w:rFonts w:hint="eastAsia" w:ascii="黑体" w:hAnsi="黑体" w:eastAsia="黑体" w:cs="黑体"/>
          <w:b/>
          <w:sz w:val="32"/>
          <w:szCs w:val="32"/>
        </w:rPr>
        <w:t>三、</w:t>
      </w:r>
      <w:bookmarkStart w:id="0" w:name="YS060102"/>
      <w:r>
        <w:rPr>
          <w:rFonts w:hint="eastAsia" w:ascii="黑体" w:hAnsi="黑体" w:eastAsia="黑体" w:cs="黑体"/>
          <w:b/>
          <w:bCs/>
          <w:color w:val="000000"/>
          <w:kern w:val="0"/>
          <w:sz w:val="32"/>
          <w:szCs w:val="32"/>
          <w:lang w:val="en-US" w:eastAsia="zh-CN" w:bidi="ar"/>
        </w:rPr>
        <w:t>部门整体支出绩效情况</w:t>
      </w:r>
    </w:p>
    <w:bookmarkEnd w:id="0"/>
    <w:p w14:paraId="38E159DF">
      <w:pPr>
        <w:widowControl/>
        <w:spacing w:beforeLines="0" w:afterLines="0" w:line="500" w:lineRule="atLeast"/>
        <w:ind w:firstLine="560" w:firstLineChars="200"/>
        <w:jc w:val="left"/>
        <w:rPr>
          <w:rFonts w:hint="eastAsia" w:ascii="仿宋" w:hAnsi="仿宋" w:eastAsia="仿宋" w:cs="仿宋"/>
          <w:sz w:val="28"/>
          <w:szCs w:val="28"/>
        </w:rPr>
      </w:pPr>
      <w:r>
        <w:rPr>
          <w:rFonts w:hint="eastAsia" w:ascii="仿宋" w:hAnsi="仿宋" w:eastAsia="仿宋" w:cs="仿宋"/>
          <w:sz w:val="28"/>
          <w:szCs w:val="28"/>
          <w:lang w:val="en-US" w:eastAsia="zh-CN"/>
        </w:rPr>
        <w:t>2023年</w:t>
      </w:r>
      <w:r>
        <w:rPr>
          <w:rFonts w:hint="eastAsia" w:ascii="仿宋" w:hAnsi="仿宋" w:eastAsia="仿宋" w:cs="仿宋"/>
          <w:sz w:val="28"/>
          <w:szCs w:val="28"/>
        </w:rPr>
        <w:t>我单位整体支出</w:t>
      </w:r>
      <w:r>
        <w:rPr>
          <w:rFonts w:hint="eastAsia" w:ascii="仿宋" w:hAnsi="仿宋" w:eastAsia="仿宋" w:cs="仿宋"/>
          <w:sz w:val="28"/>
          <w:szCs w:val="28"/>
          <w:lang w:val="en-US" w:eastAsia="zh-CN"/>
        </w:rPr>
        <w:t>为</w:t>
      </w:r>
      <w:r>
        <w:rPr>
          <w:rFonts w:hint="eastAsia" w:ascii="仿宋" w:hAnsi="仿宋" w:eastAsia="仿宋" w:cs="仿宋"/>
          <w:sz w:val="28"/>
          <w:szCs w:val="28"/>
        </w:rPr>
        <w:t xml:space="preserve">一般公共财政拨款 </w:t>
      </w:r>
      <w:r>
        <w:rPr>
          <w:rFonts w:hint="eastAsia" w:ascii="仿宋" w:hAnsi="仿宋" w:eastAsia="仿宋" w:cs="仿宋"/>
          <w:sz w:val="28"/>
          <w:szCs w:val="28"/>
          <w:lang w:val="en-US" w:eastAsia="zh-CN"/>
        </w:rPr>
        <w:t>240.61</w:t>
      </w:r>
      <w:r>
        <w:rPr>
          <w:rFonts w:hint="eastAsia" w:ascii="仿宋" w:hAnsi="仿宋" w:eastAsia="仿宋" w:cs="仿宋"/>
          <w:sz w:val="28"/>
          <w:szCs w:val="28"/>
        </w:rPr>
        <w:t>万元</w:t>
      </w:r>
      <w:r>
        <w:rPr>
          <w:rFonts w:hint="eastAsia" w:ascii="仿宋" w:hAnsi="仿宋" w:eastAsia="仿宋" w:cs="仿宋"/>
          <w:sz w:val="28"/>
          <w:szCs w:val="28"/>
          <w:lang w:val="en-US" w:eastAsia="zh-CN"/>
        </w:rPr>
        <w:t>,其中基本支出192.43万元，项目支出48.18</w:t>
      </w:r>
      <w:r>
        <w:rPr>
          <w:rFonts w:hint="eastAsia" w:ascii="仿宋" w:hAnsi="仿宋" w:eastAsia="仿宋" w:cs="仿宋"/>
          <w:sz w:val="28"/>
          <w:szCs w:val="28"/>
        </w:rPr>
        <w:t>万元,合计</w:t>
      </w:r>
      <w:r>
        <w:rPr>
          <w:rFonts w:hint="eastAsia" w:ascii="仿宋" w:hAnsi="仿宋" w:eastAsia="仿宋" w:cs="仿宋"/>
          <w:sz w:val="28"/>
          <w:szCs w:val="28"/>
          <w:lang w:val="en-US" w:eastAsia="zh-CN"/>
        </w:rPr>
        <w:t>支出</w:t>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240.61</w:t>
      </w:r>
      <w:r>
        <w:rPr>
          <w:rFonts w:hint="eastAsia" w:ascii="仿宋" w:hAnsi="仿宋" w:eastAsia="仿宋" w:cs="仿宋"/>
          <w:sz w:val="28"/>
          <w:szCs w:val="28"/>
        </w:rPr>
        <w:t>万元。年度总绩效目标主要为保障中心的</w:t>
      </w:r>
      <w:r>
        <w:rPr>
          <w:rFonts w:hint="eastAsia" w:ascii="仿宋" w:hAnsi="仿宋" w:eastAsia="仿宋" w:cs="仿宋"/>
          <w:sz w:val="28"/>
          <w:szCs w:val="28"/>
          <w:lang w:val="en-US" w:eastAsia="zh-CN"/>
        </w:rPr>
        <w:t>正常</w:t>
      </w:r>
      <w:r>
        <w:rPr>
          <w:rFonts w:hint="eastAsia" w:ascii="仿宋" w:hAnsi="仿宋" w:eastAsia="仿宋" w:cs="仿宋"/>
          <w:sz w:val="28"/>
          <w:szCs w:val="28"/>
        </w:rPr>
        <w:t>、高效运转，满意度 90%以上;保障</w:t>
      </w:r>
      <w:r>
        <w:rPr>
          <w:rFonts w:hint="eastAsia" w:ascii="仿宋" w:hAnsi="仿宋" w:eastAsia="仿宋" w:cs="仿宋"/>
          <w:sz w:val="28"/>
          <w:szCs w:val="28"/>
          <w:lang w:val="en-US" w:eastAsia="zh-CN"/>
        </w:rPr>
        <w:t>内退人员的相关福利待遇足额享受满意度</w:t>
      </w:r>
      <w:r>
        <w:rPr>
          <w:rFonts w:hint="eastAsia" w:ascii="仿宋" w:hAnsi="仿宋" w:eastAsia="仿宋" w:cs="仿宋"/>
          <w:sz w:val="28"/>
          <w:szCs w:val="28"/>
        </w:rPr>
        <w:t>100%以上;做好</w:t>
      </w:r>
      <w:r>
        <w:rPr>
          <w:rFonts w:hint="eastAsia" w:ascii="仿宋" w:hAnsi="仿宋" w:eastAsia="仿宋" w:cs="仿宋"/>
          <w:sz w:val="28"/>
          <w:szCs w:val="28"/>
          <w:lang w:val="en-US" w:eastAsia="zh-CN"/>
        </w:rPr>
        <w:t>机关退休人员</w:t>
      </w:r>
      <w:r>
        <w:rPr>
          <w:rFonts w:hint="eastAsia" w:ascii="仿宋" w:hAnsi="仿宋" w:eastAsia="仿宋" w:cs="仿宋"/>
          <w:sz w:val="28"/>
          <w:szCs w:val="28"/>
        </w:rPr>
        <w:t>的管理</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服务工作；</w:t>
      </w:r>
      <w:r>
        <w:rPr>
          <w:rFonts w:hint="eastAsia" w:ascii="仿宋" w:hAnsi="仿宋" w:eastAsia="仿宋" w:cs="仿宋"/>
          <w:b w:val="0"/>
          <w:bCs w:val="0"/>
          <w:sz w:val="28"/>
          <w:szCs w:val="28"/>
          <w:lang w:val="en-US" w:eastAsia="zh-CN"/>
        </w:rPr>
        <w:t>监管民爆公司安全生产工作，</w:t>
      </w:r>
      <w:r>
        <w:rPr>
          <w:rFonts w:hint="eastAsia" w:ascii="仿宋" w:hAnsi="仿宋" w:eastAsia="仿宋" w:cs="仿宋"/>
          <w:sz w:val="28"/>
          <w:szCs w:val="28"/>
        </w:rPr>
        <w:t>无安全事故发生。基本达成年度目标，具体总结如下.</w:t>
      </w:r>
    </w:p>
    <w:p w14:paraId="5CBA33F6">
      <w:pPr>
        <w:overflowPunct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（一）202</w:t>
      </w: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年预算编制严格按照省财政厅《关于编制202</w:t>
      </w: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年省级部门（单位）预算的通知》和《202</w:t>
      </w: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年省本级部门（单位）预算编制方法和口径》相关要求，结合本单位实际，按照“以收定支、量入为出，集中财力保障重点，进一步压减一般性支出”的原则，把过“紧日子”作为长期工作方针，认真核实单位实际财政供养人数和实有编制情况，准确编制人员经费和公用经费等，做到尽量细化项目资金支出预算范围和科目；</w:t>
      </w:r>
    </w:p>
    <w:p w14:paraId="767DC585">
      <w:pPr>
        <w:overflowPunct w:val="0"/>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（二）严格执行各项财经管理制度，强化资金管理和使用。通过加强预算收支管理，不断健全《</w:t>
      </w:r>
      <w:r>
        <w:rPr>
          <w:rFonts w:hint="eastAsia" w:ascii="仿宋_GB2312" w:hAnsi="仿宋_GB2312" w:eastAsia="仿宋_GB2312" w:cs="仿宋_GB2312"/>
          <w:sz w:val="28"/>
          <w:szCs w:val="28"/>
          <w:lang w:val="en-US" w:eastAsia="zh-CN"/>
        </w:rPr>
        <w:t>物资</w:t>
      </w:r>
      <w:r>
        <w:rPr>
          <w:rFonts w:hint="eastAsia" w:ascii="仿宋_GB2312" w:hAnsi="仿宋_GB2312" w:eastAsia="仿宋_GB2312" w:cs="仿宋_GB2312"/>
          <w:sz w:val="28"/>
          <w:szCs w:val="28"/>
        </w:rPr>
        <w:t>中心内部控制制度》，梳理内部管理流程，管好用好每笔资金，杜绝违规违法苗头隐患；自觉接受审计、财政、纪检监察等部门的监督检查。按照财政资金用途和目的，切实完善资金管理制度，款项支付规范，最大限度地发挥了财政资金的使用效率，认真执行年初预算资金指标，帐务核算及时规范，保障了中心正常运转，促进了项目活动有序推进，较好地完成了年度工作目标任务。</w:t>
      </w:r>
    </w:p>
    <w:p w14:paraId="22B88EAC">
      <w:pPr>
        <w:overflowPunct w:val="0"/>
        <w:spacing w:line="560" w:lineRule="exact"/>
        <w:ind w:firstLine="560" w:firstLineChars="200"/>
        <w:rPr>
          <w:rFonts w:ascii="仿宋_GB2312" w:hAnsi="仿宋_GB2312" w:eastAsia="仿宋_GB2312" w:cs="仿宋_GB2312"/>
          <w:sz w:val="32"/>
          <w:szCs w:val="32"/>
        </w:rPr>
      </w:pPr>
      <w:r>
        <w:rPr>
          <w:rFonts w:hint="eastAsia" w:ascii="仿宋_GB2312" w:hAnsi="仿宋_GB2312" w:eastAsia="仿宋_GB2312" w:cs="仿宋_GB2312"/>
          <w:sz w:val="28"/>
          <w:szCs w:val="28"/>
        </w:rPr>
        <w:t>（三）认真编制202</w:t>
      </w: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年单位年度决算报表。为真实、准确反应单位年度财务收、支情况，根据省财政厅和主管部门要求，认真开展单位年度决算报表编制工作，按照政府收支分类科目和财务报表支出情况编制部门决算，决算收入、支出口径与省财政厅国库处、预算处和非税局以及财政数据平台核对无误，报表编制无差错，全面、真实、准确的反映了中心202</w:t>
      </w: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年度财政资金的使用情况</w:t>
      </w:r>
      <w:r>
        <w:rPr>
          <w:rFonts w:hint="eastAsia" w:ascii="仿宋_GB2312" w:hAnsi="仿宋_GB2312" w:eastAsia="仿宋_GB2312" w:cs="仿宋_GB2312"/>
          <w:sz w:val="32"/>
          <w:szCs w:val="32"/>
        </w:rPr>
        <w:t>。</w:t>
      </w:r>
    </w:p>
    <w:p w14:paraId="18C533FE">
      <w:pPr>
        <w:widowControl/>
        <w:spacing w:line="500" w:lineRule="atLeast"/>
        <w:jc w:val="left"/>
        <w:rPr>
          <w:rFonts w:hint="eastAsia" w:ascii="黑体" w:hAnsi="黑体" w:eastAsia="黑体" w:cs="黑体"/>
          <w:b/>
          <w:bCs/>
          <w:sz w:val="32"/>
          <w:szCs w:val="32"/>
        </w:rPr>
      </w:pPr>
      <w:r>
        <w:rPr>
          <w:rFonts w:hint="eastAsia" w:ascii="黑体" w:hAnsi="黑体" w:eastAsia="黑体" w:cs="黑体"/>
          <w:sz w:val="32"/>
          <w:szCs w:val="32"/>
          <w:lang w:val="en-US" w:eastAsia="zh-CN"/>
        </w:rPr>
        <w:t>四</w:t>
      </w:r>
      <w:r>
        <w:rPr>
          <w:rFonts w:hint="eastAsia" w:ascii="黑体" w:hAnsi="黑体" w:eastAsia="黑体" w:cs="黑体"/>
          <w:sz w:val="32"/>
          <w:szCs w:val="32"/>
        </w:rPr>
        <w:t>．</w:t>
      </w:r>
      <w:r>
        <w:rPr>
          <w:rFonts w:hint="eastAsia" w:ascii="黑体" w:hAnsi="黑体" w:eastAsia="黑体" w:cs="黑体"/>
          <w:b/>
          <w:bCs/>
          <w:sz w:val="32"/>
          <w:szCs w:val="32"/>
        </w:rPr>
        <w:t>存在的问题及原因分析</w:t>
      </w:r>
      <w:bookmarkStart w:id="1" w:name="_GoBack"/>
      <w:bookmarkEnd w:id="1"/>
    </w:p>
    <w:p w14:paraId="444E0A1F">
      <w:pPr>
        <w:pStyle w:val="2"/>
        <w:shd w:val="clear" w:color="auto" w:fill="FFFFFF"/>
        <w:spacing w:before="0" w:after="0"/>
        <w:ind w:firstLine="562" w:firstLineChars="200"/>
        <w:rPr>
          <w:rFonts w:hint="eastAsia" w:ascii="仿宋" w:hAnsi="仿宋" w:eastAsia="仿宋" w:cs="仿宋"/>
          <w:b w:val="0"/>
          <w:bCs w:val="0"/>
          <w:color w:val="333333"/>
          <w:sz w:val="28"/>
          <w:szCs w:val="28"/>
          <w:lang w:eastAsia="zh-CN"/>
        </w:rPr>
      </w:pPr>
      <w:r>
        <w:rPr>
          <w:rFonts w:hint="eastAsia" w:ascii="仿宋" w:hAnsi="仿宋" w:eastAsia="仿宋" w:cs="仿宋"/>
          <w:sz w:val="28"/>
          <w:szCs w:val="28"/>
        </w:rPr>
        <w:t>1.</w:t>
      </w:r>
      <w:r>
        <w:rPr>
          <w:rFonts w:hint="eastAsia" w:ascii="仿宋" w:hAnsi="仿宋" w:eastAsia="仿宋" w:cs="仿宋"/>
          <w:b w:val="0"/>
          <w:bCs w:val="0"/>
          <w:sz w:val="28"/>
          <w:szCs w:val="28"/>
        </w:rPr>
        <w:t>绩效评价制度不够健全</w:t>
      </w:r>
      <w:r>
        <w:rPr>
          <w:rFonts w:hint="eastAsia" w:ascii="仿宋" w:hAnsi="仿宋" w:eastAsia="仿宋" w:cs="仿宋"/>
          <w:sz w:val="28"/>
          <w:szCs w:val="28"/>
        </w:rPr>
        <w:t>，</w:t>
      </w:r>
      <w:r>
        <w:rPr>
          <w:rFonts w:hint="eastAsia" w:ascii="仿宋" w:hAnsi="仿宋" w:eastAsia="仿宋" w:cs="仿宋"/>
          <w:b w:val="0"/>
          <w:bCs w:val="0"/>
          <w:color w:val="333333"/>
          <w:sz w:val="28"/>
          <w:szCs w:val="28"/>
        </w:rPr>
        <w:t>停留在“大而泛”的程度，缺少为本单位预算绩效评价提供相应的参考依据</w:t>
      </w:r>
      <w:r>
        <w:rPr>
          <w:rFonts w:hint="eastAsia" w:ascii="仿宋" w:hAnsi="仿宋" w:eastAsia="仿宋" w:cs="仿宋"/>
          <w:b w:val="0"/>
          <w:bCs w:val="0"/>
          <w:color w:val="333333"/>
          <w:sz w:val="28"/>
          <w:szCs w:val="28"/>
          <w:lang w:eastAsia="zh-CN"/>
        </w:rPr>
        <w:t>。</w:t>
      </w:r>
    </w:p>
    <w:p w14:paraId="4C924367">
      <w:pPr>
        <w:widowControl/>
        <w:spacing w:line="500" w:lineRule="atLeast"/>
        <w:jc w:val="left"/>
        <w:rPr>
          <w:rFonts w:hint="eastAsia" w:ascii="黑体" w:hAnsi="黑体" w:eastAsia="黑体" w:cs="黑体"/>
          <w:b/>
          <w:bCs/>
          <w:sz w:val="32"/>
          <w:szCs w:val="32"/>
        </w:rPr>
      </w:pPr>
      <w:r>
        <w:rPr>
          <w:rFonts w:hint="eastAsia" w:ascii="黑体" w:hAnsi="黑体" w:eastAsia="黑体" w:cs="黑体"/>
          <w:b/>
          <w:bCs/>
          <w:sz w:val="32"/>
          <w:szCs w:val="32"/>
          <w:lang w:val="en-US" w:eastAsia="zh-CN"/>
        </w:rPr>
        <w:t>五</w:t>
      </w:r>
      <w:r>
        <w:rPr>
          <w:rFonts w:hint="eastAsia" w:ascii="黑体" w:hAnsi="黑体" w:eastAsia="黑体" w:cs="黑体"/>
          <w:b/>
          <w:bCs/>
          <w:sz w:val="32"/>
          <w:szCs w:val="32"/>
        </w:rPr>
        <w:t>、下一步改进措施</w:t>
      </w:r>
    </w:p>
    <w:p w14:paraId="6B90A5A9">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提高预算编制的科学性和精准性。合理编制政府采购预算，严格按照规范要求实施，强化政府采购规程意识，加大政府采购预算执行的刚性。同步加快资金支付和项目实施进度，压减年末结余资金规模，提高预算执行率。</w:t>
      </w:r>
    </w:p>
    <w:p w14:paraId="45597141">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（二）健全完善内部控制体系，形成系统的内部财务监控机制。加强对财政拨款的核算管理，按工作计划和法规要求，合理分配资金，积极稳妥办理</w:t>
      </w:r>
      <w:r>
        <w:rPr>
          <w:rFonts w:hint="eastAsia" w:ascii="仿宋_GB2312" w:hAnsi="仿宋_GB2312" w:eastAsia="仿宋_GB2312" w:cs="仿宋_GB2312"/>
          <w:sz w:val="32"/>
          <w:szCs w:val="32"/>
          <w:lang w:val="en-US" w:eastAsia="zh-CN"/>
        </w:rPr>
        <w:t>各项</w:t>
      </w:r>
      <w:r>
        <w:rPr>
          <w:rFonts w:hint="eastAsia" w:ascii="仿宋_GB2312" w:hAnsi="仿宋_GB2312" w:eastAsia="仿宋_GB2312" w:cs="仿宋_GB2312"/>
          <w:sz w:val="32"/>
          <w:szCs w:val="32"/>
        </w:rPr>
        <w:t>结算支付，切实提高资金管理使用绩效。</w:t>
      </w:r>
    </w:p>
    <w:p w14:paraId="135F80AB">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强化学习培训，提高思想认识。开展职业道德教育，加强《预算法》、《政府会计制度》等法规的学习，健全落实岗位责任，规范部门预算收支核算，严格落实基本支出、项目支出等各项标准，严格按项目和进度执行预算，增强预算的约束力和严肃性。</w:t>
      </w:r>
    </w:p>
    <w:p w14:paraId="0D94548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F5A1AFF"/>
    <w:multiLevelType w:val="singleLevel"/>
    <w:tmpl w:val="6F5A1AFF"/>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FiMmVmMDY2ODNlODdjYmQzZTgyZjZjN2UxYmUyNTUifQ=="/>
  </w:docVars>
  <w:rsids>
    <w:rsidRoot w:val="4CD87054"/>
    <w:rsid w:val="01C85B42"/>
    <w:rsid w:val="0B314AAF"/>
    <w:rsid w:val="0F1C3AFD"/>
    <w:rsid w:val="11BF2051"/>
    <w:rsid w:val="2C044B47"/>
    <w:rsid w:val="2D0D2D89"/>
    <w:rsid w:val="410C5746"/>
    <w:rsid w:val="4CD87054"/>
    <w:rsid w:val="4F8058BB"/>
    <w:rsid w:val="515E3A55"/>
    <w:rsid w:val="60125A2E"/>
    <w:rsid w:val="621E17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unhideWhenUsed/>
    <w:qFormat/>
    <w:uiPriority w:val="9"/>
    <w:pPr>
      <w:keepNext/>
      <w:keepLines/>
      <w:spacing w:before="260" w:after="260" w:line="416" w:lineRule="auto"/>
      <w:outlineLvl w:val="2"/>
    </w:pPr>
    <w:rPr>
      <w:b/>
      <w:bCs/>
      <w:sz w:val="32"/>
      <w:szCs w:val="32"/>
    </w:rPr>
  </w:style>
  <w:style w:type="character" w:default="1" w:styleId="4">
    <w:name w:val="Default Paragraph Font"/>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1665</Words>
  <Characters>1816</Characters>
  <Lines>0</Lines>
  <Paragraphs>0</Paragraphs>
  <TotalTime>16</TotalTime>
  <ScaleCrop>false</ScaleCrop>
  <LinksUpToDate>false</LinksUpToDate>
  <CharactersWithSpaces>1825</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2023-08-23T03:16:00Z</dcterms:created>
  <dc:creator>Jenny</dc:creator>
  <cp:lastModifiedBy>Jenny</cp:lastModifiedBy>
  <dcterms:modified xsi:type="dcterms:W3CDTF">2024-10-14T11:24:34Z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DF7C669A31A84DCD9624BC86CB6E5775_11</vt:lpwstr>
  </property>
</Properties>
</file>