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eastAsia="方正小标宋简体"/>
          <w:kern w:val="0"/>
          <w:sz w:val="40"/>
          <w:szCs w:val="40"/>
        </w:rPr>
      </w:pPr>
      <w:r>
        <w:rPr>
          <w:rFonts w:hint="eastAsia" w:ascii="仿宋" w:hAnsi="仿宋" w:eastAsia="仿宋" w:cs="仿宋"/>
          <w:kern w:val="0"/>
          <w:sz w:val="40"/>
          <w:szCs w:val="40"/>
        </w:rPr>
        <w:t>2019</w:t>
      </w:r>
      <w:r>
        <w:rPr>
          <w:rFonts w:hint="eastAsia" w:eastAsia="方正小标宋简体"/>
          <w:kern w:val="0"/>
          <w:sz w:val="40"/>
          <w:szCs w:val="40"/>
        </w:rPr>
        <w:t>年度</w:t>
      </w:r>
      <w:r>
        <w:rPr>
          <w:rFonts w:eastAsia="方正小标宋简体"/>
          <w:kern w:val="0"/>
          <w:sz w:val="40"/>
          <w:szCs w:val="40"/>
        </w:rPr>
        <w:t>部门整体支出绩效</w:t>
      </w:r>
      <w:r>
        <w:rPr>
          <w:rFonts w:hint="eastAsia" w:eastAsia="方正小标宋简体"/>
          <w:kern w:val="0"/>
          <w:sz w:val="40"/>
          <w:szCs w:val="40"/>
        </w:rPr>
        <w:t>自</w:t>
      </w:r>
      <w:r>
        <w:rPr>
          <w:rFonts w:eastAsia="方正小标宋简体"/>
          <w:kern w:val="0"/>
          <w:sz w:val="40"/>
          <w:szCs w:val="40"/>
        </w:rPr>
        <w:t>评表</w:t>
      </w:r>
    </w:p>
    <w:p>
      <w:pPr>
        <w:spacing w:line="240" w:lineRule="auto"/>
        <w:jc w:val="center"/>
        <w:rPr>
          <w:rFonts w:asciiTheme="minorEastAsia" w:hAnsiTheme="minorEastAsia" w:eastAsiaTheme="minorEastAsia" w:cstheme="minorEastAsia"/>
          <w:kern w:val="0"/>
          <w:sz w:val="21"/>
          <w:szCs w:val="21"/>
        </w:rPr>
      </w:pPr>
    </w:p>
    <w:tbl>
      <w:tblPr>
        <w:tblStyle w:val="5"/>
        <w:tblW w:w="9063"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412"/>
        <w:gridCol w:w="180"/>
        <w:gridCol w:w="323"/>
        <w:gridCol w:w="156"/>
        <w:gridCol w:w="627"/>
        <w:gridCol w:w="517"/>
        <w:gridCol w:w="537"/>
        <w:gridCol w:w="1231"/>
        <w:gridCol w:w="569"/>
        <w:gridCol w:w="146"/>
        <w:gridCol w:w="363"/>
        <w:gridCol w:w="1593"/>
        <w:gridCol w:w="463"/>
        <w:gridCol w:w="84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长沙</w:t>
            </w:r>
            <w:r>
              <w:rPr>
                <w:rFonts w:hint="eastAsia" w:asciiTheme="minorEastAsia" w:hAnsiTheme="minorEastAsia" w:eastAsiaTheme="minorEastAsia" w:cstheme="minorEastAsia"/>
                <w:color w:val="000000"/>
                <w:sz w:val="21"/>
                <w:szCs w:val="21"/>
                <w:lang w:eastAsia="zh-CN"/>
              </w:rPr>
              <w:t>市望城区退役军人事务局</w:t>
            </w:r>
            <w:r>
              <w:rPr>
                <w:rFonts w:hint="eastAsia" w:asciiTheme="minorEastAsia" w:hAnsiTheme="minorEastAsia" w:eastAsiaTheme="minorEastAsia" w:cstheme="minorEastAsia"/>
                <w:color w:val="000000"/>
                <w:sz w:val="21"/>
                <w:szCs w:val="21"/>
              </w:rPr>
              <w:t>　</w:t>
            </w:r>
          </w:p>
        </w:tc>
        <w:tc>
          <w:tcPr>
            <w:tcW w:w="2102"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val="en-US" w:eastAsia="zh-CN"/>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项   目</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全年预算数</w:t>
            </w:r>
          </w:p>
        </w:tc>
        <w:tc>
          <w:tcPr>
            <w:tcW w:w="2056"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全年执行数</w:t>
            </w:r>
          </w:p>
        </w:tc>
        <w:tc>
          <w:tcPr>
            <w:tcW w:w="849" w:type="dxa"/>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来</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源</w:t>
            </w:r>
          </w:p>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pPr>
              <w:widowControl/>
              <w:spacing w:line="240" w:lineRule="auto"/>
              <w:jc w:val="center"/>
              <w:rPr>
                <w:rFonts w:asciiTheme="minorEastAsia" w:hAnsiTheme="minorEastAsia" w:eastAsiaTheme="minorEastAsia" w:cstheme="minorEastAsia"/>
                <w:color w:val="000000"/>
                <w:sz w:val="21"/>
                <w:szCs w:val="21"/>
              </w:rPr>
            </w:pPr>
            <w:r>
              <w:rPr>
                <w:rFonts w:hint="eastAsia"/>
                <w:sz w:val="20"/>
                <w:szCs w:val="20"/>
              </w:rPr>
              <w:t>61917483.73</w:t>
            </w:r>
          </w:p>
        </w:tc>
        <w:tc>
          <w:tcPr>
            <w:tcW w:w="2056" w:type="dxa"/>
            <w:gridSpan w:val="2"/>
            <w:tcBorders>
              <w:tl2br w:val="nil"/>
              <w:tr2bl w:val="nil"/>
            </w:tcBorders>
            <w:tcMar>
              <w:top w:w="15" w:type="dxa"/>
              <w:left w:w="15" w:type="dxa"/>
              <w:bottom w:w="0" w:type="dxa"/>
              <w:right w:w="15" w:type="dxa"/>
            </w:tcMar>
            <w:vAlign w:val="center"/>
          </w:tcPr>
          <w:p>
            <w:pPr>
              <w:widowControl/>
              <w:spacing w:line="240" w:lineRule="auto"/>
              <w:jc w:val="center"/>
              <w:rPr>
                <w:rFonts w:ascii="宋体" w:hAnsi="宋体" w:eastAsia="宋体" w:cs="Arial"/>
                <w:color w:val="000000"/>
                <w:sz w:val="22"/>
                <w:szCs w:val="22"/>
              </w:rPr>
            </w:pPr>
            <w:r>
              <w:rPr>
                <w:rFonts w:hint="eastAsia" w:cs="Arial"/>
                <w:color w:val="000000"/>
                <w:sz w:val="22"/>
                <w:szCs w:val="22"/>
              </w:rPr>
              <w:t>61917483.73</w:t>
            </w:r>
            <w:r>
              <w:rPr>
                <w:rFonts w:hint="eastAsia" w:asciiTheme="minorEastAsia" w:hAnsiTheme="minorEastAsia" w:eastAsiaTheme="minorEastAsia" w:cstheme="minorEastAsia"/>
                <w:color w:val="000000"/>
                <w:sz w:val="21"/>
                <w:szCs w:val="21"/>
              </w:rPr>
              <w:t>　</w:t>
            </w:r>
          </w:p>
        </w:tc>
        <w:tc>
          <w:tcPr>
            <w:tcW w:w="849" w:type="dxa"/>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100</w:t>
            </w:r>
            <w:r>
              <w:rPr>
                <w:rFonts w:hint="eastAsia" w:asciiTheme="minorEastAsia" w:hAnsiTheme="minorEastAsia" w:eastAsiaTheme="minorEastAsia" w:cstheme="minorEastAsia"/>
                <w:color w:val="00000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（1）财政拨款</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sz w:val="20"/>
                <w:szCs w:val="20"/>
              </w:rPr>
              <w:t>61917483.73</w:t>
            </w:r>
          </w:p>
        </w:tc>
        <w:tc>
          <w:tcPr>
            <w:tcW w:w="2056"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cs="Arial"/>
                <w:color w:val="000000"/>
                <w:sz w:val="22"/>
                <w:szCs w:val="22"/>
              </w:rPr>
              <w:t>61917483.73</w:t>
            </w:r>
          </w:p>
        </w:tc>
        <w:tc>
          <w:tcPr>
            <w:tcW w:w="849" w:type="dxa"/>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100</w:t>
            </w:r>
            <w:r>
              <w:rPr>
                <w:rFonts w:hint="eastAsia" w:asciiTheme="minorEastAsia" w:hAnsiTheme="minorEastAsia" w:eastAsiaTheme="minorEastAsia" w:cstheme="minorEastAsia"/>
                <w:color w:val="00000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（2）其他资金</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2056"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849" w:type="dxa"/>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结</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构</w:t>
            </w:r>
          </w:p>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sz w:val="20"/>
                <w:szCs w:val="20"/>
              </w:rPr>
              <w:t>61917483.73</w:t>
            </w:r>
            <w:r>
              <w:rPr>
                <w:rFonts w:hint="eastAsia" w:asciiTheme="minorEastAsia" w:hAnsiTheme="minorEastAsia" w:eastAsiaTheme="minorEastAsia" w:cstheme="minorEastAsia"/>
                <w:color w:val="000000"/>
                <w:sz w:val="21"/>
                <w:szCs w:val="21"/>
              </w:rPr>
              <w:t>　</w:t>
            </w:r>
          </w:p>
        </w:tc>
        <w:tc>
          <w:tcPr>
            <w:tcW w:w="2056"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cs="Arial"/>
                <w:color w:val="000000"/>
                <w:sz w:val="22"/>
                <w:szCs w:val="22"/>
              </w:rPr>
              <w:t>61915686.53</w:t>
            </w:r>
            <w:r>
              <w:rPr>
                <w:rFonts w:hint="eastAsia" w:asciiTheme="minorEastAsia" w:hAnsiTheme="minorEastAsia" w:eastAsiaTheme="minorEastAsia" w:cstheme="minorEastAsia"/>
                <w:color w:val="000000"/>
                <w:sz w:val="21"/>
                <w:szCs w:val="21"/>
              </w:rPr>
              <w:t>　</w:t>
            </w:r>
          </w:p>
        </w:tc>
        <w:tc>
          <w:tcPr>
            <w:tcW w:w="849" w:type="dxa"/>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100</w:t>
            </w:r>
            <w:r>
              <w:rPr>
                <w:rFonts w:hint="eastAsia" w:asciiTheme="minorEastAsia" w:hAnsiTheme="minorEastAsia" w:eastAsiaTheme="minorEastAsia" w:cstheme="minorEastAsia"/>
                <w:color w:val="00000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（1）基本支出</w:t>
            </w:r>
          </w:p>
        </w:tc>
        <w:tc>
          <w:tcPr>
            <w:tcW w:w="2309" w:type="dxa"/>
            <w:gridSpan w:val="4"/>
            <w:tcBorders>
              <w:tl2br w:val="nil"/>
              <w:tr2bl w:val="nil"/>
            </w:tcBorders>
            <w:tcMar>
              <w:top w:w="15" w:type="dxa"/>
              <w:left w:w="15" w:type="dxa"/>
              <w:bottom w:w="0" w:type="dxa"/>
              <w:right w:w="15" w:type="dxa"/>
            </w:tcMar>
            <w:vAlign w:val="center"/>
          </w:tcPr>
          <w:p>
            <w:pPr>
              <w:widowControl/>
              <w:spacing w:line="240" w:lineRule="auto"/>
              <w:jc w:val="center"/>
              <w:rPr>
                <w:rFonts w:hint="eastAsia" w:asciiTheme="minorEastAsia" w:hAnsiTheme="minorEastAsia" w:eastAsiaTheme="minorEastAsia" w:cstheme="minorEastAsia"/>
                <w:color w:val="000000"/>
                <w:sz w:val="21"/>
                <w:szCs w:val="21"/>
                <w:lang w:val="en-US" w:eastAsia="zh-CN"/>
              </w:rPr>
            </w:pPr>
            <w:r>
              <w:rPr>
                <w:rFonts w:hint="eastAsia" w:eastAsiaTheme="minorEastAsia"/>
                <w:sz w:val="20"/>
                <w:szCs w:val="20"/>
                <w:lang w:val="en-US" w:eastAsia="zh-CN"/>
              </w:rPr>
              <w:t>1438760.56</w:t>
            </w:r>
          </w:p>
        </w:tc>
        <w:tc>
          <w:tcPr>
            <w:tcW w:w="2056"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cs="Arial"/>
                <w:color w:val="000000"/>
                <w:sz w:val="22"/>
                <w:szCs w:val="22"/>
              </w:rPr>
              <w:t>1436963.36</w:t>
            </w:r>
          </w:p>
        </w:tc>
        <w:tc>
          <w:tcPr>
            <w:tcW w:w="849" w:type="dxa"/>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100</w:t>
            </w:r>
            <w:r>
              <w:rPr>
                <w:rFonts w:hint="eastAsia" w:asciiTheme="minorEastAsia" w:hAnsiTheme="minorEastAsia" w:eastAsiaTheme="minorEastAsia" w:cstheme="minorEastAsia"/>
                <w:color w:val="00000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tabs>
                <w:tab w:val="left" w:pos="567"/>
              </w:tabs>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（2）项目支出</w:t>
            </w:r>
          </w:p>
        </w:tc>
        <w:tc>
          <w:tcPr>
            <w:tcW w:w="2309" w:type="dxa"/>
            <w:gridSpan w:val="4"/>
            <w:tcBorders>
              <w:tl2br w:val="nil"/>
              <w:tr2bl w:val="nil"/>
            </w:tcBorders>
            <w:tcMar>
              <w:top w:w="15" w:type="dxa"/>
              <w:left w:w="15" w:type="dxa"/>
              <w:bottom w:w="0" w:type="dxa"/>
              <w:right w:w="15" w:type="dxa"/>
            </w:tcMar>
            <w:vAlign w:val="center"/>
          </w:tcPr>
          <w:p>
            <w:pPr>
              <w:widowControl/>
              <w:spacing w:line="240" w:lineRule="auto"/>
              <w:jc w:val="center"/>
              <w:rPr>
                <w:rFonts w:ascii="宋体" w:hAnsi="宋体" w:eastAsia="宋体"/>
                <w:sz w:val="20"/>
                <w:szCs w:val="20"/>
              </w:rPr>
            </w:pPr>
            <w:r>
              <w:rPr>
                <w:rFonts w:hint="eastAsia"/>
                <w:sz w:val="20"/>
                <w:szCs w:val="20"/>
              </w:rPr>
              <w:t>60478723.17</w:t>
            </w:r>
          </w:p>
        </w:tc>
        <w:tc>
          <w:tcPr>
            <w:tcW w:w="2056"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cs="Arial"/>
                <w:color w:val="000000"/>
                <w:sz w:val="22"/>
                <w:szCs w:val="22"/>
              </w:rPr>
              <w:t>60478723.17</w:t>
            </w:r>
          </w:p>
        </w:tc>
        <w:tc>
          <w:tcPr>
            <w:tcW w:w="849" w:type="dxa"/>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100</w:t>
            </w:r>
            <w:r>
              <w:rPr>
                <w:rFonts w:hint="eastAsia" w:asciiTheme="minorEastAsia" w:hAnsiTheme="minorEastAsia" w:eastAsiaTheme="minorEastAsia" w:cstheme="minorEastAsia"/>
                <w:color w:val="00000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628" w:hRule="atLeast"/>
          <w:jc w:val="center"/>
        </w:trPr>
        <w:tc>
          <w:tcPr>
            <w:tcW w:w="1097" w:type="dxa"/>
            <w:gridSpan w:val="3"/>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年度总</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1350" w:hRule="atLeast"/>
          <w:jc w:val="center"/>
        </w:trPr>
        <w:tc>
          <w:tcPr>
            <w:tcW w:w="1097" w:type="dxa"/>
            <w:gridSpan w:val="3"/>
            <w:vMerge w:val="continue"/>
            <w:tcBorders>
              <w:tl2br w:val="nil"/>
              <w:tr2bl w:val="nil"/>
            </w:tcBorders>
            <w:vAlign w:val="center"/>
          </w:tcPr>
          <w:p>
            <w:pPr>
              <w:spacing w:line="250" w:lineRule="exact"/>
              <w:rPr>
                <w:rFonts w:asciiTheme="minorEastAsia" w:hAnsiTheme="minorEastAsia" w:eastAsia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pPr>
              <w:spacing w:line="250" w:lineRule="exact"/>
              <w:ind w:firstLine="7" w:firstLineChars="4"/>
              <w:jc w:val="left"/>
              <w:rPr>
                <w:rFonts w:hint="eastAsia" w:eastAsia="仿宋_GB2312" w:asciiTheme="minorEastAsia" w:hAnsiTheme="minorEastAsia" w:cstheme="minorEastAsia"/>
                <w:color w:val="000000"/>
                <w:sz w:val="18"/>
                <w:szCs w:val="18"/>
                <w:highlight w:val="yellow"/>
                <w:lang w:val="en-US" w:eastAsia="zh-CN"/>
              </w:rPr>
            </w:pPr>
            <w:r>
              <w:rPr>
                <w:rFonts w:hint="eastAsia" w:hAnsi="仿宋_GB2312" w:cs="仿宋_GB2312" w:asciiTheme="minorAscii"/>
                <w:color w:val="000000"/>
                <w:sz w:val="18"/>
                <w:szCs w:val="18"/>
              </w:rPr>
              <w:t>本单位为2</w:t>
            </w:r>
            <w:r>
              <w:rPr>
                <w:rFonts w:hAnsi="仿宋_GB2312" w:cs="仿宋_GB2312" w:asciiTheme="minorAscii"/>
                <w:color w:val="000000"/>
                <w:sz w:val="18"/>
                <w:szCs w:val="18"/>
              </w:rPr>
              <w:t>019</w:t>
            </w:r>
            <w:r>
              <w:rPr>
                <w:rFonts w:hint="eastAsia" w:hAnsi="仿宋_GB2312" w:cs="仿宋_GB2312" w:asciiTheme="minorAscii"/>
                <w:color w:val="000000"/>
                <w:sz w:val="18"/>
                <w:szCs w:val="18"/>
              </w:rPr>
              <w:t>年3月机构改革时新增单位，无年度预算</w:t>
            </w:r>
            <w:r>
              <w:rPr>
                <w:rFonts w:hint="eastAsia" w:hAnsi="仿宋_GB2312" w:cs="仿宋_GB2312" w:asciiTheme="minorAscii"/>
                <w:color w:val="000000"/>
                <w:sz w:val="18"/>
                <w:szCs w:val="18"/>
                <w:lang w:eastAsia="zh-CN"/>
              </w:rPr>
              <w:t>设定目标</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left"/>
              <w:rPr>
                <w:rFonts w:hint="eastAsia" w:asciiTheme="minorEastAsia" w:hAnsiTheme="minorEastAsia" w:eastAsiaTheme="minorEastAsia" w:cstheme="minorEastAsia"/>
                <w:color w:val="000000"/>
                <w:sz w:val="18"/>
                <w:szCs w:val="18"/>
                <w:highlight w:val="yellow"/>
                <w:lang w:val="en-US" w:eastAsia="zh-CN"/>
              </w:rPr>
            </w:pPr>
            <w:r>
              <w:rPr>
                <w:rFonts w:hint="eastAsia" w:asciiTheme="minorEastAsia" w:hAnsiTheme="minorEastAsia" w:eastAsiaTheme="minorEastAsia" w:cstheme="minorEastAsia"/>
                <w:color w:val="000000"/>
                <w:sz w:val="18"/>
                <w:szCs w:val="18"/>
                <w:highlight w:val="none"/>
                <w:lang w:val="en-US" w:eastAsia="zh-CN"/>
              </w:rPr>
              <w:t>根据实际情况按质按量按效完成项目支出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451" w:hRule="atLeast"/>
          <w:jc w:val="center"/>
        </w:trPr>
        <w:tc>
          <w:tcPr>
            <w:tcW w:w="9063" w:type="dxa"/>
            <w:gridSpan w:val="17"/>
            <w:tcBorders>
              <w:tl2br w:val="nil"/>
              <w:tr2bl w:val="nil"/>
            </w:tcBorders>
            <w:vAlign w:val="center"/>
          </w:tcPr>
          <w:p>
            <w:pPr>
              <w:spacing w:line="250" w:lineRule="exact"/>
              <w:jc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blHeader/>
          <w:jc w:val="center"/>
        </w:trPr>
        <w:tc>
          <w:tcPr>
            <w:tcW w:w="503" w:type="dxa"/>
            <w:tcBorders>
              <w:tl2br w:val="nil"/>
              <w:tr2bl w:val="nil"/>
            </w:tcBorders>
            <w:vAlign w:val="center"/>
          </w:tcPr>
          <w:p>
            <w:pPr>
              <w:spacing w:line="240" w:lineRule="auto"/>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一级指标</w:t>
            </w:r>
          </w:p>
        </w:tc>
        <w:tc>
          <w:tcPr>
            <w:tcW w:w="503"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50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二级</w:t>
            </w:r>
          </w:p>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0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78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三级</w:t>
            </w:r>
          </w:p>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17"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2483" w:type="dxa"/>
            <w:gridSpan w:val="4"/>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评价标准</w:t>
            </w:r>
          </w:p>
        </w:tc>
        <w:tc>
          <w:tcPr>
            <w:tcW w:w="2419" w:type="dxa"/>
            <w:gridSpan w:val="3"/>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指标说明</w:t>
            </w:r>
          </w:p>
        </w:tc>
        <w:tc>
          <w:tcPr>
            <w:tcW w:w="849"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680"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投入</w:t>
            </w:r>
          </w:p>
        </w:tc>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预算配置</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以100%为标准。在职人员控制率≦100%，计5分；每超过一个百分点扣0.5分，扣完为止。</w:t>
            </w:r>
          </w:p>
        </w:tc>
        <w:tc>
          <w:tcPr>
            <w:tcW w:w="2419"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在职人员控制率=（在职人员数/编制数）×100%，在职人员数：部门（单位）实际在职人数，以财政厅确定的部门决算编制口径为准。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编制数：机构编制部门核定批复的部门（单位）的人员编制数。</w:t>
            </w:r>
          </w:p>
        </w:tc>
        <w:tc>
          <w:tcPr>
            <w:tcW w:w="849"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849"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“三公经费”变动率≦0,计5分；“三公经费”＞0，每超过一个百分点扣0.8分，扣完为止。</w:t>
            </w:r>
          </w:p>
        </w:tc>
        <w:tc>
          <w:tcPr>
            <w:tcW w:w="2419"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“三公经费”变动率=[（本年度“三公经费”预算数-上年度“三公经费”预算数）/上年度“三公经费”预算数]×100%</w:t>
            </w:r>
          </w:p>
        </w:tc>
        <w:tc>
          <w:tcPr>
            <w:tcW w:w="849"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asciiTheme="minorEastAsia" w:hAnsiTheme="minorEastAsia" w:eastAsiaTheme="minorEastAsia" w:cstheme="minorEastAsia"/>
                <w:kern w:val="0"/>
                <w:sz w:val="18"/>
                <w:szCs w:val="18"/>
              </w:rPr>
            </w:pPr>
          </w:p>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预算执行</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20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100%计满分，每低于5%扣2分，扣完为止。</w:t>
            </w:r>
          </w:p>
        </w:tc>
        <w:tc>
          <w:tcPr>
            <w:tcW w:w="2419"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预算完成率=（上年结转+年初预算+本年追加预算-年末结余）/（上年结转+年初预算+本年追加预算）×100%。</w:t>
            </w:r>
          </w:p>
        </w:tc>
        <w:tc>
          <w:tcPr>
            <w:tcW w:w="849"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预算控制率=0，计5分；0-10%（含），计4分；10-20%（含），计3分；20-30%（含），计2分；大于30%不得分。</w:t>
            </w:r>
          </w:p>
        </w:tc>
        <w:tc>
          <w:tcPr>
            <w:tcW w:w="2419"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预算控制率=（本年追加预算/年初预算）×100%。</w:t>
            </w:r>
          </w:p>
        </w:tc>
        <w:tc>
          <w:tcPr>
            <w:tcW w:w="849"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新建楼堂馆所面积控制率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100%以下（含）计满分，每超出5%扣2分，扣完为止。没有楼堂馆所项目的部门按满分计算。</w:t>
            </w:r>
          </w:p>
        </w:tc>
        <w:tc>
          <w:tcPr>
            <w:tcW w:w="2419"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楼堂馆所面积控制率=实际建设面积/批准建设面积×100%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849"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p>
            <w:pPr>
              <w:spacing w:line="240" w:lineRule="exact"/>
              <w:jc w:val="center"/>
              <w:rPr>
                <w:rFonts w:asciiTheme="minorEastAsia" w:hAnsiTheme="minorEastAsia" w:eastAsiaTheme="minorEastAsia" w:cstheme="minorEastAsia"/>
                <w:color w:val="000000"/>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新建楼堂馆所投资概算控制率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w:t>
            </w:r>
          </w:p>
        </w:tc>
        <w:tc>
          <w:tcPr>
            <w:tcW w:w="2419"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楼堂馆所投资预算控制率=实际投资金额/批准投资金额×100%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849"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419"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公用经费控制率=（实际支出公用经费总额/预算安排公用经费总额）×100%。</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公用经费支出是指部门基本支出中的一般商品和服务支出。</w:t>
            </w:r>
          </w:p>
        </w:tc>
        <w:tc>
          <w:tcPr>
            <w:tcW w:w="849"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7</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419"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“三公经费”控制率=（“三公经费”实际支出数/“三公经费”预算安排数）×100%。</w:t>
            </w:r>
          </w:p>
        </w:tc>
        <w:tc>
          <w:tcPr>
            <w:tcW w:w="849" w:type="dxa"/>
            <w:tcBorders>
              <w:tl2br w:val="nil"/>
              <w:tr2bl w:val="nil"/>
            </w:tcBorders>
            <w:vAlign w:val="center"/>
          </w:tcPr>
          <w:p>
            <w:pPr>
              <w:spacing w:line="240" w:lineRule="exact"/>
              <w:ind w:firstLine="180" w:firstLineChars="100"/>
              <w:jc w:val="center"/>
              <w:rPr>
                <w:rFonts w:hint="eastAsia" w:asciiTheme="minorEastAsia" w:hAnsiTheme="minorEastAsia" w:eastAsiaTheme="minorEastAsia" w:cstheme="minorEastAsia"/>
                <w:color w:val="000000"/>
                <w:kern w:val="0"/>
                <w:sz w:val="18"/>
                <w:szCs w:val="18"/>
                <w:lang w:eastAsia="zh-CN"/>
              </w:rPr>
            </w:pPr>
            <w:r>
              <w:rPr>
                <w:rFonts w:hint="eastAsia" w:asciiTheme="minorEastAsia" w:hAnsiTheme="minorEastAsia" w:eastAsiaTheme="minorEastAsia" w:cstheme="minorEastAsia"/>
                <w:color w:val="000000"/>
                <w:kern w:val="0"/>
                <w:sz w:val="18"/>
                <w:szCs w:val="18"/>
                <w:lang w:val="en-US" w:eastAsia="zh-CN"/>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100%计满分，每超过（降低）5%扣2分。扣完为止。</w:t>
            </w:r>
          </w:p>
        </w:tc>
        <w:tc>
          <w:tcPr>
            <w:tcW w:w="2419"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政府采购执行率=（实际政府采购金额/政府采购预算数）×100%</w:t>
            </w:r>
          </w:p>
        </w:tc>
        <w:tc>
          <w:tcPr>
            <w:tcW w:w="849"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asciiTheme="minorEastAsia" w:hAnsiTheme="minorEastAsia" w:eastAsiaTheme="minorEastAsia" w:cstheme="minorEastAsia"/>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2016" w:hRule="atLeast"/>
          <w:jc w:val="center"/>
        </w:trPr>
        <w:tc>
          <w:tcPr>
            <w:tcW w:w="503" w:type="dxa"/>
            <w:vMerge w:val="continue"/>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管理制度健全性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①有内部财务管理制度、会计核算制度等管理制度，2分；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②有本部门厉行节约制度,2分；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③相关管理制度合法、合规、完整，2分；④相关管理制度得到有效执行，2分。</w:t>
            </w:r>
          </w:p>
        </w:tc>
        <w:tc>
          <w:tcPr>
            <w:tcW w:w="2419"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849" w:type="dxa"/>
            <w:tcBorders>
              <w:tl2br w:val="nil"/>
              <w:tr2bl w:val="nil"/>
            </w:tcBorders>
            <w:vAlign w:val="center"/>
          </w:tcPr>
          <w:p>
            <w:pPr>
              <w:spacing w:line="28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2485"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asciiTheme="minorEastAsia" w:hAnsiTheme="minorEastAsia" w:eastAsiaTheme="minorEastAsia" w:cstheme="minorEastAsia"/>
                <w:kern w:val="0"/>
                <w:sz w:val="18"/>
                <w:szCs w:val="18"/>
              </w:rPr>
            </w:pP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资金使用合规性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以上情况每出现一例不符合要求的扣1分，扣完为止。</w:t>
            </w:r>
          </w:p>
        </w:tc>
        <w:tc>
          <w:tcPr>
            <w:tcW w:w="2419"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849"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865"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预决算信息公开性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419"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预决算信息是指与部门预算、执行、决算、监督、绩效等管理相关的信息。</w:t>
            </w:r>
          </w:p>
        </w:tc>
        <w:tc>
          <w:tcPr>
            <w:tcW w:w="849"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735" w:hRule="atLeast"/>
          <w:jc w:val="center"/>
        </w:trPr>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产出及效率</w:t>
            </w:r>
          </w:p>
        </w:tc>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30</w:t>
            </w:r>
          </w:p>
        </w:tc>
        <w:tc>
          <w:tcPr>
            <w:tcW w:w="50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职责履行</w:t>
            </w:r>
          </w:p>
        </w:tc>
        <w:tc>
          <w:tcPr>
            <w:tcW w:w="50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重点工作实际完成率</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根据履职情况，结合绩效目标和项目性质，对重点工作计划完成、产出质量、产出时效和有关成本控制情况评价，实现70%以上得4分，70%以下不得分。</w:t>
            </w:r>
          </w:p>
        </w:tc>
        <w:tc>
          <w:tcPr>
            <w:tcW w:w="2419"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849"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75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履职 效益</w:t>
            </w: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经济</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2483" w:type="dxa"/>
            <w:gridSpan w:val="4"/>
            <w:vMerge w:val="restart"/>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此两项指标为设置部门整体支出绩效评价指标时必须考虑的共性要素，可根据部门实际情况有选择的进行设置，并将其细化为相应的个性化指标。</w:t>
            </w:r>
          </w:p>
        </w:tc>
        <w:tc>
          <w:tcPr>
            <w:tcW w:w="2419" w:type="dxa"/>
            <w:gridSpan w:val="3"/>
            <w:vMerge w:val="restart"/>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p>
        </w:tc>
        <w:tc>
          <w:tcPr>
            <w:tcW w:w="849" w:type="dxa"/>
            <w:vMerge w:val="restart"/>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w:t>
            </w:r>
            <w:r>
              <w:rPr>
                <w:rFonts w:asciiTheme="minorEastAsia" w:hAnsiTheme="minorEastAsia" w:eastAsiaTheme="minorEastAsia" w:cstheme="minorEastAsia"/>
                <w:color w:val="000000"/>
                <w:kern w:val="0"/>
                <w:sz w:val="18"/>
                <w:szCs w:val="18"/>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669"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2483" w:type="dxa"/>
            <w:gridSpan w:val="4"/>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2419" w:type="dxa"/>
            <w:gridSpan w:val="3"/>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849"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12</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行政</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效能</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促进部门改进文风会风，加强经费及资产管理，推动网上办事，提高行政效率，降低行政成本效果较好的计6分；一般3分；无效果或者效果不明显0分。</w:t>
            </w:r>
          </w:p>
        </w:tc>
        <w:tc>
          <w:tcPr>
            <w:tcW w:w="2419"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根据部门自评材料评定。</w:t>
            </w:r>
          </w:p>
        </w:tc>
        <w:tc>
          <w:tcPr>
            <w:tcW w:w="849"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社会公众或服务对象满意度</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90%（含）以上计6分；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80%（含）-90%，计4分；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70%（含）-80%，计2分；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低于70%计0分。</w:t>
            </w:r>
          </w:p>
        </w:tc>
        <w:tc>
          <w:tcPr>
            <w:tcW w:w="2419"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社会公众或服务对象是指部门（单位）履行职责而影响到的部门、群体或个人，一般采取社会调查的方式。</w:t>
            </w:r>
          </w:p>
        </w:tc>
        <w:tc>
          <w:tcPr>
            <w:tcW w:w="849"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　6</w:t>
            </w:r>
            <w:r>
              <w:rPr>
                <w:rFonts w:hint="eastAsia" w:asciiTheme="minorEastAsia" w:hAnsiTheme="minorEastAsia" w:eastAsiaTheme="minorEastAsia" w:cstheme="minorEastAsia"/>
                <w:kern w:val="0"/>
                <w:sz w:val="18"/>
                <w:szCs w:val="18"/>
                <w:shd w:val="clear" w:color="auto" w:fill="FFFFFF"/>
              </w:rPr>
              <w:fldChar w:fldCharType="begin">
                <w:fldData xml:space="preserve">QgAzADUAMgBGADUAMgBDADkAMAAzADAANAA1ADMAOABCADAARgA0ADAANAA5AEEAOQA0AEUAMgA0
ADQARQAxAA==
</w:fldData>
              </w:fldChar>
            </w:r>
            <w:r>
              <w:rPr>
                <w:rFonts w:hint="eastAsia" w:asciiTheme="minorEastAsia" w:hAnsiTheme="minorEastAsia" w:eastAsiaTheme="minorEastAsia" w:cstheme="minorEastAsia"/>
                <w:kern w:val="0"/>
                <w:sz w:val="18"/>
                <w:szCs w:val="18"/>
                <w:shd w:val="clear" w:color="auto" w:fill="FFFFFF"/>
              </w:rPr>
              <w:instrText xml:space="preserve">Addin PF16</w:instrText>
            </w:r>
            <w:r>
              <w:rPr>
                <w:rFonts w:hint="eastAsia" w:asciiTheme="minorEastAsia" w:hAnsiTheme="minorEastAsia" w:eastAsiaTheme="minorEastAsia" w:cstheme="minorEastAsia"/>
                <w:kern w:val="0"/>
                <w:sz w:val="18"/>
                <w:szCs w:val="18"/>
                <w:shd w:val="clear" w:color="auto" w:fill="FFFFFF"/>
              </w:rPr>
              <w:fldChar w:fldCharType="end"/>
            </w:r>
          </w:p>
        </w:tc>
      </w:tr>
    </w:tbl>
    <w:p>
      <w:pPr>
        <w:adjustRightInd w:val="0"/>
        <w:snapToGrid w:val="0"/>
        <w:spacing w:line="600" w:lineRule="exact"/>
        <w:jc w:val="center"/>
        <w:rPr>
          <w:rFonts w:ascii="Times New Roman" w:hAnsi="Times New Roman" w:eastAsia="方正小标宋简体"/>
          <w:bCs/>
          <w:color w:val="000000"/>
          <w:kern w:val="0"/>
          <w:sz w:val="36"/>
          <w:szCs w:val="36"/>
        </w:rPr>
      </w:pPr>
    </w:p>
    <w:p>
      <w:pPr>
        <w:adjustRightInd w:val="0"/>
        <w:snapToGrid w:val="0"/>
        <w:spacing w:line="600" w:lineRule="exact"/>
        <w:jc w:val="center"/>
        <w:rPr>
          <w:rFonts w:ascii="Times New Roman" w:hAnsi="Times New Roman" w:eastAsia="方正小标宋简体"/>
          <w:bCs/>
          <w:color w:val="000000"/>
          <w:kern w:val="0"/>
          <w:sz w:val="36"/>
          <w:szCs w:val="36"/>
        </w:rPr>
      </w:pPr>
    </w:p>
    <w:p>
      <w:pPr>
        <w:adjustRightInd w:val="0"/>
        <w:snapToGrid w:val="0"/>
        <w:spacing w:line="600" w:lineRule="exact"/>
        <w:jc w:val="center"/>
        <w:rPr>
          <w:rFonts w:ascii="Times New Roman" w:hAnsi="Times New Roman" w:eastAsia="方正小标宋简体"/>
          <w:bCs/>
          <w:color w:val="000000"/>
          <w:kern w:val="0"/>
          <w:sz w:val="36"/>
          <w:szCs w:val="36"/>
        </w:rPr>
      </w:pPr>
    </w:p>
    <w:p>
      <w:pPr>
        <w:adjustRightInd w:val="0"/>
        <w:snapToGrid w:val="0"/>
        <w:spacing w:line="600" w:lineRule="exact"/>
        <w:jc w:val="center"/>
        <w:rPr>
          <w:rFonts w:ascii="Times New Roman" w:hAnsi="Times New Roman" w:eastAsia="方正小标宋简体"/>
          <w:bCs/>
          <w:color w:val="000000"/>
          <w:kern w:val="0"/>
          <w:sz w:val="36"/>
          <w:szCs w:val="36"/>
        </w:rPr>
      </w:pPr>
    </w:p>
    <w:p>
      <w:pPr>
        <w:spacing w:line="600" w:lineRule="exact"/>
        <w:jc w:val="center"/>
        <w:rPr>
          <w:rFonts w:ascii="方正小标宋_GBK" w:hAnsi="方正小标宋_GBK" w:eastAsia="方正小标宋_GBK" w:cs="方正小标宋_GBK"/>
          <w:sz w:val="36"/>
          <w:szCs w:val="36"/>
        </w:rPr>
      </w:pPr>
      <w:r>
        <w:rPr>
          <w:rFonts w:hint="eastAsia" w:ascii="仿宋" w:hAnsi="仿宋" w:eastAsia="仿宋" w:cs="仿宋"/>
          <w:sz w:val="36"/>
          <w:szCs w:val="36"/>
        </w:rPr>
        <w:t>2019</w:t>
      </w:r>
      <w:r>
        <w:rPr>
          <w:rFonts w:hint="eastAsia" w:ascii="方正小标宋_GBK" w:hAnsi="方正小标宋_GBK" w:eastAsia="方正小标宋_GBK" w:cs="方正小标宋_GBK"/>
          <w:sz w:val="36"/>
          <w:szCs w:val="36"/>
        </w:rPr>
        <w:t>年度望城区</w:t>
      </w:r>
      <w:r>
        <w:rPr>
          <w:rFonts w:hint="eastAsia" w:ascii="方正小标宋_GBK" w:hAnsi="方正小标宋_GBK" w:eastAsia="方正小标宋_GBK" w:cs="方正小标宋_GBK"/>
          <w:sz w:val="36"/>
          <w:szCs w:val="36"/>
          <w:lang w:eastAsia="zh-CN"/>
        </w:rPr>
        <w:t>退役军人事务局</w:t>
      </w:r>
      <w:r>
        <w:rPr>
          <w:rFonts w:hint="eastAsia" w:ascii="方正小标宋_GBK" w:hAnsi="方正小标宋_GBK" w:eastAsia="方正小标宋_GBK" w:cs="方正小标宋_GBK"/>
          <w:sz w:val="36"/>
          <w:szCs w:val="36"/>
        </w:rPr>
        <w:t>整体支出</w:t>
      </w:r>
    </w:p>
    <w:p>
      <w:pPr>
        <w:spacing w:line="600" w:lineRule="exact"/>
        <w:jc w:val="center"/>
        <w:rPr>
          <w:rFonts w:ascii="Times New Roman" w:hAnsi="Times New Roman" w:eastAsia="方正小标宋简体"/>
          <w:sz w:val="36"/>
          <w:szCs w:val="36"/>
        </w:rPr>
      </w:pPr>
      <w:r>
        <w:rPr>
          <w:rFonts w:hint="eastAsia" w:ascii="方正小标宋_GBK" w:hAnsi="方正小标宋_GBK" w:eastAsia="方正小标宋_GBK" w:cs="方正小标宋_GBK"/>
          <w:sz w:val="36"/>
          <w:szCs w:val="36"/>
        </w:rPr>
        <w:t>预算绩效</w:t>
      </w:r>
      <w:r>
        <w:rPr>
          <w:rFonts w:ascii="Times New Roman" w:hAnsi="Times New Roman" w:eastAsia="方正小标宋简体"/>
          <w:sz w:val="36"/>
          <w:szCs w:val="36"/>
        </w:rPr>
        <w:t>自评报告</w:t>
      </w:r>
    </w:p>
    <w:p>
      <w:pPr>
        <w:spacing w:line="600" w:lineRule="exact"/>
        <w:jc w:val="center"/>
        <w:rPr>
          <w:rFonts w:hint="eastAsia" w:ascii="Times New Roman" w:hAnsi="Times New Roman" w:eastAsia="仿宋_GB2312"/>
          <w:lang w:val="en-US" w:eastAsia="zh-CN"/>
        </w:rPr>
      </w:pPr>
    </w:p>
    <w:p>
      <w:pPr>
        <w:pStyle w:val="8"/>
        <w:numPr>
          <w:ilvl w:val="0"/>
          <w:numId w:val="1"/>
        </w:numPr>
        <w:spacing w:line="600" w:lineRule="exact"/>
        <w:ind w:left="567" w:leftChars="0" w:firstLine="73" w:firstLineChars="0"/>
        <w:rPr>
          <w:rFonts w:ascii="Times New Roman" w:hAnsi="Times New Roman" w:eastAsia="黑体"/>
          <w:sz w:val="30"/>
          <w:highlight w:val="none"/>
        </w:rPr>
      </w:pPr>
      <w:r>
        <w:rPr>
          <w:rFonts w:ascii="Times New Roman" w:hAnsi="Times New Roman" w:eastAsia="黑体"/>
          <w:sz w:val="30"/>
          <w:highlight w:val="none"/>
        </w:rPr>
        <w:t>部门（单位）基本情况</w:t>
      </w:r>
    </w:p>
    <w:p>
      <w:pPr>
        <w:widowControl/>
        <w:spacing w:line="510" w:lineRule="atLeast"/>
        <w:ind w:firstLine="640" w:firstLineChars="200"/>
        <w:jc w:val="left"/>
        <w:rPr>
          <w:rFonts w:hint="eastAsia" w:hAnsi="仿宋_GB2312" w:eastAsia="仿宋_GB2312" w:cs="仿宋_GB2312"/>
          <w:kern w:val="0"/>
          <w:sz w:val="32"/>
          <w:szCs w:val="32"/>
          <w:highlight w:val="none"/>
          <w:lang w:val="en-US" w:eastAsia="zh-CN"/>
        </w:rPr>
      </w:pPr>
      <w:r>
        <w:rPr>
          <w:rFonts w:hint="eastAsia" w:hAnsi="仿宋_GB2312" w:cs="仿宋_GB2312"/>
          <w:kern w:val="0"/>
          <w:sz w:val="32"/>
          <w:szCs w:val="32"/>
          <w:highlight w:val="none"/>
          <w:lang w:eastAsia="zh-CN"/>
        </w:rPr>
        <w:t>长沙市望城区退役军人事务局于</w:t>
      </w:r>
      <w:r>
        <w:rPr>
          <w:rFonts w:hint="eastAsia" w:hAnsi="仿宋_GB2312" w:cs="仿宋_GB2312"/>
          <w:kern w:val="0"/>
          <w:sz w:val="32"/>
          <w:szCs w:val="32"/>
          <w:highlight w:val="none"/>
          <w:lang w:val="en-US" w:eastAsia="zh-CN"/>
        </w:rPr>
        <w:t>2019年3月25日正式挂牌成立，为区政府工作部门，业务工作主要从区民政局优抚安置和区人力资源和社会保障局的军官转业安置的职责整合组建为</w:t>
      </w:r>
      <w:r>
        <w:rPr>
          <w:rFonts w:hint="eastAsia" w:hAnsi="仿宋_GB2312" w:cs="仿宋_GB2312"/>
          <w:kern w:val="0"/>
          <w:sz w:val="32"/>
          <w:szCs w:val="32"/>
          <w:highlight w:val="none"/>
          <w:lang w:eastAsia="zh-CN"/>
        </w:rPr>
        <w:t>财政全额拨款的行政单位，</w:t>
      </w:r>
      <w:r>
        <w:rPr>
          <w:rFonts w:hint="eastAsia" w:hAnsi="仿宋_GB2312" w:cs="仿宋_GB2312"/>
          <w:kern w:val="0"/>
          <w:sz w:val="32"/>
          <w:szCs w:val="32"/>
          <w:highlight w:val="none"/>
          <w:lang w:val="en-US" w:eastAsia="zh-CN"/>
        </w:rPr>
        <w:t>19年度</w:t>
      </w:r>
      <w:r>
        <w:rPr>
          <w:rFonts w:hint="eastAsia" w:hAnsi="仿宋_GB2312" w:cs="仿宋_GB2312"/>
          <w:kern w:val="0"/>
          <w:sz w:val="32"/>
          <w:szCs w:val="32"/>
          <w:highlight w:val="none"/>
          <w:lang w:eastAsia="zh-CN"/>
        </w:rPr>
        <w:t>实有编制人数</w:t>
      </w:r>
      <w:r>
        <w:rPr>
          <w:rFonts w:hint="eastAsia" w:hAnsi="仿宋_GB2312" w:cs="仿宋_GB2312"/>
          <w:kern w:val="0"/>
          <w:sz w:val="32"/>
          <w:szCs w:val="32"/>
          <w:highlight w:val="none"/>
          <w:lang w:val="en-US" w:eastAsia="zh-CN"/>
        </w:rPr>
        <w:t>16人（含下属二级机构事业编），合同制士官4人，离退休人员3人。我局现有内设部门3个，分别是办公室，优抚科，安置科；下设二级事业机构3个，分别是区军队离休退休干部休养所，区光荣院，区退役军人服务中心。</w:t>
      </w:r>
    </w:p>
    <w:p>
      <w:pPr>
        <w:pStyle w:val="8"/>
        <w:numPr>
          <w:ilvl w:val="0"/>
          <w:numId w:val="1"/>
        </w:numPr>
        <w:spacing w:line="600" w:lineRule="exact"/>
        <w:ind w:firstLineChars="0"/>
        <w:rPr>
          <w:rFonts w:ascii="Times New Roman" w:hAnsi="Times New Roman" w:eastAsia="黑体"/>
          <w:sz w:val="30"/>
        </w:rPr>
      </w:pPr>
      <w:r>
        <w:rPr>
          <w:rFonts w:ascii="Times New Roman" w:hAnsi="Times New Roman" w:eastAsia="黑体"/>
          <w:sz w:val="30"/>
        </w:rPr>
        <w:t>预算管理及执行情况</w:t>
      </w:r>
    </w:p>
    <w:p>
      <w:pPr>
        <w:spacing w:line="600" w:lineRule="exact"/>
        <w:ind w:firstLine="640" w:firstLineChars="200"/>
        <w:rPr>
          <w:rFonts w:ascii="Times New Roman" w:hAnsi="Times New Roman" w:eastAsia="黑体"/>
          <w:sz w:val="30"/>
        </w:rPr>
      </w:pPr>
      <w:r>
        <w:rPr>
          <w:rFonts w:hint="eastAsia" w:hAnsi="仿宋_GB2312" w:cs="仿宋_GB2312"/>
          <w:color w:val="000000"/>
        </w:rPr>
        <w:t>本单位为2</w:t>
      </w:r>
      <w:r>
        <w:rPr>
          <w:rFonts w:hAnsi="仿宋_GB2312" w:cs="仿宋_GB2312"/>
          <w:color w:val="000000"/>
        </w:rPr>
        <w:t>019</w:t>
      </w:r>
      <w:r>
        <w:rPr>
          <w:rFonts w:hint="eastAsia" w:hAnsi="仿宋_GB2312" w:cs="仿宋_GB2312"/>
          <w:color w:val="000000"/>
        </w:rPr>
        <w:t>年3月机构改革时新增单位，无年度预算，故没有预算及执行对比数据。全年决算收入</w:t>
      </w:r>
      <w:r>
        <w:rPr>
          <w:rFonts w:hint="eastAsia" w:hAnsi="仿宋_GB2312" w:cs="仿宋_GB2312"/>
          <w:color w:val="000000"/>
          <w:lang w:val="en-US" w:eastAsia="zh-CN"/>
        </w:rPr>
        <w:t>6191.75</w:t>
      </w:r>
      <w:r>
        <w:rPr>
          <w:rFonts w:hint="eastAsia" w:hAnsi="仿宋_GB2312" w:cs="仿宋_GB2312"/>
          <w:color w:val="000000"/>
        </w:rPr>
        <w:t>万元，支出</w:t>
      </w:r>
      <w:r>
        <w:rPr>
          <w:rFonts w:hint="eastAsia" w:hAnsi="仿宋_GB2312" w:cs="仿宋_GB2312"/>
          <w:color w:val="000000"/>
          <w:lang w:val="en-US" w:eastAsia="zh-CN"/>
        </w:rPr>
        <w:t>6191.57</w:t>
      </w:r>
      <w:r>
        <w:rPr>
          <w:rFonts w:hint="eastAsia" w:hAnsi="仿宋_GB2312" w:cs="仿宋_GB2312"/>
          <w:color w:val="000000"/>
        </w:rPr>
        <w:t>万元，其中基本支出</w:t>
      </w:r>
      <w:r>
        <w:rPr>
          <w:rFonts w:hint="eastAsia" w:hAnsi="仿宋_GB2312" w:cs="仿宋_GB2312"/>
          <w:color w:val="000000"/>
          <w:lang w:val="en-US" w:eastAsia="zh-CN"/>
        </w:rPr>
        <w:t>143.70</w:t>
      </w:r>
      <w:r>
        <w:rPr>
          <w:rFonts w:hint="eastAsia" w:hAnsi="仿宋_GB2312" w:cs="仿宋_GB2312"/>
          <w:color w:val="000000"/>
        </w:rPr>
        <w:t>万元，占比</w:t>
      </w:r>
      <w:r>
        <w:rPr>
          <w:rFonts w:hint="eastAsia" w:hAnsi="仿宋_GB2312" w:cs="仿宋_GB2312"/>
          <w:color w:val="000000"/>
          <w:lang w:val="en-US" w:eastAsia="zh-CN"/>
        </w:rPr>
        <w:t>2.32</w:t>
      </w:r>
      <w:r>
        <w:rPr>
          <w:rFonts w:hint="eastAsia" w:hAnsi="仿宋_GB2312" w:cs="仿宋_GB2312"/>
          <w:color w:val="000000"/>
        </w:rPr>
        <w:t>%。项目支出</w:t>
      </w:r>
      <w:r>
        <w:rPr>
          <w:rFonts w:hint="eastAsia" w:hAnsi="仿宋_GB2312" w:cs="仿宋_GB2312"/>
          <w:color w:val="000000"/>
          <w:lang w:val="en-US" w:eastAsia="zh-CN"/>
        </w:rPr>
        <w:t>6047.87</w:t>
      </w:r>
      <w:r>
        <w:rPr>
          <w:rFonts w:hint="eastAsia" w:hAnsi="仿宋_GB2312" w:cs="仿宋_GB2312"/>
          <w:color w:val="000000"/>
        </w:rPr>
        <w:t>万元，占比</w:t>
      </w:r>
      <w:r>
        <w:rPr>
          <w:rFonts w:hint="eastAsia" w:hAnsi="仿宋_GB2312" w:cs="仿宋_GB2312"/>
          <w:color w:val="000000"/>
          <w:lang w:val="en-US" w:eastAsia="zh-CN"/>
        </w:rPr>
        <w:t>97.68</w:t>
      </w:r>
      <w:r>
        <w:rPr>
          <w:rFonts w:hint="eastAsia" w:hAnsi="仿宋_GB2312" w:cs="仿宋_GB2312"/>
          <w:color w:val="000000"/>
        </w:rPr>
        <w:t>%。</w:t>
      </w:r>
    </w:p>
    <w:p>
      <w:pPr>
        <w:pStyle w:val="8"/>
        <w:numPr>
          <w:ilvl w:val="0"/>
          <w:numId w:val="1"/>
        </w:numPr>
        <w:spacing w:line="600" w:lineRule="exact"/>
        <w:ind w:firstLineChars="0"/>
        <w:rPr>
          <w:rFonts w:ascii="Times New Roman" w:hAnsi="Times New Roman" w:eastAsia="黑体"/>
          <w:sz w:val="30"/>
        </w:rPr>
      </w:pPr>
      <w:r>
        <w:rPr>
          <w:rFonts w:hint="eastAsia" w:ascii="Times New Roman" w:hAnsi="Times New Roman" w:eastAsia="黑体"/>
          <w:sz w:val="30"/>
        </w:rPr>
        <w:t>资产管理情况</w:t>
      </w:r>
    </w:p>
    <w:p>
      <w:pPr>
        <w:ind w:firstLine="720" w:firstLineChars="225"/>
        <w:rPr>
          <w:rFonts w:hint="eastAsia" w:ascii="仿宋_GB2312" w:eastAsia="仿宋_GB2312"/>
          <w:sz w:val="32"/>
          <w:szCs w:val="32"/>
        </w:rPr>
      </w:pPr>
      <w:r>
        <w:rPr>
          <w:rFonts w:hint="eastAsia" w:ascii="仿宋_GB2312" w:hAnsi="Times New Roman" w:eastAsia="仿宋_GB2312"/>
          <w:b w:val="0"/>
          <w:kern w:val="2"/>
          <w:sz w:val="32"/>
          <w:szCs w:val="32"/>
        </w:rPr>
        <w:t>我单位资产总额148.45万元，</w:t>
      </w:r>
      <w:r>
        <w:rPr>
          <w:rFonts w:hint="eastAsia" w:ascii="仿宋_GB2312" w:eastAsia="仿宋_GB2312"/>
          <w:sz w:val="32"/>
          <w:szCs w:val="32"/>
        </w:rPr>
        <w:t>其中流动资产37.21万元、</w:t>
      </w:r>
      <w:r>
        <w:rPr>
          <w:rFonts w:hint="eastAsia" w:ascii="仿宋_GB2312" w:hAnsi="Times New Roman" w:eastAsia="仿宋_GB2312"/>
          <w:b w:val="0"/>
          <w:kern w:val="2"/>
          <w:sz w:val="32"/>
          <w:szCs w:val="32"/>
        </w:rPr>
        <w:t>固定资产原值116.76万元，净值111.24万元。</w:t>
      </w:r>
      <w:r>
        <w:rPr>
          <w:rFonts w:hint="eastAsia" w:ascii="仿宋_GB2312" w:eastAsia="仿宋_GB2312"/>
          <w:sz w:val="32"/>
          <w:szCs w:val="32"/>
        </w:rPr>
        <w:t>固定资产中房屋建筑物35.77万元，车辆1台4.2万元，无50万元以上通用设备及100万元以上专用设备。资产全部</w:t>
      </w:r>
      <w:r>
        <w:rPr>
          <w:rFonts w:hint="eastAsia"/>
          <w:sz w:val="32"/>
          <w:szCs w:val="32"/>
          <w:lang w:eastAsia="zh-CN"/>
        </w:rPr>
        <w:t>为</w:t>
      </w:r>
      <w:r>
        <w:rPr>
          <w:rFonts w:hint="eastAsia" w:ascii="仿宋_GB2312" w:eastAsia="仿宋_GB2312"/>
          <w:sz w:val="32"/>
          <w:szCs w:val="32"/>
        </w:rPr>
        <w:t>自用资产，无出租出借资产及对外投资情况</w:t>
      </w:r>
      <w:r>
        <w:rPr>
          <w:rFonts w:hint="eastAsia"/>
          <w:sz w:val="32"/>
          <w:szCs w:val="32"/>
          <w:lang w:eastAsia="zh-CN"/>
        </w:rPr>
        <w:t>，</w:t>
      </w:r>
      <w:r>
        <w:rPr>
          <w:rFonts w:hint="eastAsia" w:ascii="仿宋_GB2312" w:eastAsia="仿宋_GB2312"/>
          <w:sz w:val="32"/>
          <w:szCs w:val="32"/>
        </w:rPr>
        <w:t>无已投入使用6个月以上未转固在建工程价值。</w:t>
      </w:r>
    </w:p>
    <w:p>
      <w:pPr>
        <w:ind w:firstLine="720" w:firstLineChars="225"/>
        <w:rPr>
          <w:rFonts w:ascii="仿宋_GB2312" w:eastAsia="仿宋_GB2312"/>
          <w:sz w:val="32"/>
          <w:szCs w:val="32"/>
        </w:rPr>
      </w:pPr>
      <w:r>
        <w:rPr>
          <w:rFonts w:hint="eastAsia" w:ascii="仿宋_GB2312" w:eastAsia="仿宋_GB2312"/>
          <w:sz w:val="32"/>
          <w:szCs w:val="32"/>
        </w:rPr>
        <w:t>我单位2019年3月31日成立，所有资产均为本年度新增，其中固定资产中调拨部分为99.63万元，占所有固定资产比重为85.33%。</w:t>
      </w:r>
    </w:p>
    <w:p>
      <w:pPr>
        <w:pStyle w:val="8"/>
        <w:numPr>
          <w:ilvl w:val="0"/>
          <w:numId w:val="1"/>
        </w:numPr>
        <w:spacing w:line="600" w:lineRule="exact"/>
        <w:ind w:firstLineChars="0"/>
      </w:pPr>
      <w:r>
        <w:rPr>
          <w:rFonts w:ascii="Times New Roman" w:hAnsi="Times New Roman" w:eastAsia="黑体"/>
          <w:sz w:val="30"/>
        </w:rPr>
        <w:t>整体支出绩效目标及开展情况</w:t>
      </w:r>
    </w:p>
    <w:p>
      <w:pPr>
        <w:spacing w:line="240" w:lineRule="auto"/>
        <w:ind w:right="-58" w:rightChars="-18" w:firstLine="12" w:firstLineChars="4"/>
        <w:jc w:val="left"/>
        <w:rPr>
          <w:rFonts w:hint="eastAsia" w:eastAsia="仿宋_GB2312"/>
          <w:lang w:val="en-US" w:eastAsia="zh-CN"/>
        </w:rPr>
      </w:pPr>
      <w:r>
        <w:rPr>
          <w:rFonts w:hint="eastAsia"/>
        </w:rPr>
        <w:t xml:space="preserve"> </w:t>
      </w:r>
      <w:r>
        <w:t xml:space="preserve">  </w:t>
      </w:r>
      <w:r>
        <w:rPr>
          <w:rFonts w:cs="仿宋_GB2312"/>
          <w:sz w:val="30"/>
          <w:szCs w:val="30"/>
        </w:rPr>
        <w:t xml:space="preserve"> </w:t>
      </w:r>
      <w:r>
        <w:rPr>
          <w:rFonts w:hint="eastAsia" w:cs="仿宋_GB2312"/>
          <w:sz w:val="30"/>
          <w:szCs w:val="30"/>
          <w:lang w:eastAsia="zh-CN"/>
        </w:rPr>
        <w:t>按照全区预算绩效管理工作的总体要求，</w:t>
      </w:r>
      <w:r>
        <w:rPr>
          <w:rFonts w:hint="eastAsia" w:cs="仿宋_GB2312"/>
          <w:sz w:val="30"/>
          <w:szCs w:val="30"/>
        </w:rPr>
        <w:t>我单位</w:t>
      </w:r>
      <w:r>
        <w:rPr>
          <w:rFonts w:hint="eastAsia" w:cs="仿宋_GB2312"/>
          <w:sz w:val="30"/>
          <w:szCs w:val="30"/>
          <w:lang w:val="en-US" w:eastAsia="zh-CN"/>
        </w:rPr>
        <w:t>2019年</w:t>
      </w:r>
      <w:r>
        <w:rPr>
          <w:rFonts w:hint="eastAsia" w:cs="仿宋_GB2312"/>
          <w:sz w:val="30"/>
          <w:szCs w:val="30"/>
        </w:rPr>
        <w:t>整体支出绩效目标为</w:t>
      </w:r>
      <w:r>
        <w:rPr>
          <w:rFonts w:hint="eastAsia" w:cs="仿宋_GB2312"/>
          <w:b w:val="0"/>
          <w:bCs w:val="0"/>
          <w:sz w:val="30"/>
          <w:szCs w:val="30"/>
          <w:highlight w:val="none"/>
          <w:lang w:val="en-US" w:eastAsia="zh-CN"/>
        </w:rPr>
        <w:t>6191.75万元，全部实行整体支出绩效目标管理，</w:t>
      </w:r>
      <w:bookmarkStart w:id="0" w:name="_GoBack"/>
      <w:bookmarkEnd w:id="0"/>
      <w:r>
        <w:rPr>
          <w:rFonts w:hint="eastAsia" w:cs="仿宋_GB2312"/>
          <w:b w:val="0"/>
          <w:bCs w:val="0"/>
          <w:sz w:val="30"/>
          <w:szCs w:val="30"/>
          <w:highlight w:val="none"/>
          <w:lang w:eastAsia="zh-CN"/>
        </w:rPr>
        <w:t>涉</w:t>
      </w:r>
      <w:r>
        <w:rPr>
          <w:rFonts w:hint="eastAsia" w:cs="仿宋_GB2312"/>
          <w:sz w:val="30"/>
          <w:szCs w:val="30"/>
          <w:lang w:eastAsia="zh-CN"/>
        </w:rPr>
        <w:t>及项目支出</w:t>
      </w:r>
      <w:r>
        <w:rPr>
          <w:rFonts w:hint="eastAsia" w:cs="仿宋_GB2312"/>
          <w:sz w:val="30"/>
          <w:szCs w:val="30"/>
          <w:lang w:val="en-US" w:eastAsia="zh-CN"/>
        </w:rPr>
        <w:t>主要有优抚对象抚恤及其他优抚支出，义务兵优待，退役士兵安置，优抚对象医疗补助,军休人员安置费等方面支出。</w:t>
      </w:r>
    </w:p>
    <w:p>
      <w:pPr>
        <w:spacing w:line="600" w:lineRule="exact"/>
        <w:ind w:firstLine="600" w:firstLineChars="200"/>
        <w:rPr>
          <w:rFonts w:ascii="Times New Roman" w:hAnsi="Times New Roman" w:eastAsia="黑体"/>
          <w:sz w:val="30"/>
        </w:rPr>
      </w:pPr>
      <w:r>
        <w:rPr>
          <w:rFonts w:ascii="Times New Roman" w:hAnsi="Times New Roman" w:eastAsia="黑体"/>
          <w:sz w:val="30"/>
        </w:rPr>
        <w:t>整体支出绩效实现情况</w:t>
      </w:r>
    </w:p>
    <w:p>
      <w:pPr>
        <w:spacing w:line="600" w:lineRule="exact"/>
        <w:ind w:firstLine="602" w:firstLineChars="200"/>
        <w:rPr>
          <w:rFonts w:ascii="Times New Roman" w:hAnsi="Times New Roman"/>
          <w:b/>
          <w:bCs/>
          <w:sz w:val="30"/>
          <w:highlight w:val="none"/>
        </w:rPr>
      </w:pPr>
      <w:r>
        <w:rPr>
          <w:rFonts w:ascii="Times New Roman" w:hAnsi="Times New Roman"/>
          <w:b/>
          <w:bCs/>
          <w:sz w:val="30"/>
          <w:highlight w:val="none"/>
        </w:rPr>
        <w:t>（一）履职完成情况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left"/>
        <w:textAlignment w:val="auto"/>
        <w:outlineLvl w:val="9"/>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区退役军人事务局自</w:t>
      </w:r>
      <w:r>
        <w:rPr>
          <w:rFonts w:hint="eastAsia" w:hAnsi="仿宋_GB2312" w:cs="仿宋_GB2312"/>
          <w:b w:val="0"/>
          <w:bCs w:val="0"/>
          <w:sz w:val="32"/>
          <w:szCs w:val="32"/>
          <w:lang w:val="en-US" w:eastAsia="zh-CN"/>
        </w:rPr>
        <w:t>2019年3月25日</w:t>
      </w:r>
      <w:r>
        <w:rPr>
          <w:rFonts w:hint="eastAsia" w:ascii="仿宋_GB2312" w:hAnsi="仿宋_GB2312" w:eastAsia="仿宋_GB2312" w:cs="仿宋_GB2312"/>
          <w:b w:val="0"/>
          <w:bCs w:val="0"/>
          <w:sz w:val="32"/>
          <w:szCs w:val="32"/>
          <w:lang w:eastAsia="zh-CN"/>
        </w:rPr>
        <w:t>组建以来，在区委、区政府的正确领导下，在上级退役军人事务部门的具体指导下，坚持以习近平新时代中国特色社会主义思想为指导，深入学习贯彻习近平总书记关于退役军人工作重要指示精神，</w:t>
      </w:r>
      <w:r>
        <w:rPr>
          <w:rFonts w:hint="eastAsia" w:ascii="仿宋_GB2312" w:hAnsi="仿宋_GB2312" w:eastAsia="仿宋_GB2312" w:cs="仿宋_GB2312"/>
          <w:b w:val="0"/>
          <w:bCs w:val="0"/>
          <w:sz w:val="32"/>
          <w:szCs w:val="32"/>
          <w:lang w:val="en-US" w:eastAsia="zh-CN"/>
        </w:rPr>
        <w:t>强化服务意识，主动担当作为，全区退役军人工作有序推进，成效明显。5月31日，我局在靖港镇举行街镇退役军人服务站挂牌仪式，率先全市建立街镇、村社退役军人服务站；今年7月，</w:t>
      </w:r>
      <w:r>
        <w:rPr>
          <w:rFonts w:hint="eastAsia" w:ascii="仿宋_GB2312" w:hAnsi="仿宋_GB2312" w:eastAsia="仿宋_GB2312" w:cs="仿宋_GB2312"/>
          <w:b w:val="0"/>
          <w:bCs w:val="0"/>
          <w:sz w:val="32"/>
          <w:szCs w:val="32"/>
          <w:lang w:eastAsia="zh-CN"/>
        </w:rPr>
        <w:t>我区率先全市开展“最美退役军人”先进典型选树活动，弘扬了正能量，激励了退役军人干事创业热情，</w:t>
      </w:r>
      <w:r>
        <w:rPr>
          <w:rFonts w:hint="eastAsia" w:ascii="仿宋_GB2312" w:hAnsi="仿宋_GB2312" w:eastAsia="仿宋_GB2312" w:cs="仿宋_GB2312"/>
          <w:b w:val="0"/>
          <w:bCs w:val="0"/>
          <w:sz w:val="32"/>
          <w:szCs w:val="32"/>
          <w:lang w:val="en-US" w:eastAsia="zh-CN"/>
        </w:rPr>
        <w:t>我局推荐的</w:t>
      </w:r>
      <w:r>
        <w:rPr>
          <w:rFonts w:hint="eastAsia" w:ascii="仿宋_GB2312" w:hAnsi="仿宋_GB2312" w:eastAsia="仿宋_GB2312" w:cs="仿宋_GB2312"/>
          <w:b w:val="0"/>
          <w:bCs w:val="0"/>
          <w:sz w:val="32"/>
          <w:szCs w:val="32"/>
          <w:lang w:eastAsia="zh-CN"/>
        </w:rPr>
        <w:t>靖港镇福塘村曾俊杰同志荣获全省“模范退役军人”和全市“最美退役军人”荣誉称号</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lang w:eastAsia="zh-CN"/>
        </w:rPr>
        <w:t>另外，我局在加强待安置转业士兵的教育引导、健全机制化解矛盾、拓宽就业创业渠道方面，也进行了积极探索</w:t>
      </w:r>
      <w:r>
        <w:rPr>
          <w:rFonts w:hint="eastAsia" w:hAnsi="仿宋_GB2312" w:cs="仿宋_GB2312"/>
          <w:b w:val="0"/>
          <w:bCs w:val="0"/>
          <w:sz w:val="32"/>
          <w:szCs w:val="32"/>
          <w:lang w:eastAsia="zh-CN"/>
        </w:rPr>
        <w:t>。</w:t>
      </w:r>
      <w:r>
        <w:rPr>
          <w:rFonts w:hint="eastAsia" w:ascii="仿宋_GB2312" w:hAnsi="仿宋_GB2312" w:eastAsia="仿宋_GB2312" w:cs="仿宋_GB2312"/>
          <w:i w:val="0"/>
          <w:caps w:val="0"/>
          <w:color w:val="000000" w:themeColor="text1"/>
          <w:spacing w:val="0"/>
          <w:sz w:val="32"/>
          <w:szCs w:val="32"/>
          <w:shd w:val="clear" w:fill="FFFFFF"/>
          <w:lang w:eastAsia="zh-CN"/>
          <w14:textFill>
            <w14:solidFill>
              <w14:schemeClr w14:val="tx1"/>
            </w14:solidFill>
          </w14:textFill>
        </w:rPr>
        <w:t>我局党组班子</w:t>
      </w: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牢固树立全心全意为人民服务的宗旨意识，加强学习，注重团结，清廉从政，努力建设规范化服务型</w:t>
      </w:r>
      <w:r>
        <w:rPr>
          <w:rFonts w:hint="eastAsia" w:ascii="仿宋_GB2312" w:hAnsi="仿宋_GB2312" w:eastAsia="仿宋_GB2312" w:cs="仿宋_GB2312"/>
          <w:i w:val="0"/>
          <w:caps w:val="0"/>
          <w:color w:val="000000" w:themeColor="text1"/>
          <w:spacing w:val="0"/>
          <w:sz w:val="32"/>
          <w:szCs w:val="32"/>
          <w:shd w:val="clear" w:fill="FFFFFF"/>
          <w:lang w:eastAsia="zh-CN"/>
          <w14:textFill>
            <w14:solidFill>
              <w14:schemeClr w14:val="tx1"/>
            </w14:solidFill>
          </w14:textFill>
        </w:rPr>
        <w:t>班子。</w:t>
      </w:r>
      <w:r>
        <w:rPr>
          <w:rFonts w:hint="eastAsia" w:ascii="仿宋_GB2312" w:hAnsi="仿宋_GB2312" w:eastAsia="仿宋_GB2312" w:cs="仿宋_GB2312"/>
          <w:b w:val="0"/>
          <w:bCs w:val="0"/>
          <w:sz w:val="32"/>
          <w:szCs w:val="32"/>
          <w:lang w:eastAsia="zh-CN"/>
        </w:rPr>
        <w:t>做到了</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践行职责，全面加强班子建设；</w:t>
      </w:r>
      <w:r>
        <w:rPr>
          <w:rFonts w:hint="eastAsia" w:ascii="仿宋_GB2312" w:hAnsi="仿宋_GB2312" w:eastAsia="仿宋_GB2312" w:cs="仿宋_GB2312"/>
          <w:b w:val="0"/>
          <w:bCs w:val="0"/>
          <w:i w:val="0"/>
          <w:caps w:val="0"/>
          <w:color w:val="000000" w:themeColor="text1"/>
          <w:spacing w:val="0"/>
          <w:sz w:val="32"/>
          <w:szCs w:val="32"/>
          <w:shd w:val="clear" w:fill="FFFFFF"/>
          <w14:textFill>
            <w14:solidFill>
              <w14:schemeClr w14:val="tx1"/>
            </w14:solidFill>
          </w14:textFill>
        </w:rPr>
        <w:t>牢记</w:t>
      </w:r>
      <w:r>
        <w:rPr>
          <w:rFonts w:hint="eastAsia" w:ascii="仿宋_GB2312" w:hAnsi="仿宋_GB2312" w:eastAsia="仿宋_GB2312" w:cs="仿宋_GB2312"/>
          <w:b w:val="0"/>
          <w:bCs w:val="0"/>
          <w:i w:val="0"/>
          <w:caps w:val="0"/>
          <w:color w:val="000000" w:themeColor="text1"/>
          <w:spacing w:val="0"/>
          <w:sz w:val="32"/>
          <w:szCs w:val="32"/>
          <w:shd w:val="clear" w:fill="FFFFFF"/>
          <w:lang w:eastAsia="zh-CN"/>
          <w14:textFill>
            <w14:solidFill>
              <w14:schemeClr w14:val="tx1"/>
            </w14:solidFill>
          </w14:textFill>
        </w:rPr>
        <w:t>使命</w:t>
      </w:r>
      <w:r>
        <w:rPr>
          <w:rFonts w:hint="eastAsia" w:ascii="仿宋_GB2312" w:hAnsi="仿宋_GB2312" w:eastAsia="仿宋_GB2312" w:cs="仿宋_GB2312"/>
          <w:b w:val="0"/>
          <w:bCs w:val="0"/>
          <w:i w:val="0"/>
          <w:caps w:val="0"/>
          <w:color w:val="000000" w:themeColor="text1"/>
          <w:spacing w:val="0"/>
          <w:sz w:val="32"/>
          <w:szCs w:val="32"/>
          <w:shd w:val="clear" w:fill="FFFFFF"/>
          <w14:textFill>
            <w14:solidFill>
              <w14:schemeClr w14:val="tx1"/>
            </w14:solidFill>
          </w14:textFill>
        </w:rPr>
        <w:t>，全力维护</w:t>
      </w:r>
      <w:r>
        <w:rPr>
          <w:rFonts w:hint="eastAsia" w:ascii="仿宋_GB2312" w:hAnsi="仿宋_GB2312" w:eastAsia="仿宋_GB2312" w:cs="仿宋_GB2312"/>
          <w:b w:val="0"/>
          <w:bCs w:val="0"/>
          <w:i w:val="0"/>
          <w:caps w:val="0"/>
          <w:color w:val="000000" w:themeColor="text1"/>
          <w:spacing w:val="0"/>
          <w:sz w:val="32"/>
          <w:szCs w:val="32"/>
          <w:shd w:val="clear" w:fill="FFFFFF"/>
          <w:lang w:eastAsia="zh-CN"/>
          <w14:textFill>
            <w14:solidFill>
              <w14:schemeClr w14:val="tx1"/>
            </w14:solidFill>
          </w14:textFill>
        </w:rPr>
        <w:t>退役军人</w:t>
      </w:r>
      <w:r>
        <w:rPr>
          <w:rFonts w:hint="eastAsia" w:hAnsi="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t>合法</w:t>
      </w:r>
      <w:r>
        <w:rPr>
          <w:rFonts w:hint="eastAsia" w:ascii="仿宋_GB2312" w:hAnsi="仿宋_GB2312" w:eastAsia="仿宋_GB2312" w:cs="仿宋_GB2312"/>
          <w:b w:val="0"/>
          <w:bCs w:val="0"/>
          <w:i w:val="0"/>
          <w:caps w:val="0"/>
          <w:color w:val="000000" w:themeColor="text1"/>
          <w:spacing w:val="0"/>
          <w:sz w:val="32"/>
          <w:szCs w:val="32"/>
          <w:shd w:val="clear" w:fill="FFFFFF"/>
          <w:lang w:eastAsia="zh-CN"/>
          <w14:textFill>
            <w14:solidFill>
              <w14:schemeClr w14:val="tx1"/>
            </w14:solidFill>
          </w14:textFill>
        </w:rPr>
        <w:t>权益；</w:t>
      </w:r>
      <w:r>
        <w:rPr>
          <w:rFonts w:hint="eastAsia" w:ascii="仿宋_GB2312" w:hAnsi="仿宋_GB2312" w:eastAsia="仿宋_GB2312" w:cs="仿宋_GB2312"/>
          <w:b w:val="0"/>
          <w:bCs w:val="0"/>
          <w:sz w:val="32"/>
          <w:szCs w:val="32"/>
          <w:lang w:val="en-US" w:eastAsia="zh-CN"/>
        </w:rPr>
        <w:t>强化协调，推进各项重点工作有序开展。</w:t>
      </w:r>
      <w:r>
        <w:rPr>
          <w:rFonts w:hint="eastAsia" w:ascii="仿宋_GB2312" w:hAnsi="仿宋_GB2312" w:eastAsia="仿宋_GB2312" w:cs="仿宋_GB2312"/>
          <w:b/>
          <w:bCs/>
          <w:sz w:val="32"/>
          <w:szCs w:val="32"/>
          <w:lang w:val="en-US" w:eastAsia="zh-CN"/>
        </w:rPr>
        <w:t>1.完成全区三级退役军人服务保障体系建设。</w:t>
      </w:r>
      <w:r>
        <w:rPr>
          <w:rFonts w:hint="eastAsia" w:ascii="仿宋_GB2312" w:hAnsi="仿宋_GB2312" w:eastAsia="仿宋_GB2312" w:cs="仿宋_GB2312"/>
          <w:b w:val="0"/>
          <w:bCs w:val="0"/>
          <w:sz w:val="32"/>
          <w:szCs w:val="32"/>
        </w:rPr>
        <w:t>根据习近平总书记</w:t>
      </w:r>
      <w:r>
        <w:rPr>
          <w:rFonts w:hint="eastAsia" w:ascii="仿宋_GB2312" w:hAnsi="仿宋_GB2312" w:eastAsia="仿宋_GB2312" w:cs="仿宋_GB2312"/>
          <w:b w:val="0"/>
          <w:bCs w:val="0"/>
          <w:sz w:val="32"/>
          <w:szCs w:val="32"/>
          <w:lang w:eastAsia="zh-CN"/>
        </w:rPr>
        <w:t>关于加强新时期退役军人工作的指示精神和中央、省、市退役军人服务保障体系建设实施方案要求</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我局与区委编办</w:t>
      </w:r>
      <w:r>
        <w:rPr>
          <w:rFonts w:hint="eastAsia" w:ascii="仿宋_GB2312" w:hAnsi="仿宋_GB2312" w:eastAsia="仿宋_GB2312" w:cs="仿宋_GB2312"/>
          <w:b w:val="0"/>
          <w:bCs w:val="0"/>
          <w:sz w:val="32"/>
          <w:szCs w:val="32"/>
          <w:lang w:val="en-US" w:eastAsia="zh-CN"/>
        </w:rPr>
        <w:t>联合下发《关于加快推进街镇、村（社区）退役军人服务站建设的通知》，并下发《基层服务站工作指南》，明确街镇、村（社区）服务站场地、人员设置依据、标准，5月31日前，全区14个街镇服务站、138个村（社区）服务站全部组建到位。下半年，着重“五化”建设的完善，积极争取人员配备与经费到位，确保基层服务站</w:t>
      </w:r>
      <w:r>
        <w:rPr>
          <w:rFonts w:hint="eastAsia" w:ascii="仿宋_GB2312" w:hAnsi="仿宋_GB2312" w:eastAsia="仿宋_GB2312" w:cs="仿宋_GB2312"/>
          <w:b w:val="0"/>
          <w:bCs w:val="0"/>
          <w:sz w:val="32"/>
          <w:szCs w:val="32"/>
          <w:lang w:eastAsia="zh-CN"/>
        </w:rPr>
        <w:t>正常运转，打通退役军人服务工作“最后一公里”，让每名退役军人就近解决诉求。</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3" w:firstLineChars="200"/>
        <w:jc w:val="left"/>
        <w:textAlignment w:val="auto"/>
        <w:outlineLvl w:val="9"/>
        <w:rPr>
          <w:rFonts w:hint="eastAsia" w:ascii="仿宋_GB2312" w:hAnsi="仿宋_GB2312" w:eastAsia="仿宋_GB2312" w:cs="仿宋_GB2312"/>
          <w:color w:val="2B2B2B"/>
          <w:kern w:val="0"/>
          <w:sz w:val="32"/>
          <w:szCs w:val="32"/>
          <w:lang w:val="en-US" w:eastAsia="zh-CN"/>
        </w:rPr>
      </w:pPr>
      <w:r>
        <w:rPr>
          <w:rFonts w:hint="eastAsia" w:ascii="仿宋_GB2312" w:hAnsi="仿宋_GB2312" w:eastAsia="仿宋_GB2312" w:cs="仿宋_GB2312"/>
          <w:b/>
          <w:bCs/>
          <w:sz w:val="32"/>
          <w:szCs w:val="32"/>
          <w:lang w:val="en-US" w:eastAsia="zh-CN"/>
        </w:rPr>
        <w:t>2.开展退役军人信息采集、光荣牌悬挂工作。</w:t>
      </w:r>
      <w:r>
        <w:rPr>
          <w:rFonts w:hint="eastAsia" w:ascii="仿宋_GB2312" w:hAnsi="仿宋_GB2312" w:eastAsia="仿宋_GB2312" w:cs="仿宋_GB2312"/>
          <w:b w:val="0"/>
          <w:bCs w:val="0"/>
          <w:sz w:val="32"/>
          <w:szCs w:val="32"/>
          <w:lang w:val="en-US" w:eastAsia="zh-CN"/>
        </w:rPr>
        <w:t>根据上级要求</w:t>
      </w:r>
      <w:r>
        <w:rPr>
          <w:rFonts w:hint="eastAsia" w:ascii="仿宋_GB2312" w:hAnsi="仿宋_GB2312" w:eastAsia="仿宋_GB2312" w:cs="仿宋_GB2312"/>
          <w:b w:val="0"/>
          <w:bCs w:val="0"/>
          <w:color w:val="2B2B2B"/>
          <w:kern w:val="0"/>
          <w:sz w:val="32"/>
          <w:szCs w:val="32"/>
          <w:lang w:eastAsia="zh-CN"/>
        </w:rPr>
        <w:t>，我区从</w:t>
      </w:r>
      <w:r>
        <w:rPr>
          <w:rFonts w:hint="eastAsia" w:ascii="仿宋_GB2312" w:hAnsi="仿宋_GB2312" w:eastAsia="仿宋_GB2312" w:cs="仿宋_GB2312"/>
          <w:b w:val="0"/>
          <w:bCs w:val="0"/>
          <w:color w:val="2B2B2B"/>
          <w:kern w:val="0"/>
          <w:sz w:val="32"/>
          <w:szCs w:val="32"/>
          <w:lang w:val="en-US" w:eastAsia="zh-CN"/>
        </w:rPr>
        <w:t>2018年下半年开始在全区范围内开展退役军人信息采集与光荣牌悬挂工作，经前期动员，布置采集，</w:t>
      </w:r>
      <w:r>
        <w:rPr>
          <w:rFonts w:hint="eastAsia" w:ascii="仿宋_GB2312" w:hAnsi="仿宋_GB2312" w:eastAsia="仿宋_GB2312" w:cs="仿宋_GB2312"/>
          <w:color w:val="2B2B2B"/>
          <w:kern w:val="0"/>
          <w:sz w:val="32"/>
          <w:szCs w:val="32"/>
          <w:lang w:val="en-US" w:eastAsia="zh-CN"/>
        </w:rPr>
        <w:t>走访督促，截至今年底</w:t>
      </w:r>
      <w:r>
        <w:rPr>
          <w:rFonts w:hint="eastAsia" w:ascii="仿宋_GB2312" w:hAnsi="仿宋_GB2312" w:eastAsia="仿宋_GB2312" w:cs="仿宋_GB2312"/>
          <w:sz w:val="32"/>
          <w:szCs w:val="32"/>
        </w:rPr>
        <w:t>全区共采集到退役军人及其他优抚对象信息16283条，悬挂光荣牌13591块。</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3"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3.开展部分退役士兵的社会保险补缴工作。</w:t>
      </w:r>
      <w:r>
        <w:rPr>
          <w:rFonts w:hint="eastAsia" w:ascii="仿宋_GB2312" w:hAnsi="仿宋_GB2312" w:eastAsia="仿宋_GB2312" w:cs="仿宋_GB2312"/>
          <w:b w:val="0"/>
          <w:bCs w:val="0"/>
          <w:sz w:val="32"/>
          <w:szCs w:val="32"/>
          <w:lang w:val="en-US" w:eastAsia="zh-CN"/>
        </w:rPr>
        <w:t>成立区部分退役士兵社会保险联席会议机制，组建工作专班，制定并下发望城区解决部分退役士兵社会保险工作实施方案，召开区直相关部门和街镇会议</w:t>
      </w:r>
      <w:r>
        <w:rPr>
          <w:rFonts w:hint="eastAsia" w:ascii="仿宋_GB2312" w:hAnsi="仿宋_GB2312" w:eastAsia="仿宋_GB2312" w:cs="仿宋_GB2312"/>
          <w:b w:val="0"/>
          <w:bCs w:val="0"/>
          <w:sz w:val="32"/>
          <w:szCs w:val="32"/>
        </w:rPr>
        <w:t>，</w:t>
      </w:r>
      <w:r>
        <w:rPr>
          <w:rFonts w:hint="eastAsia" w:ascii="仿宋_GB2312" w:eastAsia="仿宋_GB2312"/>
          <w:sz w:val="32"/>
          <w:szCs w:val="32"/>
        </w:rPr>
        <w:t>通过区政府官网、区融媒体中心发布平台</w:t>
      </w:r>
      <w:r>
        <w:rPr>
          <w:rFonts w:hint="eastAsia" w:ascii="仿宋_GB2312" w:eastAsia="仿宋_GB2312"/>
          <w:sz w:val="32"/>
          <w:szCs w:val="32"/>
          <w:lang w:eastAsia="zh-CN"/>
        </w:rPr>
        <w:t>两次</w:t>
      </w:r>
      <w:r>
        <w:rPr>
          <w:rFonts w:hint="eastAsia" w:ascii="仿宋_GB2312" w:eastAsia="仿宋_GB2312"/>
          <w:sz w:val="32"/>
          <w:szCs w:val="32"/>
        </w:rPr>
        <w:t>向社会发布</w:t>
      </w:r>
      <w:r>
        <w:rPr>
          <w:rFonts w:hint="eastAsia" w:ascii="仿宋_GB2312" w:eastAsia="仿宋_GB2312"/>
          <w:sz w:val="32"/>
          <w:szCs w:val="32"/>
          <w:lang w:eastAsia="zh-CN"/>
        </w:rPr>
        <w:t>公告</w:t>
      </w:r>
      <w:r>
        <w:rPr>
          <w:rFonts w:hint="eastAsia" w:ascii="仿宋_GB2312" w:eastAsia="仿宋_GB2312"/>
          <w:sz w:val="32"/>
          <w:szCs w:val="32"/>
        </w:rPr>
        <w:t>，</w:t>
      </w:r>
      <w:r>
        <w:rPr>
          <w:rFonts w:hint="eastAsia" w:ascii="仿宋_GB2312" w:eastAsia="仿宋_GB2312"/>
          <w:sz w:val="32"/>
          <w:szCs w:val="32"/>
          <w:lang w:eastAsia="zh-CN"/>
        </w:rPr>
        <w:t>开通</w:t>
      </w:r>
      <w:r>
        <w:rPr>
          <w:rFonts w:hint="eastAsia" w:ascii="仿宋_GB2312" w:eastAsia="仿宋_GB2312"/>
          <w:sz w:val="32"/>
          <w:szCs w:val="32"/>
        </w:rPr>
        <w:t>电信携程通信业务对1000余人</w:t>
      </w:r>
      <w:r>
        <w:rPr>
          <w:rFonts w:hint="eastAsia" w:ascii="仿宋_GB2312" w:eastAsia="仿宋_GB2312"/>
          <w:sz w:val="32"/>
          <w:szCs w:val="32"/>
          <w:lang w:eastAsia="zh-CN"/>
        </w:rPr>
        <w:t>进行短信告知，今年共完成社保补缴</w:t>
      </w:r>
      <w:r>
        <w:rPr>
          <w:rFonts w:hint="eastAsia" w:ascii="仿宋_GB2312" w:eastAsia="仿宋_GB2312"/>
          <w:sz w:val="32"/>
          <w:szCs w:val="32"/>
        </w:rPr>
        <w:t>226人。</w:t>
      </w:r>
    </w:p>
    <w:p>
      <w:pPr>
        <w:spacing w:line="540" w:lineRule="exact"/>
        <w:ind w:firstLine="643" w:firstLineChars="200"/>
        <w:outlineLvl w:val="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4.按要求完成年度移交安置任务。</w:t>
      </w:r>
      <w:r>
        <w:rPr>
          <w:rFonts w:hint="eastAsia" w:ascii="仿宋_GB2312" w:hAnsi="仿宋_GB2312" w:eastAsia="仿宋_GB2312" w:cs="仿宋_GB2312"/>
          <w:b w:val="0"/>
          <w:bCs w:val="0"/>
          <w:sz w:val="32"/>
          <w:szCs w:val="32"/>
          <w:lang w:val="en-US" w:eastAsia="zh-CN"/>
        </w:rPr>
        <w:t>调整制定了《望城区</w:t>
      </w:r>
      <w:r>
        <w:rPr>
          <w:rFonts w:hint="eastAsia" w:ascii="仿宋_GB2312" w:hAnsi="仿宋_GB2312" w:eastAsia="仿宋_GB2312" w:cs="仿宋_GB2312"/>
          <w:b w:val="0"/>
          <w:bCs w:val="0"/>
          <w:sz w:val="32"/>
          <w:szCs w:val="32"/>
        </w:rPr>
        <w:t>2019</w:t>
      </w:r>
      <w:r>
        <w:rPr>
          <w:rFonts w:hint="eastAsia" w:ascii="仿宋_GB2312" w:hAnsi="仿宋_GB2312" w:eastAsia="仿宋_GB2312" w:cs="仿宋_GB2312"/>
          <w:b w:val="0"/>
          <w:bCs w:val="0"/>
          <w:color w:val="000000" w:themeColor="text1"/>
          <w:sz w:val="32"/>
          <w:szCs w:val="32"/>
          <w14:textFill>
            <w14:solidFill>
              <w14:schemeClr w14:val="tx1"/>
            </w14:solidFill>
          </w14:textFill>
        </w:rPr>
        <w:t>年度</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退役</w:t>
      </w:r>
      <w:r>
        <w:rPr>
          <w:rFonts w:hint="eastAsia" w:ascii="仿宋_GB2312" w:hAnsi="仿宋_GB2312" w:eastAsia="仿宋_GB2312" w:cs="仿宋_GB2312"/>
          <w:b w:val="0"/>
          <w:bCs w:val="0"/>
          <w:color w:val="000000" w:themeColor="text1"/>
          <w:sz w:val="32"/>
          <w:szCs w:val="32"/>
          <w14:textFill>
            <w14:solidFill>
              <w14:schemeClr w14:val="tx1"/>
            </w14:solidFill>
          </w14:textFill>
        </w:rPr>
        <w:t>士</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兵</w:t>
      </w:r>
      <w:r>
        <w:rPr>
          <w:rFonts w:hint="eastAsia" w:ascii="仿宋_GB2312" w:hAnsi="仿宋_GB2312" w:eastAsia="仿宋_GB2312" w:cs="仿宋_GB2312"/>
          <w:b w:val="0"/>
          <w:bCs w:val="0"/>
          <w:color w:val="000000" w:themeColor="text1"/>
          <w:sz w:val="32"/>
          <w:szCs w:val="32"/>
          <w14:textFill>
            <w14:solidFill>
              <w14:schemeClr w14:val="tx1"/>
            </w14:solidFill>
          </w14:textFill>
        </w:rPr>
        <w:t>安置工作方案</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14:textFill>
            <w14:solidFill>
              <w14:schemeClr w14:val="tx1"/>
            </w14:solidFill>
          </w14:textFill>
        </w:rPr>
        <w:t>，并按照方案组织档案</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审查、量化计分、评分排序和选岗定岗，圆满完成</w:t>
      </w:r>
      <w:r>
        <w:rPr>
          <w:rFonts w:hint="eastAsia" w:ascii="仿宋_GB2312"/>
          <w:color w:val="000000"/>
        </w:rPr>
        <w:t>对我区接收安置的自主就业退役士兵发放一次性地方经济补助；对</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军转干部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和符合政府安排工作条件的退役士兵的安置任务</w:t>
      </w:r>
      <w:r>
        <w:rPr>
          <w:rFonts w:hint="eastAsia" w:hAnsi="仿宋_GB2312" w:cs="仿宋_GB2312"/>
          <w:color w:val="000000" w:themeColor="text1"/>
          <w:sz w:val="32"/>
          <w:szCs w:val="32"/>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firstLine="643" w:firstLineChars="200"/>
        <w:jc w:val="both"/>
        <w:textAlignment w:val="auto"/>
        <w:outlineLvl w:val="9"/>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二、履职效果情况</w:t>
      </w:r>
    </w:p>
    <w:p>
      <w:pPr>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firstLine="640" w:firstLineChars="200"/>
        <w:jc w:val="both"/>
        <w:textAlignment w:val="auto"/>
        <w:outlineLvl w:val="9"/>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pPr>
      <w:r>
        <w:rPr>
          <w:rFonts w:hint="eastAsia" w:hAnsi="仿宋_GB2312" w:cs="仿宋_GB2312"/>
          <w:i w:val="0"/>
          <w:caps w:val="0"/>
          <w:color w:val="000000" w:themeColor="text1"/>
          <w:spacing w:val="0"/>
          <w:sz w:val="32"/>
          <w:szCs w:val="32"/>
          <w:shd w:val="clear" w:fill="FFFFFF"/>
          <w:lang w:val="en-US" w:eastAsia="zh-CN"/>
          <w14:textFill>
            <w14:solidFill>
              <w14:schemeClr w14:val="tx1"/>
            </w14:solidFill>
          </w14:textFill>
        </w:rPr>
        <w:t>1、</w:t>
      </w:r>
      <w:r>
        <w:rPr>
          <w:rFonts w:hint="eastAsia" w:hAnsi="仿宋_GB2312" w:cs="仿宋_GB2312"/>
          <w:i w:val="0"/>
          <w:caps w:val="0"/>
          <w:color w:val="000000" w:themeColor="text1"/>
          <w:spacing w:val="0"/>
          <w:sz w:val="32"/>
          <w:szCs w:val="32"/>
          <w:shd w:val="clear" w:fill="FFFFFF"/>
          <w:lang w:eastAsia="zh-CN"/>
          <w14:textFill>
            <w14:solidFill>
              <w14:schemeClr w14:val="tx1"/>
            </w14:solidFill>
          </w14:textFill>
        </w:rPr>
        <w:t>在班子建设方面，一</w:t>
      </w:r>
      <w:r>
        <w:rPr>
          <w:rFonts w:hint="eastAsia" w:hAnsi="仿宋_GB2312" w:cs="仿宋_GB2312"/>
          <w:b w:val="0"/>
          <w:bCs w:val="0"/>
          <w:i w:val="0"/>
          <w:caps w:val="0"/>
          <w:color w:val="000000" w:themeColor="text1"/>
          <w:spacing w:val="0"/>
          <w:sz w:val="32"/>
          <w:szCs w:val="32"/>
          <w:shd w:val="clear" w:fill="FFFFFF"/>
          <w:lang w:eastAsia="zh-CN"/>
          <w14:textFill>
            <w14:solidFill>
              <w14:schemeClr w14:val="tx1"/>
            </w14:solidFill>
          </w14:textFill>
        </w:rPr>
        <w:t>是</w:t>
      </w:r>
      <w:r>
        <w:rPr>
          <w:rFonts w:hint="eastAsia" w:ascii="仿宋_GB2312" w:hAnsi="仿宋_GB2312" w:eastAsia="仿宋_GB2312" w:cs="仿宋_GB2312"/>
          <w:b w:val="0"/>
          <w:bCs w:val="0"/>
          <w:i w:val="0"/>
          <w:caps w:val="0"/>
          <w:color w:val="000000" w:themeColor="text1"/>
          <w:spacing w:val="0"/>
          <w:sz w:val="32"/>
          <w:szCs w:val="32"/>
          <w:shd w:val="clear" w:fill="FFFFFF"/>
          <w14:textFill>
            <w14:solidFill>
              <w14:schemeClr w14:val="tx1"/>
            </w14:solidFill>
          </w14:textFill>
        </w:rPr>
        <w:t>坚持学以致用，班子的工作能力和水平进一步提高。</w:t>
      </w:r>
      <w:r>
        <w:rPr>
          <w:rFonts w:hint="eastAsia" w:hAnsi="仿宋_GB2312" w:cs="仿宋_GB2312"/>
          <w:b w:val="0"/>
          <w:bCs w:val="0"/>
          <w:i w:val="0"/>
          <w:caps w:val="0"/>
          <w:color w:val="000000" w:themeColor="text1"/>
          <w:spacing w:val="0"/>
          <w:sz w:val="32"/>
          <w:szCs w:val="32"/>
          <w:shd w:val="clear" w:fill="FFFFFF"/>
          <w:lang w:eastAsia="zh-CN"/>
          <w14:textFill>
            <w14:solidFill>
              <w14:schemeClr w14:val="tx1"/>
            </w14:solidFill>
          </w14:textFill>
        </w:rPr>
        <w:t>二是</w:t>
      </w:r>
      <w:r>
        <w:rPr>
          <w:rFonts w:hint="eastAsia" w:ascii="仿宋_GB2312" w:hAnsi="仿宋_GB2312" w:eastAsia="仿宋_GB2312" w:cs="仿宋_GB2312"/>
          <w:b w:val="0"/>
          <w:bCs w:val="0"/>
          <w:i w:val="0"/>
          <w:caps w:val="0"/>
          <w:color w:val="000000" w:themeColor="text1"/>
          <w:spacing w:val="0"/>
          <w:sz w:val="32"/>
          <w:szCs w:val="32"/>
          <w:shd w:val="clear" w:fill="FFFFFF"/>
          <w14:textFill>
            <w14:solidFill>
              <w14:schemeClr w14:val="tx1"/>
            </w14:solidFill>
          </w14:textFill>
        </w:rPr>
        <w:t>坚持团结协作，班子的凝聚力和战斗力进一步增强。</w:t>
      </w:r>
      <w:r>
        <w:rPr>
          <w:rFonts w:hint="eastAsia" w:hAnsi="仿宋_GB2312" w:cs="仿宋_GB2312"/>
          <w:b w:val="0"/>
          <w:bCs w:val="0"/>
          <w:i w:val="0"/>
          <w:caps w:val="0"/>
          <w:color w:val="000000" w:themeColor="text1"/>
          <w:spacing w:val="0"/>
          <w:sz w:val="32"/>
          <w:szCs w:val="32"/>
          <w:shd w:val="clear" w:fill="FFFFFF"/>
          <w:lang w:eastAsia="zh-CN"/>
          <w14:textFill>
            <w14:solidFill>
              <w14:schemeClr w14:val="tx1"/>
            </w14:solidFill>
          </w14:textFill>
        </w:rPr>
        <w:t>三是</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坚持党建引领，班子的党</w:t>
      </w:r>
      <w:r>
        <w:rPr>
          <w:rFonts w:hint="eastAsia" w:ascii="仿宋_GB2312" w:hAnsi="仿宋_GB2312" w:eastAsia="仿宋_GB2312" w:cs="仿宋_GB2312"/>
          <w:b w:val="0"/>
          <w:bCs w:val="0"/>
          <w:sz w:val="32"/>
          <w:szCs w:val="32"/>
          <w:lang w:val="en-US" w:eastAsia="zh-CN"/>
        </w:rPr>
        <w:t>风廉政建设取得实效。</w:t>
      </w:r>
    </w:p>
    <w:p>
      <w:pPr>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hAnsi="仿宋_GB2312" w:cs="仿宋_GB2312"/>
          <w:b w:val="0"/>
          <w:bCs w:val="0"/>
          <w:color w:val="000000" w:themeColor="text1"/>
          <w:sz w:val="32"/>
          <w:szCs w:val="32"/>
          <w:lang w:val="en-US" w:eastAsia="zh-CN"/>
          <w14:textFill>
            <w14:solidFill>
              <w14:schemeClr w14:val="tx1"/>
            </w14:solidFill>
          </w14:textFill>
        </w:rPr>
        <w:t>2</w:t>
      </w:r>
      <w:r>
        <w:rPr>
          <w:rFonts w:hint="eastAsia" w:hAnsi="仿宋_GB2312" w:cs="仿宋_GB2312"/>
          <w:b/>
          <w:bCs/>
          <w:color w:val="000000" w:themeColor="text1"/>
          <w:sz w:val="32"/>
          <w:szCs w:val="32"/>
          <w:lang w:val="en-US" w:eastAsia="zh-CN"/>
          <w14:textFill>
            <w14:solidFill>
              <w14:schemeClr w14:val="tx1"/>
            </w14:solidFill>
          </w14:textFill>
        </w:rPr>
        <w:t>、</w:t>
      </w:r>
      <w:r>
        <w:rPr>
          <w:rFonts w:hint="eastAsia" w:hAnsi="仿宋_GB2312" w:cs="仿宋_GB2312"/>
          <w:b w:val="0"/>
          <w:bCs w:val="0"/>
          <w:color w:val="000000" w:themeColor="text1"/>
          <w:sz w:val="32"/>
          <w:szCs w:val="32"/>
          <w:lang w:val="en-US" w:eastAsia="zh-CN"/>
          <w14:textFill>
            <w14:solidFill>
              <w14:schemeClr w14:val="tx1"/>
            </w14:solidFill>
          </w14:textFill>
        </w:rPr>
        <w:t>在业务</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服务意识</w:t>
      </w:r>
      <w:r>
        <w:rPr>
          <w:rFonts w:hint="eastAsia" w:hAnsi="仿宋_GB2312" w:cs="仿宋_GB2312"/>
          <w:b w:val="0"/>
          <w:bCs w:val="0"/>
          <w:color w:val="000000" w:themeColor="text1"/>
          <w:sz w:val="32"/>
          <w:szCs w:val="32"/>
          <w:lang w:val="en-US" w:eastAsia="zh-CN"/>
          <w14:textFill>
            <w14:solidFill>
              <w14:schemeClr w14:val="tx1"/>
            </w14:solidFill>
          </w14:textFill>
        </w:rPr>
        <w:t>方面</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b w:val="0"/>
          <w:bCs w:val="0"/>
          <w:sz w:val="32"/>
          <w:szCs w:val="32"/>
          <w:lang w:val="en-US" w:eastAsia="zh-CN"/>
        </w:rPr>
        <w:t>落实各项优抚待遇及医疗政策。</w:t>
      </w:r>
      <w:r>
        <w:rPr>
          <w:rFonts w:hint="eastAsia" w:ascii="仿宋_GB2312" w:hAnsi="仿宋_GB2312" w:eastAsia="仿宋_GB2312" w:cs="仿宋_GB2312"/>
          <w:b w:val="0"/>
          <w:bCs w:val="0"/>
          <w:color w:val="auto"/>
          <w:sz w:val="32"/>
          <w:szCs w:val="32"/>
          <w:lang w:val="en-US" w:eastAsia="zh-CN"/>
        </w:rPr>
        <w:t>及时足额拨付</w:t>
      </w:r>
      <w:r>
        <w:rPr>
          <w:rFonts w:hint="eastAsia" w:hAnsi="仿宋_GB2312" w:cs="仿宋_GB2312"/>
          <w:b w:val="0"/>
          <w:bCs w:val="0"/>
          <w:color w:val="auto"/>
          <w:sz w:val="32"/>
          <w:szCs w:val="32"/>
          <w:lang w:val="en-US" w:eastAsia="zh-CN"/>
        </w:rPr>
        <w:t>2019年度</w:t>
      </w:r>
      <w:r>
        <w:rPr>
          <w:rFonts w:hint="eastAsia" w:ascii="仿宋_GB2312" w:hAnsi="仿宋_GB2312" w:eastAsia="仿宋_GB2312" w:cs="仿宋_GB2312"/>
          <w:b w:val="0"/>
          <w:bCs w:val="0"/>
          <w:color w:val="auto"/>
          <w:sz w:val="32"/>
          <w:szCs w:val="32"/>
          <w:lang w:val="en-US" w:eastAsia="zh-CN"/>
        </w:rPr>
        <w:t>各类优抚对象抚恤金</w:t>
      </w:r>
      <w:r>
        <w:rPr>
          <w:rFonts w:hint="eastAsia" w:hAnsi="仿宋_GB2312" w:cs="仿宋_GB2312"/>
          <w:b w:val="0"/>
          <w:bCs w:val="0"/>
          <w:color w:val="auto"/>
          <w:sz w:val="32"/>
          <w:szCs w:val="32"/>
          <w:lang w:val="en-US" w:eastAsia="zh-CN"/>
        </w:rPr>
        <w:t>，义务兵优待金</w:t>
      </w:r>
      <w:r>
        <w:rPr>
          <w:rFonts w:hint="eastAsia" w:ascii="仿宋_GB2312" w:hAnsi="仿宋_GB2312" w:eastAsia="仿宋_GB2312" w:cs="仿宋_GB2312"/>
          <w:b w:val="0"/>
          <w:bCs w:val="0"/>
          <w:sz w:val="32"/>
          <w:szCs w:val="32"/>
        </w:rPr>
        <w:t>及</w:t>
      </w:r>
      <w:r>
        <w:rPr>
          <w:rFonts w:hint="eastAsia" w:hAnsi="仿宋_GB2312" w:cs="仿宋_GB2312"/>
          <w:b w:val="0"/>
          <w:bCs w:val="0"/>
          <w:sz w:val="32"/>
          <w:szCs w:val="32"/>
          <w:lang w:eastAsia="zh-CN"/>
        </w:rPr>
        <w:t>退役士兵安置费</w:t>
      </w:r>
      <w:r>
        <w:rPr>
          <w:rFonts w:hint="eastAsia" w:ascii="仿宋_GB2312" w:hAnsi="仿宋_GB2312" w:eastAsia="仿宋_GB2312" w:cs="仿宋_GB2312"/>
          <w:b w:val="0"/>
          <w:bCs w:val="0"/>
          <w:color w:val="auto"/>
          <w:sz w:val="32"/>
          <w:szCs w:val="32"/>
          <w:lang w:val="en-US" w:eastAsia="zh-CN"/>
        </w:rPr>
        <w:t>。</w:t>
      </w:r>
      <w:r>
        <w:rPr>
          <w:rFonts w:hint="eastAsia" w:ascii="仿宋_GB2312" w:eastAsia="仿宋_GB2312"/>
          <w:sz w:val="32"/>
          <w:szCs w:val="32"/>
        </w:rPr>
        <w:t>严格</w:t>
      </w:r>
      <w:r>
        <w:rPr>
          <w:rFonts w:hint="eastAsia" w:ascii="仿宋_GB2312" w:eastAsia="仿宋_GB2312"/>
          <w:sz w:val="32"/>
          <w:szCs w:val="32"/>
          <w:lang w:eastAsia="zh-CN"/>
        </w:rPr>
        <w:t>落实重点优抚对象医疗保障政策，</w:t>
      </w:r>
      <w:r>
        <w:rPr>
          <w:rFonts w:hint="eastAsia" w:ascii="仿宋_GB2312" w:hAnsi="ˎ̥" w:eastAsia="仿宋_GB2312" w:cs="宋体"/>
          <w:color w:val="000000"/>
          <w:kern w:val="0"/>
          <w:sz w:val="32"/>
          <w:szCs w:val="32"/>
          <w:lang w:eastAsia="zh-CN"/>
        </w:rPr>
        <w:t>开展“关爱功臣、送医送药”下乡活动，发放药品</w:t>
      </w:r>
      <w:r>
        <w:rPr>
          <w:rFonts w:hint="eastAsia" w:ascii="仿宋_GB2312" w:hAnsi="ˎ̥" w:eastAsia="仿宋_GB2312" w:cs="宋体"/>
          <w:color w:val="000000"/>
          <w:kern w:val="0"/>
          <w:sz w:val="32"/>
          <w:szCs w:val="32"/>
          <w:lang w:val="en-US" w:eastAsia="zh-CN"/>
        </w:rPr>
        <w:t>38万元，</w:t>
      </w:r>
      <w:r>
        <w:rPr>
          <w:rFonts w:hint="eastAsia" w:ascii="仿宋_GB2312" w:hAnsi="ˎ̥" w:eastAsia="仿宋_GB2312" w:cs="宋体"/>
          <w:color w:val="000000"/>
          <w:kern w:val="0"/>
          <w:sz w:val="32"/>
          <w:szCs w:val="32"/>
        </w:rPr>
        <w:t>有力缓解了重点优抚对象看病难、看病贵以及因病返贫、因病致贫的现象。</w:t>
      </w:r>
      <w:r>
        <w:rPr>
          <w:rFonts w:hint="eastAsia" w:ascii="仿宋_GB2312" w:hAnsi="ˎ̥" w:eastAsia="仿宋_GB2312" w:cs="宋体"/>
          <w:color w:val="000000"/>
          <w:kern w:val="0"/>
          <w:sz w:val="32"/>
          <w:szCs w:val="32"/>
          <w:lang w:eastAsia="zh-CN"/>
        </w:rPr>
        <w:t>二</w:t>
      </w:r>
      <w:r>
        <w:rPr>
          <w:rFonts w:hint="eastAsia" w:ascii="仿宋_GB2312" w:hAnsi="ˎ̥" w:eastAsia="仿宋_GB2312" w:cs="宋体"/>
          <w:b/>
          <w:bCs/>
          <w:color w:val="000000"/>
          <w:kern w:val="0"/>
          <w:sz w:val="32"/>
          <w:szCs w:val="32"/>
          <w:lang w:eastAsia="zh-CN"/>
        </w:rPr>
        <w:t>是</w:t>
      </w:r>
      <w:r>
        <w:rPr>
          <w:rFonts w:hint="eastAsia" w:ascii="仿宋_GB2312" w:hAnsi="ˎ̥" w:eastAsia="仿宋_GB2312" w:cs="宋体"/>
          <w:b w:val="0"/>
          <w:bCs w:val="0"/>
          <w:color w:val="000000"/>
          <w:kern w:val="0"/>
          <w:sz w:val="32"/>
          <w:szCs w:val="32"/>
          <w:lang w:eastAsia="zh-CN"/>
        </w:rPr>
        <w:t>完成双拥设施建设。</w:t>
      </w:r>
      <w:r>
        <w:rPr>
          <w:rFonts w:hint="eastAsia" w:ascii="仿宋_GB2312" w:hAnsi="ˎ̥" w:eastAsia="仿宋_GB2312" w:cs="宋体"/>
          <w:color w:val="000000"/>
          <w:kern w:val="0"/>
          <w:sz w:val="32"/>
          <w:szCs w:val="32"/>
          <w:lang w:eastAsia="zh-CN"/>
        </w:rPr>
        <w:t>按照长沙市双拥模范城创建中</w:t>
      </w:r>
      <w:r>
        <w:rPr>
          <w:rFonts w:hint="eastAsia" w:ascii="仿宋_GB2312" w:hAnsi="仿宋_GB2312" w:eastAsia="仿宋_GB2312" w:cs="仿宋_GB2312"/>
          <w:sz w:val="32"/>
          <w:szCs w:val="32"/>
        </w:rPr>
        <w:t>打造“双拥一条街、标语一座桥、示范一个点”</w:t>
      </w:r>
      <w:r>
        <w:rPr>
          <w:rFonts w:hint="eastAsia" w:ascii="仿宋_GB2312" w:hAnsi="仿宋_GB2312" w:eastAsia="仿宋_GB2312" w:cs="仿宋_GB2312"/>
          <w:sz w:val="32"/>
          <w:szCs w:val="32"/>
          <w:lang w:eastAsia="zh-CN"/>
        </w:rPr>
        <w:t>要求，</w:t>
      </w:r>
      <w:r>
        <w:rPr>
          <w:rFonts w:hint="eastAsia" w:ascii="仿宋_GB2312" w:hAnsi="仿宋_GB2312" w:eastAsia="仿宋_GB2312" w:cs="仿宋_GB2312"/>
          <w:sz w:val="32"/>
          <w:szCs w:val="32"/>
        </w:rPr>
        <w:t>制定实施方案，安排双拥硬件设施建设资金95万元，在京珠复线跨高桥大道的跨线桥、雷锋路社区、雷锋公园等地</w:t>
      </w:r>
      <w:r>
        <w:rPr>
          <w:rFonts w:hint="eastAsia" w:ascii="仿宋_GB2312" w:hAnsi="仿宋_GB2312" w:eastAsia="仿宋_GB2312" w:cs="仿宋_GB2312"/>
          <w:sz w:val="32"/>
          <w:szCs w:val="32"/>
          <w:lang w:eastAsia="zh-CN"/>
        </w:rPr>
        <w:t>开展</w:t>
      </w:r>
      <w:r>
        <w:rPr>
          <w:rFonts w:hint="eastAsia" w:ascii="仿宋_GB2312" w:hAnsi="仿宋_GB2312" w:eastAsia="仿宋_GB2312" w:cs="仿宋_GB2312"/>
          <w:sz w:val="32"/>
          <w:szCs w:val="32"/>
        </w:rPr>
        <w:t>了双拥硬件设施建设，设置了双拥宣传栏、宣传标语，建设了以雷锋为主题的双拥广场</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b/>
          <w:bCs/>
          <w:sz w:val="32"/>
          <w:szCs w:val="32"/>
          <w:lang w:eastAsia="zh-CN"/>
        </w:rPr>
        <w:t>是</w:t>
      </w:r>
      <w:r>
        <w:rPr>
          <w:rFonts w:hint="eastAsia" w:ascii="仿宋_GB2312" w:hAnsi="仿宋_GB2312" w:eastAsia="仿宋_GB2312" w:cs="仿宋_GB2312"/>
          <w:b w:val="0"/>
          <w:bCs w:val="0"/>
          <w:sz w:val="32"/>
          <w:szCs w:val="32"/>
          <w:lang w:eastAsia="zh-CN"/>
        </w:rPr>
        <w:t>组织烈士</w:t>
      </w:r>
      <w:r>
        <w:rPr>
          <w:rFonts w:hint="eastAsia" w:ascii="仿宋_GB2312" w:hAnsi="仿宋_GB2312" w:eastAsia="仿宋_GB2312" w:cs="仿宋_GB2312"/>
          <w:b w:val="0"/>
          <w:bCs w:val="0"/>
          <w:sz w:val="32"/>
          <w:szCs w:val="32"/>
        </w:rPr>
        <w:t>祭扫活动</w:t>
      </w:r>
      <w:r>
        <w:rPr>
          <w:rFonts w:hint="eastAsia" w:ascii="仿宋_GB2312" w:hAnsi="仿宋_GB2312" w:eastAsia="仿宋_GB2312" w:cs="仿宋_GB2312"/>
          <w:b w:val="0"/>
          <w:bCs w:val="0"/>
          <w:sz w:val="32"/>
          <w:szCs w:val="32"/>
          <w:lang w:eastAsia="zh-CN"/>
        </w:rPr>
        <w:t>，保护烈士纪念设施。</w:t>
      </w:r>
      <w:r>
        <w:rPr>
          <w:rFonts w:hint="eastAsia" w:ascii="仿宋_GB2312" w:hAnsi="仿宋_GB2312" w:eastAsia="仿宋_GB2312" w:cs="仿宋_GB2312"/>
          <w:b w:val="0"/>
          <w:bCs w:val="0"/>
          <w:sz w:val="32"/>
          <w:szCs w:val="32"/>
          <w:lang w:val="en-US" w:eastAsia="zh-CN"/>
        </w:rPr>
        <w:t>9月30日烈士纪念日，组</w:t>
      </w:r>
      <w:r>
        <w:rPr>
          <w:rFonts w:hint="eastAsia" w:ascii="仿宋_GB2312" w:hAnsi="仿宋_GB2312" w:eastAsia="仿宋_GB2312" w:cs="仿宋_GB2312"/>
          <w:sz w:val="32"/>
          <w:szCs w:val="32"/>
          <w:lang w:val="en-US" w:eastAsia="zh-CN"/>
        </w:rPr>
        <w:t>织退役军人临时党支部党员、局机关全体党员干部</w:t>
      </w:r>
      <w:r>
        <w:rPr>
          <w:rFonts w:hint="eastAsia" w:ascii="仿宋_GB2312" w:hAnsi="仿宋_GB2312" w:eastAsia="仿宋_GB2312" w:cs="仿宋_GB2312"/>
          <w:b w:val="0"/>
          <w:bCs w:val="0"/>
          <w:sz w:val="32"/>
          <w:szCs w:val="32"/>
          <w:lang w:eastAsia="zh-CN"/>
        </w:rPr>
        <w:t>赴</w:t>
      </w:r>
      <w:r>
        <w:rPr>
          <w:rFonts w:hint="eastAsia" w:ascii="仿宋_GB2312" w:hAnsi="仿宋_GB2312" w:eastAsia="仿宋_GB2312" w:cs="仿宋_GB2312"/>
          <w:b w:val="0"/>
          <w:bCs w:val="0"/>
          <w:sz w:val="32"/>
          <w:szCs w:val="32"/>
          <w:lang w:val="en-US" w:eastAsia="zh-CN"/>
        </w:rPr>
        <w:t>郭亮烈士陵园、桥驿秘密电台缅怀革命先烈，接受革命精神洗礼，传承革命精神。</w:t>
      </w:r>
      <w:r>
        <w:rPr>
          <w:rFonts w:hint="eastAsia" w:ascii="仿宋_GB2312" w:hAnsi="仿宋_GB2312" w:eastAsia="仿宋_GB2312" w:cs="仿宋_GB2312"/>
          <w:b w:val="0"/>
          <w:bCs w:val="0"/>
          <w:sz w:val="32"/>
          <w:szCs w:val="32"/>
        </w:rPr>
        <w:t>对零散烈士纪念设施及就地保护的烈士墓进行</w:t>
      </w:r>
      <w:r>
        <w:rPr>
          <w:rFonts w:hint="eastAsia" w:ascii="仿宋_GB2312" w:hAnsi="仿宋_GB2312" w:eastAsia="仿宋_GB2312" w:cs="仿宋_GB2312"/>
          <w:b w:val="0"/>
          <w:bCs w:val="0"/>
          <w:sz w:val="32"/>
          <w:szCs w:val="32"/>
          <w:lang w:eastAsia="zh-CN"/>
        </w:rPr>
        <w:t>了</w:t>
      </w:r>
      <w:r>
        <w:rPr>
          <w:rFonts w:hint="eastAsia" w:ascii="仿宋_GB2312" w:hAnsi="仿宋_GB2312" w:eastAsia="仿宋_GB2312" w:cs="仿宋_GB2312"/>
          <w:b w:val="0"/>
          <w:bCs w:val="0"/>
          <w:sz w:val="32"/>
          <w:szCs w:val="32"/>
        </w:rPr>
        <w:t>跟踪管理</w:t>
      </w:r>
      <w:r>
        <w:rPr>
          <w:rFonts w:hint="eastAsia" w:ascii="仿宋_GB2312" w:hAnsi="仿宋_GB2312" w:cs="仿宋_GB2312"/>
          <w:b w:val="0"/>
          <w:bCs w:val="0"/>
          <w:sz w:val="32"/>
          <w:szCs w:val="32"/>
          <w:lang w:eastAsia="zh-CN"/>
        </w:rPr>
        <w:t>和</w:t>
      </w:r>
      <w:r>
        <w:rPr>
          <w:rFonts w:hint="eastAsia" w:ascii="仿宋_GB2312" w:hAnsi="仿宋_GB2312" w:eastAsia="仿宋_GB2312" w:cs="仿宋_GB2312"/>
          <w:b w:val="0"/>
          <w:bCs w:val="0"/>
          <w:sz w:val="32"/>
          <w:szCs w:val="32"/>
        </w:rPr>
        <w:t>保护</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b/>
          <w:bCs/>
          <w:color w:val="auto"/>
          <w:sz w:val="32"/>
          <w:szCs w:val="32"/>
          <w:lang w:val="en-US" w:eastAsia="zh-CN"/>
        </w:rPr>
        <w:t>是</w:t>
      </w:r>
      <w:r>
        <w:rPr>
          <w:rFonts w:hint="eastAsia" w:ascii="仿宋_GB2312" w:hAnsi="仿宋_GB2312" w:eastAsia="仿宋_GB2312" w:cs="仿宋_GB2312"/>
          <w:b w:val="0"/>
          <w:bCs w:val="0"/>
          <w:sz w:val="32"/>
          <w:szCs w:val="32"/>
          <w:lang w:val="en-US" w:eastAsia="zh-CN"/>
        </w:rPr>
        <w:t>开展“最美退役军人”先进典型选树活动。</w:t>
      </w:r>
      <w:r>
        <w:rPr>
          <w:rFonts w:hint="eastAsia" w:ascii="仿宋_GB2312" w:hAnsi="仿宋_GB2312" w:eastAsia="仿宋_GB2312" w:cs="仿宋_GB2312"/>
          <w:b w:val="0"/>
          <w:bCs w:val="0"/>
          <w:sz w:val="32"/>
          <w:szCs w:val="32"/>
          <w:lang w:eastAsia="zh-CN"/>
        </w:rPr>
        <w:t>按照中央、省、市，树立退役军人先进典型，引导退役军人自强不息、开拓奋进，为国家和家乡建设建功立业的指导思想，我局在全区开展了“最美退役军人”先进典型选树活动，经过推荐、申报、走访、考察，共评选出望城区内“最美退役军人”十名，并于</w:t>
      </w:r>
      <w:r>
        <w:rPr>
          <w:rFonts w:hint="eastAsia" w:ascii="仿宋_GB2312" w:hAnsi="仿宋_GB2312" w:eastAsia="仿宋_GB2312" w:cs="仿宋_GB2312"/>
          <w:b w:val="0"/>
          <w:bCs w:val="0"/>
          <w:sz w:val="32"/>
          <w:szCs w:val="32"/>
          <w:lang w:val="en-US" w:eastAsia="zh-CN"/>
        </w:rPr>
        <w:t>7月30日在雷锋大剧院组织了部分退役军人代表参加会议，反响良好，</w:t>
      </w:r>
      <w:r>
        <w:rPr>
          <w:rFonts w:hint="eastAsia" w:ascii="仿宋_GB2312" w:hAnsi="仿宋_GB2312" w:eastAsia="仿宋_GB2312" w:cs="仿宋_GB2312"/>
          <w:b w:val="0"/>
          <w:bCs w:val="0"/>
          <w:sz w:val="32"/>
          <w:szCs w:val="32"/>
          <w:lang w:eastAsia="zh-CN"/>
        </w:rPr>
        <w:t>弘扬了时代主旋律，彰显了新时代退役军人转岗不转志的良好精神风貌。</w:t>
      </w:r>
      <w:r>
        <w:rPr>
          <w:rFonts w:hint="eastAsia" w:ascii="仿宋_GB2312" w:hAnsi="仿宋_GB2312" w:eastAsia="仿宋_GB2312" w:cs="仿宋_GB2312"/>
          <w:b w:val="0"/>
          <w:bCs w:val="0"/>
          <w:sz w:val="32"/>
          <w:szCs w:val="32"/>
          <w:lang w:val="en-US" w:eastAsia="zh-CN"/>
        </w:rPr>
        <w:t>同时，我区推荐的</w:t>
      </w:r>
      <w:r>
        <w:rPr>
          <w:rFonts w:hint="eastAsia" w:ascii="仿宋_GB2312" w:hAnsi="仿宋_GB2312" w:eastAsia="仿宋_GB2312" w:cs="仿宋_GB2312"/>
          <w:b w:val="0"/>
          <w:bCs w:val="0"/>
          <w:sz w:val="32"/>
          <w:szCs w:val="32"/>
          <w:lang w:eastAsia="zh-CN"/>
        </w:rPr>
        <w:t>靖港镇福塘村曾俊杰同志光荣入选全省“模范退役军人”和全市“最美退役军人”。</w:t>
      </w:r>
      <w:r>
        <w:rPr>
          <w:rFonts w:hint="eastAsia" w:ascii="仿宋_GB2312" w:hAnsi="仿宋_GB2312" w:eastAsia="仿宋_GB2312" w:cs="仿宋_GB2312"/>
          <w:b/>
          <w:bCs/>
          <w:sz w:val="32"/>
          <w:szCs w:val="32"/>
          <w:lang w:eastAsia="zh-CN"/>
        </w:rPr>
        <w:t>五是</w:t>
      </w:r>
      <w:r>
        <w:rPr>
          <w:rFonts w:hint="eastAsia" w:ascii="仿宋_GB2312" w:hAnsi="仿宋_GB2312" w:eastAsia="仿宋_GB2312" w:cs="仿宋_GB2312"/>
          <w:b w:val="0"/>
          <w:bCs w:val="0"/>
          <w:sz w:val="32"/>
          <w:szCs w:val="32"/>
          <w:lang w:eastAsia="zh-CN"/>
        </w:rPr>
        <w:t>春节、</w:t>
      </w:r>
      <w:r>
        <w:rPr>
          <w:rFonts w:hint="eastAsia" w:ascii="仿宋_GB2312" w:hAnsi="仿宋_GB2312" w:eastAsia="仿宋_GB2312" w:cs="仿宋_GB2312"/>
          <w:b w:val="0"/>
          <w:bCs w:val="0"/>
          <w:sz w:val="32"/>
          <w:szCs w:val="32"/>
          <w:lang w:val="en-US" w:eastAsia="zh-CN"/>
        </w:rPr>
        <w:t>八一、抗战纪念日、国庆70周年庆典开展走访慰问。为在全区营造尊崇军人，关爱退役军人制造了良好氛围，安排慰问资金6</w:t>
      </w:r>
      <w:r>
        <w:rPr>
          <w:rFonts w:hint="eastAsia" w:hAnsi="仿宋_GB2312" w:cs="仿宋_GB2312"/>
          <w:b w:val="0"/>
          <w:bCs w:val="0"/>
          <w:sz w:val="32"/>
          <w:szCs w:val="32"/>
          <w:lang w:val="en-US" w:eastAsia="zh-CN"/>
        </w:rPr>
        <w:t>00</w:t>
      </w:r>
      <w:r>
        <w:rPr>
          <w:rFonts w:hint="eastAsia" w:ascii="仿宋_GB2312" w:hAnsi="仿宋_GB2312" w:eastAsia="仿宋_GB2312" w:cs="仿宋_GB2312"/>
          <w:b w:val="0"/>
          <w:bCs w:val="0"/>
          <w:sz w:val="32"/>
          <w:szCs w:val="32"/>
          <w:lang w:val="en-US" w:eastAsia="zh-CN"/>
        </w:rPr>
        <w:t>万元，慰问信30000份，在春节、八一、抗战纪念日和国庆期间对贫困退役军人、抗战老兵、残疾军人、三属人员等进行走访慰问。国庆70周年之际，为</w:t>
      </w:r>
      <w:r>
        <w:rPr>
          <w:rFonts w:hint="eastAsia" w:hAnsi="仿宋_GB2312" w:cs="仿宋_GB2312"/>
          <w:b w:val="0"/>
          <w:bCs w:val="0"/>
          <w:sz w:val="32"/>
          <w:szCs w:val="32"/>
          <w:lang w:val="en-US" w:eastAsia="zh-CN"/>
        </w:rPr>
        <w:t>中华人民共和国成立</w:t>
      </w:r>
      <w:r>
        <w:rPr>
          <w:rFonts w:hint="eastAsia" w:ascii="仿宋_GB2312" w:hAnsi="仿宋_GB2312" w:eastAsia="仿宋_GB2312" w:cs="仿宋_GB2312"/>
          <w:b w:val="0"/>
          <w:bCs w:val="0"/>
          <w:sz w:val="32"/>
          <w:szCs w:val="32"/>
          <w:lang w:val="en-US" w:eastAsia="zh-CN"/>
        </w:rPr>
        <w:t>前参加革命工作的老战士配戴“庆祝中华人民共和国成立70周年”纪念章，让拥军优属、拥政爱民思想深入人心。</w:t>
      </w:r>
      <w:r>
        <w:rPr>
          <w:rFonts w:hint="eastAsia" w:ascii="仿宋_GB2312" w:hAnsi="仿宋_GB2312" w:eastAsia="仿宋_GB2312" w:cs="仿宋_GB2312"/>
          <w:b/>
          <w:bCs/>
          <w:sz w:val="32"/>
          <w:szCs w:val="32"/>
          <w:lang w:val="en-US" w:eastAsia="zh-CN"/>
        </w:rPr>
        <w:t>六是</w:t>
      </w:r>
      <w:r>
        <w:rPr>
          <w:rFonts w:hint="eastAsia" w:ascii="仿宋_GB2312" w:hAnsi="仿宋_GB2312" w:eastAsia="仿宋_GB2312" w:cs="仿宋_GB2312"/>
          <w:b w:val="0"/>
          <w:bCs w:val="0"/>
          <w:sz w:val="32"/>
          <w:szCs w:val="32"/>
          <w:lang w:val="en-US" w:eastAsia="zh-CN"/>
        </w:rPr>
        <w:t>开展退役军人就业帮扶、培训与专场招聘。今年10月，我局联合区</w:t>
      </w:r>
      <w:r>
        <w:rPr>
          <w:rFonts w:hint="eastAsia" w:ascii="仿宋_GB2312" w:hAnsi="仿宋_GB2312" w:eastAsia="仿宋_GB2312" w:cs="仿宋_GB2312"/>
          <w:b w:val="0"/>
          <w:bCs w:val="0"/>
          <w:sz w:val="32"/>
          <w:szCs w:val="32"/>
        </w:rPr>
        <w:t>人社局</w:t>
      </w:r>
      <w:r>
        <w:rPr>
          <w:rFonts w:hint="eastAsia" w:ascii="仿宋_GB2312" w:hAnsi="仿宋_GB2312" w:eastAsia="仿宋_GB2312" w:cs="仿宋_GB2312"/>
          <w:b w:val="0"/>
          <w:bCs w:val="0"/>
          <w:sz w:val="32"/>
          <w:szCs w:val="32"/>
          <w:lang w:eastAsia="zh-CN"/>
        </w:rPr>
        <w:t>、经开区产业发展局</w:t>
      </w:r>
      <w:r>
        <w:rPr>
          <w:rFonts w:hint="eastAsia" w:ascii="仿宋_GB2312" w:hAnsi="仿宋_GB2312" w:eastAsia="仿宋_GB2312" w:cs="仿宋_GB2312"/>
          <w:b w:val="0"/>
          <w:bCs w:val="0"/>
          <w:sz w:val="32"/>
          <w:szCs w:val="32"/>
        </w:rPr>
        <w:t>在正荣财富中心广场联合</w:t>
      </w:r>
      <w:r>
        <w:rPr>
          <w:rFonts w:hint="eastAsia" w:ascii="仿宋_GB2312" w:hAnsi="仿宋_GB2312" w:eastAsia="仿宋_GB2312" w:cs="仿宋_GB2312"/>
          <w:b w:val="0"/>
          <w:bCs w:val="0"/>
          <w:sz w:val="32"/>
          <w:szCs w:val="32"/>
          <w:lang w:eastAsia="zh-CN"/>
        </w:rPr>
        <w:t>举</w:t>
      </w:r>
      <w:r>
        <w:rPr>
          <w:rFonts w:hint="eastAsia" w:ascii="仿宋_GB2312" w:hAnsi="仿宋_GB2312" w:eastAsia="仿宋_GB2312" w:cs="仿宋_GB2312"/>
          <w:b w:val="0"/>
          <w:bCs w:val="0"/>
          <w:sz w:val="32"/>
          <w:szCs w:val="32"/>
        </w:rPr>
        <w:t>办</w:t>
      </w:r>
      <w:r>
        <w:rPr>
          <w:rFonts w:hint="eastAsia" w:ascii="仿宋_GB2312" w:hAnsi="仿宋_GB2312" w:eastAsia="仿宋_GB2312" w:cs="仿宋_GB2312"/>
          <w:b w:val="0"/>
          <w:bCs w:val="0"/>
          <w:sz w:val="32"/>
          <w:szCs w:val="32"/>
          <w:lang w:eastAsia="zh-CN"/>
        </w:rPr>
        <w:t>“相约雷锋家乡，共建名望之城”</w:t>
      </w:r>
      <w:r>
        <w:rPr>
          <w:rFonts w:hint="eastAsia" w:ascii="仿宋_GB2312" w:hAnsi="仿宋_GB2312" w:eastAsia="仿宋_GB2312" w:cs="仿宋_GB2312"/>
          <w:b w:val="0"/>
          <w:bCs w:val="0"/>
          <w:sz w:val="32"/>
          <w:szCs w:val="32"/>
          <w:lang w:val="en-US" w:eastAsia="zh-CN"/>
        </w:rPr>
        <w:t>2019</w:t>
      </w:r>
      <w:r>
        <w:rPr>
          <w:rFonts w:hint="eastAsia" w:ascii="仿宋_GB2312" w:hAnsi="仿宋_GB2312" w:eastAsia="仿宋_GB2312" w:cs="仿宋_GB2312"/>
          <w:b w:val="0"/>
          <w:bCs w:val="0"/>
          <w:sz w:val="32"/>
          <w:szCs w:val="32"/>
        </w:rPr>
        <w:t>年望城区退役军人专场招聘暨技能培训会，组织区内</w:t>
      </w:r>
      <w:r>
        <w:rPr>
          <w:rFonts w:hint="eastAsia" w:ascii="仿宋_GB2312" w:hAnsi="仿宋_GB2312" w:eastAsia="仿宋_GB2312" w:cs="仿宋_GB2312"/>
          <w:b w:val="0"/>
          <w:bCs w:val="0"/>
          <w:sz w:val="32"/>
          <w:szCs w:val="32"/>
          <w:lang w:val="en-US" w:eastAsia="zh-CN"/>
        </w:rPr>
        <w:t>150</w:t>
      </w:r>
      <w:r>
        <w:rPr>
          <w:rFonts w:hint="eastAsia" w:ascii="仿宋_GB2312" w:hAnsi="仿宋_GB2312" w:eastAsia="仿宋_GB2312" w:cs="仿宋_GB2312"/>
          <w:b w:val="0"/>
          <w:bCs w:val="0"/>
          <w:sz w:val="32"/>
          <w:szCs w:val="32"/>
        </w:rPr>
        <w:t>多家大型企业为退役军人提供优质就业岗位</w:t>
      </w:r>
      <w:r>
        <w:rPr>
          <w:rFonts w:hint="eastAsia" w:ascii="仿宋_GB2312" w:hAnsi="仿宋_GB2312" w:eastAsia="仿宋_GB2312" w:cs="仿宋_GB2312"/>
          <w:b w:val="0"/>
          <w:bCs w:val="0"/>
          <w:sz w:val="32"/>
          <w:szCs w:val="32"/>
          <w:lang w:eastAsia="zh-CN"/>
        </w:rPr>
        <w:t>，达成就业意</w:t>
      </w:r>
      <w:r>
        <w:rPr>
          <w:rFonts w:hint="eastAsia" w:ascii="仿宋_GB2312" w:hAnsi="仿宋_GB2312" w:eastAsia="仿宋_GB2312" w:cs="仿宋_GB2312"/>
          <w:sz w:val="32"/>
          <w:szCs w:val="32"/>
          <w:lang w:eastAsia="zh-CN"/>
        </w:rPr>
        <w:t>向</w:t>
      </w:r>
      <w:r>
        <w:rPr>
          <w:rFonts w:hint="eastAsia" w:ascii="仿宋_GB2312" w:hAnsi="仿宋_GB2312" w:eastAsia="仿宋_GB2312" w:cs="仿宋_GB2312"/>
          <w:sz w:val="32"/>
          <w:szCs w:val="32"/>
          <w:lang w:val="en-US" w:eastAsia="zh-CN"/>
        </w:rPr>
        <w:t>256人。</w:t>
      </w:r>
      <w:r>
        <w:rPr>
          <w:rFonts w:hint="eastAsia" w:ascii="仿宋_GB2312" w:hAnsi="仿宋_GB2312" w:eastAsia="仿宋_GB2312" w:cs="仿宋_GB2312"/>
          <w:sz w:val="32"/>
          <w:szCs w:val="32"/>
        </w:rPr>
        <w:t>组织培训机构对有培训意愿的退役军人提供免费技能培训和创业培训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帮助他们提升就业能力。</w:t>
      </w:r>
      <w:r>
        <w:rPr>
          <w:rFonts w:hint="eastAsia" w:ascii="仿宋_GB2312" w:hAnsi="仿宋_GB2312" w:eastAsia="仿宋_GB2312" w:cs="仿宋_GB2312"/>
          <w:sz w:val="32"/>
          <w:szCs w:val="32"/>
          <w:lang w:eastAsia="zh-CN"/>
        </w:rPr>
        <w:t>对</w:t>
      </w:r>
      <w:r>
        <w:rPr>
          <w:rFonts w:hint="eastAsia" w:ascii="仿宋_GB2312" w:hAnsi="仿宋_GB2312" w:eastAsia="仿宋_GB2312" w:cs="仿宋_GB2312"/>
          <w:sz w:val="32"/>
          <w:szCs w:val="32"/>
        </w:rPr>
        <w:t>40余名下岗失业志愿</w:t>
      </w:r>
      <w:r>
        <w:rPr>
          <w:rFonts w:hint="eastAsia" w:ascii="仿宋_GB2312" w:hAnsi="仿宋_GB2312" w:eastAsia="仿宋_GB2312" w:cs="仿宋_GB2312"/>
          <w:sz w:val="32"/>
          <w:szCs w:val="32"/>
          <w:lang w:eastAsia="zh-CN"/>
        </w:rPr>
        <w:t>兵实施</w:t>
      </w:r>
      <w:r>
        <w:rPr>
          <w:rFonts w:hint="eastAsia" w:ascii="仿宋_GB2312" w:hAnsi="仿宋_GB2312" w:eastAsia="仿宋_GB2312" w:cs="仿宋_GB2312"/>
          <w:sz w:val="32"/>
          <w:szCs w:val="32"/>
        </w:rPr>
        <w:t>生活解困和再就业帮扶。</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hAnsi="仿宋_GB2312" w:cs="仿宋_GB2312"/>
          <w:b/>
          <w:bCs/>
          <w:sz w:val="32"/>
          <w:szCs w:val="32"/>
          <w:lang w:val="en-US" w:eastAsia="zh-CN"/>
        </w:rPr>
        <w:t>3、</w:t>
      </w:r>
      <w:r>
        <w:rPr>
          <w:rFonts w:hint="eastAsia" w:hAnsi="仿宋_GB2312" w:cs="仿宋_GB2312"/>
          <w:b w:val="0"/>
          <w:bCs w:val="0"/>
          <w:sz w:val="32"/>
          <w:szCs w:val="32"/>
          <w:lang w:val="en-US" w:eastAsia="zh-CN"/>
        </w:rPr>
        <w:t>在</w:t>
      </w:r>
      <w:r>
        <w:rPr>
          <w:rFonts w:hint="eastAsia" w:ascii="仿宋_GB2312" w:hAnsi="仿宋_GB2312" w:eastAsia="仿宋_GB2312" w:cs="仿宋_GB2312"/>
          <w:b w:val="0"/>
          <w:bCs w:val="0"/>
          <w:sz w:val="32"/>
          <w:szCs w:val="32"/>
          <w:lang w:val="en-US" w:eastAsia="zh-CN"/>
        </w:rPr>
        <w:t>来访诉求</w:t>
      </w:r>
      <w:r>
        <w:rPr>
          <w:rFonts w:hint="eastAsia" w:hAnsi="仿宋_GB2312" w:cs="仿宋_GB2312"/>
          <w:b w:val="0"/>
          <w:bCs w:val="0"/>
          <w:sz w:val="32"/>
          <w:szCs w:val="32"/>
          <w:lang w:val="en-US" w:eastAsia="zh-CN"/>
        </w:rPr>
        <w:t>方面</w:t>
      </w:r>
      <w:r>
        <w:rPr>
          <w:rFonts w:hint="eastAsia" w:ascii="仿宋_GB2312" w:hAnsi="仿宋_GB2312" w:eastAsia="仿宋_GB2312" w:cs="仿宋_GB2312"/>
          <w:b w:val="0"/>
          <w:bCs w:val="0"/>
          <w:sz w:val="32"/>
          <w:szCs w:val="32"/>
          <w:lang w:val="en-US" w:eastAsia="zh-CN"/>
        </w:rPr>
        <w:t>，推进信访积案化解取得实效</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val="0"/>
          <w:bCs w:val="0"/>
          <w:sz w:val="32"/>
          <w:szCs w:val="32"/>
          <w:lang w:val="en-US" w:eastAsia="zh-CN"/>
        </w:rPr>
        <w:t>我局制定措施分类解决退役军人来访问题。</w:t>
      </w:r>
      <w:r>
        <w:rPr>
          <w:rFonts w:hint="eastAsia" w:ascii="仿宋_GB2312" w:hAnsi="仿宋_GB2312" w:eastAsia="仿宋_GB2312" w:cs="仿宋_GB2312"/>
          <w:b w:val="0"/>
          <w:bCs w:val="0"/>
          <w:sz w:val="32"/>
          <w:szCs w:val="32"/>
          <w:lang w:eastAsia="zh-CN"/>
        </w:rPr>
        <w:t>一是</w:t>
      </w:r>
      <w:r>
        <w:rPr>
          <w:rFonts w:hint="eastAsia" w:hAnsi="仿宋_GB2312" w:cs="仿宋_GB2312"/>
          <w:b w:val="0"/>
          <w:bCs w:val="0"/>
          <w:sz w:val="32"/>
          <w:szCs w:val="32"/>
          <w:lang w:eastAsia="zh-CN"/>
        </w:rPr>
        <w:t>帮助</w:t>
      </w:r>
      <w:r>
        <w:rPr>
          <w:rFonts w:hint="eastAsia" w:ascii="仿宋_GB2312" w:hAnsi="仿宋_GB2312" w:eastAsia="仿宋_GB2312" w:cs="仿宋_GB2312"/>
          <w:b w:val="0"/>
          <w:bCs w:val="0"/>
          <w:sz w:val="32"/>
          <w:szCs w:val="32"/>
          <w:lang w:eastAsia="zh-CN"/>
        </w:rPr>
        <w:t>拓宽就业渠道，；二是加大对生活困难群体的解困力度，解决生活难题；三是帮助符合参保条件的进行参保。</w:t>
      </w:r>
      <w:r>
        <w:rPr>
          <w:rFonts w:hint="eastAsia" w:ascii="仿宋_GB2312" w:hAnsi="仿宋_GB2312" w:eastAsia="仿宋_GB2312" w:cs="仿宋_GB2312"/>
          <w:b w:val="0"/>
          <w:bCs w:val="0"/>
          <w:sz w:val="32"/>
          <w:szCs w:val="32"/>
          <w:lang w:val="en-US" w:eastAsia="zh-CN"/>
        </w:rPr>
        <w:t>这些措施的施行切实解决了退役军人的困难，上访情况明显减少。</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3" w:firstLineChars="200"/>
        <w:jc w:val="left"/>
        <w:textAlignment w:val="auto"/>
        <w:outlineLvl w:val="9"/>
        <w:rPr>
          <w:rFonts w:hint="eastAsia" w:hAnsi="仿宋_GB2312" w:cs="仿宋_GB2312"/>
          <w:b/>
          <w:bCs/>
          <w:color w:val="000000" w:themeColor="text1"/>
          <w:sz w:val="32"/>
          <w:szCs w:val="32"/>
          <w:lang w:eastAsia="zh-CN"/>
          <w14:textFill>
            <w14:solidFill>
              <w14:schemeClr w14:val="tx1"/>
            </w14:solidFill>
          </w14:textFill>
        </w:rPr>
      </w:pPr>
      <w:r>
        <w:rPr>
          <w:rFonts w:hint="eastAsia" w:hAnsi="仿宋_GB2312" w:cs="仿宋_GB2312"/>
          <w:b/>
          <w:bCs/>
          <w:color w:val="000000" w:themeColor="text1"/>
          <w:sz w:val="32"/>
          <w:szCs w:val="32"/>
          <w:lang w:eastAsia="zh-CN"/>
          <w14:textFill>
            <w14:solidFill>
              <w14:schemeClr w14:val="tx1"/>
            </w14:solidFill>
          </w14:textFill>
        </w:rPr>
        <w:t>三、社会满意度情况</w:t>
      </w:r>
    </w:p>
    <w:p>
      <w:pPr>
        <w:widowControl w:val="0"/>
        <w:numPr>
          <w:ilvl w:val="0"/>
          <w:numId w:val="0"/>
        </w:numPr>
        <w:ind w:firstLine="640" w:firstLineChars="200"/>
        <w:jc w:val="both"/>
        <w:outlineLvl w:val="0"/>
        <w:rPr>
          <w:rFonts w:hint="eastAsia" w:ascii="仿宋_GB2312"/>
          <w:b w:val="0"/>
          <w:bCs w:val="0"/>
          <w:color w:val="000000"/>
        </w:rPr>
      </w:pPr>
      <w:r>
        <w:rPr>
          <w:rFonts w:hint="eastAsia" w:hAnsi="ˎ̥" w:cs="宋体"/>
          <w:color w:val="000000"/>
          <w:kern w:val="0"/>
          <w:sz w:val="32"/>
          <w:szCs w:val="32"/>
          <w:lang w:eastAsia="zh-CN"/>
        </w:rPr>
        <w:t>望城区退役军人事务局自成立以来，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我们将</w:t>
      </w:r>
      <w:r>
        <w:rPr>
          <w:rFonts w:hint="eastAsia" w:ascii="仿宋_GB2312" w:hAnsi="仿宋_GB2312" w:eastAsia="仿宋_GB2312" w:cs="仿宋_GB2312"/>
          <w:color w:val="000000" w:themeColor="text1"/>
          <w:sz w:val="32"/>
          <w:szCs w:val="32"/>
          <w14:textFill>
            <w14:solidFill>
              <w14:schemeClr w14:val="tx1"/>
            </w14:solidFill>
          </w14:textFill>
        </w:rPr>
        <w:t>以习近平新时代中国特色社会主义思想为指导，</w:t>
      </w:r>
      <w:r>
        <w:rPr>
          <w:rFonts w:hint="eastAsia" w:ascii="仿宋_GB2312" w:eastAsia="仿宋_GB2312"/>
          <w:color w:val="000000" w:themeColor="text1"/>
          <w:sz w:val="32"/>
          <w:szCs w:val="32"/>
          <w14:textFill>
            <w14:solidFill>
              <w14:schemeClr w14:val="tx1"/>
            </w14:solidFill>
          </w14:textFill>
        </w:rPr>
        <w:t>深入贯彻习近平总书记关于退役军人工作重要论述精神，</w:t>
      </w:r>
      <w:r>
        <w:rPr>
          <w:rFonts w:hint="eastAsia" w:ascii="仿宋_GB2312" w:hAnsi="仿宋_GB2312" w:eastAsia="仿宋_GB2312" w:cs="仿宋_GB2312"/>
          <w:color w:val="000000" w:themeColor="text1"/>
          <w:sz w:val="32"/>
          <w:szCs w:val="32"/>
          <w14:textFill>
            <w14:solidFill>
              <w14:schemeClr w14:val="tx1"/>
            </w14:solidFill>
          </w14:textFill>
        </w:rPr>
        <w:t>牢固树立“四个意识”，坚定“四个自信”，做</w:t>
      </w:r>
      <w:r>
        <w:rPr>
          <w:rFonts w:hint="eastAsia" w:ascii="仿宋_GB2312" w:hAnsi="仿宋_GB2312" w:eastAsia="仿宋_GB2312" w:cs="仿宋_GB2312"/>
          <w:color w:val="000000" w:themeColor="text1"/>
          <w:sz w:val="32"/>
          <w:szCs w:val="32"/>
          <w:lang w:eastAsia="zh-CN"/>
          <w14:textFill>
            <w14:solidFill>
              <w14:schemeClr w14:val="tx1"/>
            </w14:solidFill>
          </w14:textFill>
        </w:rPr>
        <w:t>到</w:t>
      </w:r>
      <w:r>
        <w:rPr>
          <w:rFonts w:hint="eastAsia" w:ascii="仿宋_GB2312" w:hAnsi="仿宋_GB2312" w:eastAsia="仿宋_GB2312" w:cs="仿宋_GB2312"/>
          <w:color w:val="000000" w:themeColor="text1"/>
          <w:sz w:val="32"/>
          <w:szCs w:val="32"/>
          <w14:textFill>
            <w14:solidFill>
              <w14:schemeClr w14:val="tx1"/>
            </w14:solidFill>
          </w14:textFill>
        </w:rPr>
        <w:t>“两个维护”，围绕</w:t>
      </w:r>
      <w:r>
        <w:rPr>
          <w:rFonts w:hint="eastAsia" w:ascii="仿宋_GB2312" w:hAnsi="仿宋_GB2312" w:eastAsia="仿宋_GB2312" w:cs="仿宋_GB2312"/>
          <w:color w:val="000000" w:themeColor="text1"/>
          <w:sz w:val="32"/>
          <w:szCs w:val="32"/>
          <w:lang w:eastAsia="zh-CN"/>
          <w14:textFill>
            <w14:solidFill>
              <w14:schemeClr w14:val="tx1"/>
            </w14:solidFill>
          </w14:textFill>
        </w:rPr>
        <w:t>双拥模范城创建、退役军人就业创业指导两项重点</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维护军人军属合法权益，为退役军人提供优</w:t>
      </w:r>
      <w:r>
        <w:rPr>
          <w:rFonts w:hint="eastAsia" w:ascii="仿宋_GB2312" w:hAnsi="仿宋_GB2312" w:eastAsia="仿宋_GB2312" w:cs="仿宋_GB2312"/>
          <w:color w:val="000000"/>
          <w:sz w:val="32"/>
          <w:szCs w:val="32"/>
          <w:lang w:eastAsia="zh-CN"/>
        </w:rPr>
        <w:t>质服务，让军人成为全社会尊崇的职业。</w:t>
      </w:r>
      <w:r>
        <w:rPr>
          <w:rFonts w:hint="eastAsia" w:ascii="仿宋_GB2312"/>
          <w:b w:val="0"/>
          <w:bCs w:val="0"/>
          <w:color w:val="000000"/>
          <w:lang w:val="en-US" w:eastAsia="zh-CN"/>
        </w:rPr>
        <w:t xml:space="preserve">  体现党和政府对退役军人的关爱，维护其权益。关爱工程切实为其做好保障工作；弘扬民族优良传统，维护社会稳定，促进和谐</w:t>
      </w:r>
      <w:r>
        <w:rPr>
          <w:rFonts w:hint="eastAsia"/>
          <w:b w:val="0"/>
          <w:bCs w:val="0"/>
          <w:color w:val="000000"/>
          <w:lang w:val="en-US" w:eastAsia="zh-CN"/>
        </w:rPr>
        <w:t>。</w:t>
      </w: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六</w:t>
      </w:r>
      <w:r>
        <w:rPr>
          <w:rFonts w:ascii="Times New Roman" w:hAnsi="Times New Roman" w:eastAsia="黑体"/>
          <w:sz w:val="30"/>
        </w:rPr>
        <w:t>、部门（单位）整体支出绩效中存在问题及改进措施</w:t>
      </w:r>
    </w:p>
    <w:p>
      <w:pPr>
        <w:spacing w:line="600" w:lineRule="exact"/>
        <w:ind w:firstLine="600" w:firstLineChars="200"/>
        <w:rPr>
          <w:rFonts w:ascii="Times New Roman" w:hAnsi="Times New Roman"/>
          <w:sz w:val="30"/>
          <w:highlight w:val="none"/>
        </w:rPr>
      </w:pPr>
      <w:r>
        <w:rPr>
          <w:rFonts w:ascii="Times New Roman" w:hAnsi="Times New Roman"/>
          <w:sz w:val="30"/>
          <w:highlight w:val="none"/>
        </w:rPr>
        <w:t>（一）主要问题及原因分析</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回顾一年来的工作，尽管取得了一定成绩，但仍然存在不少困难和问题。</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eastAsia="仿宋_GB2312" w:cs="仿宋_GB2312"/>
          <w:b w:val="0"/>
          <w:bCs w:val="0"/>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lang w:eastAsia="zh-CN"/>
          <w14:textFill>
            <w14:solidFill>
              <w14:schemeClr w14:val="tx1"/>
            </w14:solidFill>
          </w14:textFill>
        </w:rPr>
        <w:t>一是</w:t>
      </w: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理论学习不够深入，运用</w:t>
      </w:r>
      <w:r>
        <w:rPr>
          <w:rFonts w:hint="eastAsia" w:ascii="仿宋_GB2312" w:hAnsi="仿宋_GB2312" w:eastAsia="仿宋_GB2312" w:cs="仿宋_GB2312"/>
          <w:color w:val="000000" w:themeColor="text1"/>
          <w:sz w:val="32"/>
          <w:szCs w:val="32"/>
          <w14:textFill>
            <w14:solidFill>
              <w14:schemeClr w14:val="tx1"/>
            </w14:solidFill>
          </w14:textFill>
        </w:rPr>
        <w:t>习近平新时代中国特色社会主义思想</w:t>
      </w: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指导工作实践的能力有待加强</w:t>
      </w:r>
      <w:r>
        <w:rPr>
          <w:rFonts w:hint="eastAsia" w:ascii="仿宋_GB2312" w:hAnsi="仿宋_GB2312" w:eastAsia="仿宋_GB2312" w:cs="仿宋_GB2312"/>
          <w:i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在退役军人管理和</w:t>
      </w:r>
      <w:r>
        <w:rPr>
          <w:rFonts w:hint="eastAsia" w:ascii="仿宋_GB2312" w:hAnsi="仿宋_GB2312" w:eastAsia="仿宋_GB2312" w:cs="仿宋_GB2312"/>
          <w:b w:val="0"/>
          <w:bCs w:val="0"/>
          <w:color w:val="000000" w:themeColor="text1"/>
          <w:sz w:val="32"/>
          <w:szCs w:val="32"/>
          <w14:textFill>
            <w14:solidFill>
              <w14:schemeClr w14:val="tx1"/>
            </w14:solidFill>
          </w14:textFill>
        </w:rPr>
        <w:t>治理能力现代化方面</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探索还不够</w:t>
      </w:r>
      <w:r>
        <w:rPr>
          <w:rFonts w:hint="eastAsia" w:ascii="仿宋_GB2312" w:hAnsi="仿宋_GB2312" w:eastAsia="仿宋_GB2312" w:cs="仿宋_GB2312"/>
          <w:b w:val="0"/>
          <w:bCs w:val="0"/>
          <w:color w:val="000000" w:themeColor="text1"/>
          <w:sz w:val="32"/>
          <w:szCs w:val="32"/>
          <w:shd w:val="clear" w:color="auto" w:fill="FFFFFF"/>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shd w:val="clear" w:color="auto" w:fill="FFFFFF"/>
          <w:lang w:eastAsia="zh-CN"/>
          <w14:textFill>
            <w14:solidFill>
              <w14:schemeClr w14:val="tx1"/>
            </w14:solidFill>
          </w14:textFill>
        </w:rPr>
        <w:t>二</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是按中央、省、市要求，退役军人保障体系建设“五有”已基本完成，但标准不高，规范化质量化运行缺少思路，横向纵向联动较少。</w:t>
      </w:r>
    </w:p>
    <w:p>
      <w:pPr>
        <w:spacing w:line="560" w:lineRule="exact"/>
        <w:ind w:firstLine="640" w:firstLineChars="200"/>
        <w:rPr>
          <w:rFonts w:hint="eastAsia" w:ascii="仿宋_GB2312" w:hAnsi="仿宋_GB2312" w:eastAsia="仿宋_GB2312" w:cs="仿宋_GB2312"/>
          <w:b w:val="0"/>
          <w:bCs w:val="0"/>
          <w:sz w:val="32"/>
          <w:szCs w:val="32"/>
        </w:rPr>
      </w:pPr>
      <w:r>
        <w:rPr>
          <w:rStyle w:val="9"/>
          <w:rFonts w:hint="eastAsia" w:ascii="仿宋_GB2312" w:eastAsia="仿宋_GB2312"/>
          <w:lang w:eastAsia="zh-CN"/>
        </w:rPr>
        <w:t>三</w:t>
      </w:r>
      <w:r>
        <w:rPr>
          <w:rFonts w:hint="eastAsia" w:ascii="仿宋_GB2312" w:eastAsia="仿宋_GB2312" w:cs="仿宋_GB2312"/>
          <w:sz w:val="32"/>
          <w:szCs w:val="32"/>
          <w:lang w:eastAsia="zh-CN"/>
        </w:rPr>
        <w:t>是退役军人的</w:t>
      </w:r>
      <w:r>
        <w:rPr>
          <w:rFonts w:hint="eastAsia" w:cs="仿宋_GB2312"/>
          <w:sz w:val="32"/>
          <w:szCs w:val="32"/>
          <w:lang w:eastAsia="zh-CN"/>
        </w:rPr>
        <w:t>部分</w:t>
      </w:r>
      <w:r>
        <w:rPr>
          <w:rFonts w:hint="eastAsia" w:ascii="仿宋_GB2312" w:eastAsia="仿宋_GB2312" w:cs="仿宋_GB2312"/>
          <w:sz w:val="32"/>
          <w:szCs w:val="32"/>
          <w:lang w:eastAsia="zh-CN"/>
        </w:rPr>
        <w:t>来信</w:t>
      </w:r>
      <w:r>
        <w:rPr>
          <w:rFonts w:hint="eastAsia" w:ascii="仿宋_GB2312" w:hAnsi="仿宋_GB2312" w:eastAsia="仿宋_GB2312" w:cs="仿宋_GB2312"/>
          <w:sz w:val="32"/>
          <w:szCs w:val="32"/>
          <w:lang w:eastAsia="zh-CN"/>
        </w:rPr>
        <w:t>来访</w:t>
      </w:r>
      <w:r>
        <w:rPr>
          <w:rFonts w:hint="eastAsia" w:hAnsi="仿宋_GB2312" w:cs="仿宋_GB2312"/>
          <w:sz w:val="32"/>
          <w:szCs w:val="32"/>
          <w:lang w:eastAsia="zh-CN"/>
        </w:rPr>
        <w:t>中历史遗留</w:t>
      </w:r>
      <w:r>
        <w:rPr>
          <w:rFonts w:hint="eastAsia" w:ascii="仿宋_GB2312" w:hAnsi="仿宋_GB2312" w:eastAsia="仿宋_GB2312" w:cs="仿宋_GB2312"/>
          <w:sz w:val="32"/>
          <w:szCs w:val="32"/>
          <w:lang w:eastAsia="zh-CN"/>
        </w:rPr>
        <w:t>诉求难以解</w:t>
      </w:r>
      <w:r>
        <w:rPr>
          <w:rFonts w:hint="eastAsia" w:ascii="仿宋_GB2312" w:hAnsi="仿宋_GB2312" w:eastAsia="仿宋_GB2312" w:cs="仿宋_GB2312"/>
          <w:b w:val="0"/>
          <w:bCs w:val="0"/>
          <w:sz w:val="32"/>
          <w:szCs w:val="32"/>
          <w:lang w:eastAsia="zh-CN"/>
        </w:rPr>
        <w:t>决，造成一些不安定因素</w:t>
      </w:r>
      <w:r>
        <w:rPr>
          <w:rFonts w:hint="eastAsia" w:hAnsi="仿宋_GB2312" w:cs="仿宋_GB2312"/>
          <w:b w:val="0"/>
          <w:bCs w:val="0"/>
          <w:sz w:val="32"/>
          <w:szCs w:val="32"/>
          <w:lang w:eastAsia="zh-CN"/>
        </w:rPr>
        <w:t>。</w:t>
      </w:r>
    </w:p>
    <w:p>
      <w:pPr>
        <w:spacing w:line="600" w:lineRule="exact"/>
        <w:ind w:firstLine="602" w:firstLineChars="200"/>
        <w:rPr>
          <w:rFonts w:ascii="Times New Roman" w:hAnsi="Times New Roman"/>
          <w:b/>
          <w:bCs/>
          <w:sz w:val="30"/>
        </w:rPr>
      </w:pPr>
      <w:r>
        <w:rPr>
          <w:rFonts w:ascii="Times New Roman" w:hAnsi="Times New Roman"/>
          <w:b/>
          <w:bCs/>
          <w:sz w:val="30"/>
        </w:rPr>
        <w:t>（二）改进的方向和具体措施</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left"/>
        <w:textAlignment w:val="auto"/>
        <w:outlineLvl w:val="9"/>
        <w:rPr>
          <w:rFonts w:hint="eastAsia" w:ascii="仿宋" w:hAnsi="仿宋" w:eastAsia="仿宋" w:cs="仿宋"/>
          <w:kern w:val="2"/>
          <w:sz w:val="32"/>
          <w:szCs w:val="32"/>
          <w:shd w:val="clear" w:fill="FFFFFF"/>
          <w:lang w:val="en-US" w:eastAsia="zh-CN" w:bidi="ar"/>
        </w:rPr>
      </w:pPr>
      <w:r>
        <w:rPr>
          <w:rFonts w:hint="eastAsia" w:ascii="楷体" w:hAnsi="楷体" w:eastAsia="楷体" w:cs="楷体"/>
          <w:b w:val="0"/>
          <w:bCs w:val="0"/>
          <w:kern w:val="2"/>
          <w:sz w:val="32"/>
          <w:szCs w:val="32"/>
          <w:shd w:val="clear" w:fill="FFFFFF"/>
          <w:lang w:val="en-US" w:eastAsia="zh-CN" w:bidi="ar"/>
        </w:rPr>
        <w:t>（一）全面提升帮扶援助水平。</w:t>
      </w:r>
      <w:r>
        <w:rPr>
          <w:rFonts w:hint="eastAsia" w:ascii="仿宋_GB2312" w:hAnsi="仿宋_GB2312" w:eastAsia="仿宋_GB2312" w:cs="仿宋_GB2312"/>
          <w:kern w:val="2"/>
          <w:sz w:val="32"/>
          <w:szCs w:val="32"/>
          <w:shd w:val="clear" w:fill="FFFFFF"/>
          <w:lang w:val="en-US" w:eastAsia="zh-CN" w:bidi="ar"/>
        </w:rPr>
        <w:t>持续开展政策落实“回头看”，确保已有政策全部落实到位。稳妥实施部分退役士兵社会保险接续工作，做好政策宣传解读工作，防止误解误读。用足用好社会救助政策，加大退役军人困难援助和临时救助力度。</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楷体" w:hAnsi="楷体" w:eastAsia="楷体" w:cs="楷体"/>
          <w:b w:val="0"/>
          <w:bCs w:val="0"/>
          <w:kern w:val="2"/>
          <w:sz w:val="32"/>
          <w:szCs w:val="32"/>
          <w:shd w:val="clear" w:fill="FFFFFF"/>
          <w:lang w:val="en-US" w:eastAsia="zh-CN" w:bidi="ar"/>
        </w:rPr>
        <w:t>（二）</w:t>
      </w:r>
      <w:r>
        <w:rPr>
          <w:rFonts w:hint="default" w:ascii="楷体" w:hAnsi="楷体" w:eastAsia="楷体" w:cs="楷体"/>
          <w:b w:val="0"/>
          <w:bCs w:val="0"/>
          <w:kern w:val="2"/>
          <w:sz w:val="32"/>
          <w:szCs w:val="32"/>
          <w:shd w:val="clear" w:fill="FFFFFF"/>
          <w:lang w:val="en-US" w:eastAsia="zh-CN" w:bidi="ar"/>
        </w:rPr>
        <w:t>全面提升管理服务水平。</w:t>
      </w:r>
      <w:r>
        <w:rPr>
          <w:rFonts w:hint="eastAsia" w:ascii="仿宋_GB2312" w:hAnsi="仿宋_GB2312" w:eastAsia="仿宋_GB2312" w:cs="仿宋_GB2312"/>
          <w:b w:val="0"/>
          <w:bCs w:val="0"/>
          <w:kern w:val="2"/>
          <w:sz w:val="32"/>
          <w:szCs w:val="32"/>
          <w:shd w:val="clear" w:fill="FFFFFF"/>
          <w:lang w:val="en-US" w:eastAsia="zh-CN" w:bidi="ar"/>
        </w:rPr>
        <w:t>以建</w:t>
      </w:r>
      <w:r>
        <w:rPr>
          <w:rFonts w:hint="eastAsia" w:ascii="仿宋_GB2312" w:hAnsi="仿宋_GB2312" w:eastAsia="仿宋_GB2312" w:cs="仿宋_GB2312"/>
          <w:kern w:val="2"/>
          <w:sz w:val="32"/>
          <w:szCs w:val="32"/>
          <w:shd w:val="clear" w:fill="FFFFFF"/>
          <w:lang w:val="en-US" w:eastAsia="zh-CN" w:bidi="ar"/>
        </w:rPr>
        <w:t>立“一站式”服务中心为依托，抓好“两站一中心”规范化建设，督促按《</w:t>
      </w:r>
      <w:r>
        <w:rPr>
          <w:rFonts w:hint="eastAsia" w:ascii="仿宋_GB2312" w:hAnsi="仿宋_GB2312" w:eastAsia="仿宋_GB2312" w:cs="仿宋_GB2312"/>
          <w:b w:val="0"/>
          <w:bCs w:val="0"/>
          <w:sz w:val="32"/>
          <w:szCs w:val="32"/>
          <w:lang w:val="en-US" w:eastAsia="zh-CN"/>
        </w:rPr>
        <w:t>基层退役军人服务中心（站）工作指南》各项制度措施落实到位，</w:t>
      </w:r>
      <w:r>
        <w:rPr>
          <w:rFonts w:hint="eastAsia" w:ascii="仿宋_GB2312" w:hAnsi="仿宋_GB2312" w:eastAsia="仿宋_GB2312" w:cs="仿宋_GB2312"/>
          <w:kern w:val="2"/>
          <w:sz w:val="32"/>
          <w:szCs w:val="32"/>
          <w:shd w:val="clear" w:fill="FFFFFF"/>
          <w:lang w:val="en-US" w:eastAsia="zh-CN" w:bidi="ar"/>
        </w:rPr>
        <w:t>开展集中简化的便民服务，让数据信息多跑路，群众少跑腿，</w:t>
      </w:r>
      <w:r>
        <w:rPr>
          <w:rFonts w:hint="eastAsia" w:ascii="仿宋_GB2312" w:hAnsi="仿宋_GB2312" w:eastAsia="仿宋_GB2312" w:cs="仿宋_GB2312"/>
          <w:b w:val="0"/>
          <w:bCs w:val="0"/>
          <w:sz w:val="32"/>
          <w:szCs w:val="32"/>
          <w:lang w:val="en-US" w:eastAsia="zh-CN"/>
        </w:rPr>
        <w:t xml:space="preserve">实现基层服务站高效率，高质量运转。  </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left"/>
        <w:textAlignment w:val="auto"/>
        <w:outlineLvl w:val="9"/>
        <w:rPr>
          <w:rFonts w:hint="eastAsia" w:ascii="仿宋_GB2312" w:hAnsi="仿宋_GB2312" w:eastAsia="仿宋_GB2312" w:cs="仿宋_GB2312"/>
          <w:kern w:val="2"/>
          <w:sz w:val="32"/>
          <w:szCs w:val="32"/>
          <w:shd w:val="clear" w:fill="FFFFFF"/>
          <w:lang w:val="en-US" w:eastAsia="zh-CN" w:bidi="ar"/>
        </w:rPr>
      </w:pPr>
      <w:r>
        <w:rPr>
          <w:rFonts w:hint="eastAsia" w:ascii="楷体_GB2312" w:hAnsi="楷体_GB2312" w:eastAsia="楷体_GB2312" w:cs="楷体_GB2312"/>
          <w:b w:val="0"/>
          <w:bCs w:val="0"/>
          <w:kern w:val="2"/>
          <w:sz w:val="32"/>
          <w:szCs w:val="32"/>
          <w:shd w:val="clear" w:fill="FFFFFF"/>
          <w:lang w:val="en-US" w:eastAsia="zh-CN" w:bidi="ar"/>
        </w:rPr>
        <w:t>（三）全面提升优抚安置水平。</w:t>
      </w:r>
      <w:r>
        <w:rPr>
          <w:rFonts w:hint="eastAsia" w:ascii="仿宋_GB2312" w:hAnsi="仿宋_GB2312" w:eastAsia="仿宋_GB2312" w:cs="仿宋_GB2312"/>
          <w:kern w:val="2"/>
          <w:sz w:val="32"/>
          <w:szCs w:val="32"/>
          <w:shd w:val="clear" w:fill="FFFFFF"/>
          <w:lang w:val="en-US" w:eastAsia="zh-CN" w:bidi="ar"/>
        </w:rPr>
        <w:t>全面落实走访慰问常态化制度，认真落实退役军人优待办法，深入开展双拥共建活动，全面迎接全国第七次双拥模范城创建验收。提高退役士兵安置质量，推行“阳光安置”政策，确保公开公平公正，保质保量完成安置任务，让每一位退役军人都感受到党和政府的关怀温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华文仿宋" w:hAnsi="华文仿宋" w:eastAsia="华文仿宋" w:cs="华文仿宋"/>
          <w:b w:val="0"/>
          <w:bCs w:val="0"/>
          <w:sz w:val="32"/>
          <w:szCs w:val="32"/>
          <w:lang w:val="en-US" w:eastAsia="zh-CN"/>
        </w:rPr>
      </w:pPr>
      <w:r>
        <w:rPr>
          <w:rFonts w:hint="eastAsia" w:ascii="楷体_GB2312" w:hAnsi="楷体_GB2312" w:eastAsia="楷体_GB2312" w:cs="楷体_GB2312"/>
          <w:b w:val="0"/>
          <w:bCs w:val="0"/>
          <w:kern w:val="2"/>
          <w:sz w:val="32"/>
          <w:szCs w:val="32"/>
          <w:shd w:val="clear" w:fill="FFFFFF"/>
          <w:lang w:val="en-US" w:eastAsia="zh-CN" w:bidi="ar"/>
        </w:rPr>
        <w:t>（四）全面提升就业创业指导水平。</w:t>
      </w:r>
      <w:r>
        <w:rPr>
          <w:rFonts w:hint="eastAsia" w:ascii="仿宋_GB2312" w:hAnsi="仿宋_GB2312" w:eastAsia="仿宋_GB2312" w:cs="仿宋_GB2312"/>
          <w:sz w:val="32"/>
          <w:szCs w:val="32"/>
        </w:rPr>
        <w:t>一是加强创业意向摸底。结合退役士兵就业意向适时举办退役士兵技能和创业培训班，提高退役士兵职业技能和自主创业的能力。二是搭建就业服务平台。结合退役军人特长，对接更多优质企业，搭建双向选择服务平台，召开退役军人暨家属专场招聘会，让求职的退役士兵在求职过程中少走弯路。三是建立常态长效机制。建立退役军人求职需求与企业用工需求信息库，开展一对一精准对接，提供就业创业指导，提高就业质量</w:t>
      </w:r>
      <w:r>
        <w:rPr>
          <w:rFonts w:hint="eastAsia" w:ascii="仿宋_GB2312" w:hAnsi="仿宋_GB2312" w:eastAsia="仿宋_GB2312" w:cs="仿宋_GB2312"/>
          <w:sz w:val="32"/>
          <w:szCs w:val="32"/>
          <w:lang w:eastAsia="zh-CN"/>
        </w:rPr>
        <w:t>。</w:t>
      </w:r>
    </w:p>
    <w:p>
      <w:pPr>
        <w:adjustRightInd w:val="0"/>
        <w:snapToGrid w:val="0"/>
        <w:spacing w:line="600" w:lineRule="exact"/>
        <w:jc w:val="both"/>
        <w:rPr>
          <w:rFonts w:ascii="Times New Roman" w:hAnsi="Times New Roman"/>
          <w:szCs w:val="21"/>
        </w:rPr>
      </w:pPr>
    </w:p>
    <w:p>
      <w:pPr>
        <w:adjustRightInd w:val="0"/>
        <w:snapToGrid w:val="0"/>
        <w:spacing w:line="600" w:lineRule="exact"/>
        <w:jc w:val="right"/>
        <w:rPr>
          <w:rFonts w:ascii="Times New Roman" w:hAnsi="Times New Roman"/>
          <w:szCs w:val="21"/>
        </w:rPr>
      </w:pPr>
    </w:p>
    <w:p>
      <w:pPr>
        <w:adjustRightInd w:val="0"/>
        <w:snapToGrid w:val="0"/>
        <w:spacing w:line="600" w:lineRule="exact"/>
        <w:jc w:val="right"/>
        <w:rPr>
          <w:rFonts w:hint="eastAsia" w:ascii="Times New Roman" w:hAnsi="Times New Roman" w:eastAsia="仿宋_GB2312"/>
          <w:szCs w:val="21"/>
          <w:lang w:eastAsia="zh-CN"/>
        </w:rPr>
      </w:pPr>
      <w:r>
        <w:rPr>
          <w:rFonts w:hint="eastAsia" w:ascii="Times New Roman" w:hAnsi="Times New Roman"/>
          <w:szCs w:val="21"/>
        </w:rPr>
        <w:t>长沙市望城区</w:t>
      </w:r>
      <w:r>
        <w:rPr>
          <w:rFonts w:hint="eastAsia" w:ascii="Times New Roman" w:hAnsi="Times New Roman"/>
          <w:szCs w:val="21"/>
          <w:lang w:eastAsia="zh-CN"/>
        </w:rPr>
        <w:t>退役军人事务局</w:t>
      </w:r>
    </w:p>
    <w:p>
      <w:pPr>
        <w:adjustRightInd w:val="0"/>
        <w:snapToGrid w:val="0"/>
        <w:spacing w:line="600" w:lineRule="exact"/>
        <w:jc w:val="right"/>
        <w:rPr>
          <w:rFonts w:hint="eastAsia" w:ascii="Times New Roman" w:hAnsi="Times New Roman" w:eastAsia="方正小标宋简体"/>
          <w:bCs/>
          <w:color w:val="000000"/>
          <w:kern w:val="0"/>
          <w:sz w:val="36"/>
          <w:szCs w:val="36"/>
        </w:rPr>
      </w:pPr>
      <w:r>
        <w:rPr>
          <w:rFonts w:hint="eastAsia" w:ascii="Times New Roman" w:hAnsi="Times New Roman"/>
          <w:szCs w:val="21"/>
        </w:rPr>
        <w:t>2020年</w:t>
      </w:r>
      <w:r>
        <w:rPr>
          <w:rFonts w:hint="eastAsia" w:ascii="Times New Roman" w:hAnsi="Times New Roman"/>
          <w:szCs w:val="21"/>
          <w:lang w:val="en-US" w:eastAsia="zh-CN"/>
        </w:rPr>
        <w:t>9</w:t>
      </w:r>
      <w:r>
        <w:rPr>
          <w:rFonts w:hint="eastAsia" w:ascii="Times New Roman" w:hAnsi="Times New Roman"/>
          <w:szCs w:val="21"/>
        </w:rPr>
        <w:t>月</w:t>
      </w:r>
      <w:r>
        <w:rPr>
          <w:rFonts w:hint="eastAsia" w:ascii="Times New Roman" w:hAnsi="Times New Roman"/>
          <w:szCs w:val="21"/>
          <w:lang w:val="en-US" w:eastAsia="zh-CN"/>
        </w:rPr>
        <w:t>1</w:t>
      </w:r>
      <w:r>
        <w:rPr>
          <w:rFonts w:hint="eastAsia" w:ascii="Times New Roman" w:hAnsi="Times New Roman"/>
          <w:szCs w:val="21"/>
        </w:rPr>
        <w:t>日</w:t>
      </w:r>
    </w:p>
    <w:p>
      <w:pPr>
        <w:adjustRightInd w:val="0"/>
        <w:snapToGrid w:val="0"/>
        <w:spacing w:line="600" w:lineRule="exact"/>
        <w:jc w:val="center"/>
        <w:rPr>
          <w:rFonts w:ascii="Times New Roman" w:hAnsi="Times New Roman" w:eastAsia="方正小标宋简体"/>
          <w:bCs/>
          <w:color w:val="000000"/>
          <w:kern w:val="0"/>
          <w:sz w:val="36"/>
          <w:szCs w:val="36"/>
        </w:rPr>
      </w:pPr>
    </w:p>
    <w:p>
      <w:pPr>
        <w:adjustRightInd w:val="0"/>
        <w:snapToGrid w:val="0"/>
        <w:spacing w:line="600" w:lineRule="exact"/>
        <w:jc w:val="center"/>
        <w:rPr>
          <w:rFonts w:ascii="Times New Roman" w:hAnsi="Times New Roman" w:eastAsia="方正小标宋简体"/>
          <w:bCs/>
          <w:color w:val="000000"/>
          <w:kern w:val="0"/>
          <w:sz w:val="36"/>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7F1BD5"/>
    <w:multiLevelType w:val="multilevel"/>
    <w:tmpl w:val="387F1BD5"/>
    <w:lvl w:ilvl="0" w:tentative="0">
      <w:start w:val="1"/>
      <w:numFmt w:val="japaneseCounting"/>
      <w:lvlText w:val="%1、"/>
      <w:lvlJc w:val="left"/>
      <w:pPr>
        <w:ind w:left="1320" w:hanging="72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491"/>
    <w:rsid w:val="001401CB"/>
    <w:rsid w:val="00254649"/>
    <w:rsid w:val="00292ACD"/>
    <w:rsid w:val="002D3F3F"/>
    <w:rsid w:val="002D4077"/>
    <w:rsid w:val="00380BFE"/>
    <w:rsid w:val="00382BA0"/>
    <w:rsid w:val="004F4491"/>
    <w:rsid w:val="004F4BAC"/>
    <w:rsid w:val="004F7BBF"/>
    <w:rsid w:val="005833F4"/>
    <w:rsid w:val="00595841"/>
    <w:rsid w:val="005F4524"/>
    <w:rsid w:val="006720BC"/>
    <w:rsid w:val="00800B6C"/>
    <w:rsid w:val="008703A8"/>
    <w:rsid w:val="00874D8C"/>
    <w:rsid w:val="00912C56"/>
    <w:rsid w:val="00933224"/>
    <w:rsid w:val="00977FDC"/>
    <w:rsid w:val="00A8737E"/>
    <w:rsid w:val="00AC2C0D"/>
    <w:rsid w:val="00AF533C"/>
    <w:rsid w:val="00B0641A"/>
    <w:rsid w:val="00BA7425"/>
    <w:rsid w:val="00C24428"/>
    <w:rsid w:val="00CA6423"/>
    <w:rsid w:val="00D42AAF"/>
    <w:rsid w:val="00D84980"/>
    <w:rsid w:val="00D95A31"/>
    <w:rsid w:val="00DC5C5B"/>
    <w:rsid w:val="00E0381D"/>
    <w:rsid w:val="00E62D8D"/>
    <w:rsid w:val="00E73717"/>
    <w:rsid w:val="00E81974"/>
    <w:rsid w:val="00EA5C3F"/>
    <w:rsid w:val="00EB19CF"/>
    <w:rsid w:val="00F10695"/>
    <w:rsid w:val="00F60A31"/>
    <w:rsid w:val="0F2F0FE0"/>
    <w:rsid w:val="128026A0"/>
    <w:rsid w:val="13A16EAF"/>
    <w:rsid w:val="149024A8"/>
    <w:rsid w:val="1CB95C29"/>
    <w:rsid w:val="1FF77923"/>
    <w:rsid w:val="24C560CB"/>
    <w:rsid w:val="282475BD"/>
    <w:rsid w:val="2A5F3A81"/>
    <w:rsid w:val="2D993C14"/>
    <w:rsid w:val="3A255071"/>
    <w:rsid w:val="3A962696"/>
    <w:rsid w:val="4D756357"/>
    <w:rsid w:val="4F267AA0"/>
    <w:rsid w:val="569B434F"/>
    <w:rsid w:val="5E4364F4"/>
    <w:rsid w:val="641B644F"/>
    <w:rsid w:val="65CD108A"/>
    <w:rsid w:val="6989416E"/>
    <w:rsid w:val="6F1A2FE5"/>
    <w:rsid w:val="715B72D1"/>
    <w:rsid w:val="72F65613"/>
    <w:rsid w:val="76352F27"/>
    <w:rsid w:val="7B880B6D"/>
    <w:rsid w:val="7C3D6944"/>
    <w:rsid w:val="7FDC38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4">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spacing w:line="240" w:lineRule="auto"/>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spacing w:line="240" w:lineRule="auto"/>
      <w:jc w:val="center"/>
    </w:pPr>
    <w:rPr>
      <w:rFonts w:asciiTheme="minorHAnsi" w:hAnsiTheme="minorHAnsi" w:eastAsiaTheme="minorEastAsia" w:cstheme="minorBidi"/>
      <w:sz w:val="18"/>
      <w:szCs w:val="18"/>
    </w:rPr>
  </w:style>
  <w:style w:type="character" w:customStyle="1" w:styleId="6">
    <w:name w:val="页眉 字符"/>
    <w:basedOn w:val="4"/>
    <w:link w:val="3"/>
    <w:qFormat/>
    <w:uiPriority w:val="99"/>
    <w:rPr>
      <w:sz w:val="18"/>
      <w:szCs w:val="18"/>
    </w:rPr>
  </w:style>
  <w:style w:type="character" w:customStyle="1" w:styleId="7">
    <w:name w:val="页脚 字符"/>
    <w:basedOn w:val="4"/>
    <w:link w:val="2"/>
    <w:qFormat/>
    <w:uiPriority w:val="99"/>
    <w:rPr>
      <w:sz w:val="18"/>
      <w:szCs w:val="18"/>
    </w:rPr>
  </w:style>
  <w:style w:type="paragraph" w:styleId="8">
    <w:name w:val="List Paragraph"/>
    <w:basedOn w:val="1"/>
    <w:qFormat/>
    <w:uiPriority w:val="34"/>
    <w:pPr>
      <w:ind w:firstLine="420" w:firstLineChars="200"/>
    </w:pPr>
  </w:style>
  <w:style w:type="character" w:customStyle="1" w:styleId="9">
    <w:name w:val="16"/>
    <w:basedOn w:val="4"/>
    <w:qFormat/>
    <w:uiPriority w:val="0"/>
    <w:rPr>
      <w:rFonts w:hint="default" w:ascii="Times New Roman" w:hAnsi="Times New Roman" w:eastAsia="楷体_GB2312" w:cs="Times New Roman"/>
      <w:sz w:val="32"/>
      <w:szCs w:val="32"/>
    </w:rPr>
  </w:style>
  <w:style w:type="paragraph" w:customStyle="1" w:styleId="10">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908</Words>
  <Characters>5179</Characters>
  <Lines>43</Lines>
  <Paragraphs>12</Paragraphs>
  <TotalTime>68</TotalTime>
  <ScaleCrop>false</ScaleCrop>
  <LinksUpToDate>false</LinksUpToDate>
  <CharactersWithSpaces>6075</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2020-03-29T03:30:00Z</dcterms:created>
  <dc:creator>丁 启骏</dc:creator>
  <cp:lastModifiedBy>Administrator</cp:lastModifiedBy>
  <dcterms:modified xsi:type="dcterms:W3CDTF">2021-05-17T09:30:59Z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