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Chars="-265" w:hanging="848" w:hangingChars="265"/>
        <w:jc w:val="left"/>
        <w:rPr>
          <w:rFonts w:ascii="Times New Roman" w:hAnsi="Times New Roman" w:eastAsia="方正小标宋简体"/>
          <w:sz w:val="36"/>
          <w:szCs w:val="36"/>
        </w:rPr>
      </w:pPr>
      <w:r>
        <w:rPr>
          <w:rFonts w:hint="eastAsia" w:ascii="黑体" w:hAnsi="黑体" w:eastAsia="黑体" w:cs="黑体"/>
          <w:kern w:val="0"/>
        </w:rPr>
        <w:t>附件3</w:t>
      </w:r>
    </w:p>
    <w:p>
      <w:pPr>
        <w:spacing w:line="600" w:lineRule="exact"/>
        <w:jc w:val="center"/>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2019年度雷锋纪念馆整体支出预算绩效</w:t>
      </w:r>
    </w:p>
    <w:p>
      <w:pPr>
        <w:spacing w:line="600" w:lineRule="exact"/>
        <w:jc w:val="center"/>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自评报告</w:t>
      </w:r>
    </w:p>
    <w:p>
      <w:pPr>
        <w:pStyle w:val="2"/>
        <w:ind w:left="640" w:firstLine="640"/>
      </w:pPr>
    </w:p>
    <w:p>
      <w:pPr>
        <w:numPr>
          <w:ilvl w:val="0"/>
          <w:numId w:val="1"/>
        </w:numPr>
        <w:spacing w:line="600" w:lineRule="exact"/>
        <w:ind w:firstLine="640" w:firstLineChars="200"/>
        <w:rPr>
          <w:rFonts w:ascii="Times New Roman" w:hAnsi="Times New Roman" w:eastAsia="黑体"/>
        </w:rPr>
      </w:pPr>
      <w:r>
        <w:rPr>
          <w:rFonts w:ascii="Times New Roman" w:hAnsi="Times New Roman" w:eastAsia="黑体"/>
        </w:rPr>
        <w:t>单位基本情况</w:t>
      </w:r>
    </w:p>
    <w:p>
      <w:pPr>
        <w:ind w:firstLine="640" w:firstLineChars="200"/>
      </w:pPr>
      <w:r>
        <w:rPr>
          <w:rFonts w:hint="eastAsia"/>
        </w:rPr>
        <w:t>雷锋纪念馆是全额拨款的事业单位，单位编制数20人，现有在职在编人员18人，政府雇员3人，聘用</w:t>
      </w:r>
      <w:r>
        <w:rPr>
          <w:rFonts w:hint="eastAsia" w:hAnsi="仿宋_GB2312" w:cs="仿宋_GB2312"/>
        </w:rPr>
        <w:t>合同制讲解员</w:t>
      </w:r>
      <w:r>
        <w:rPr>
          <w:rFonts w:hAnsi="仿宋_GB2312" w:cs="仿宋_GB2312"/>
        </w:rPr>
        <w:t>9</w:t>
      </w:r>
      <w:r>
        <w:rPr>
          <w:rFonts w:hint="eastAsia" w:hAnsi="仿宋_GB2312" w:cs="仿宋_GB2312"/>
        </w:rPr>
        <w:t>人，其他临聘人员5人，</w:t>
      </w:r>
      <w:r>
        <w:rPr>
          <w:rFonts w:hint="eastAsia"/>
        </w:rPr>
        <w:t>离退休人员7人，单位公务车2台。</w:t>
      </w:r>
    </w:p>
    <w:p>
      <w:pPr>
        <w:ind w:firstLine="640" w:firstLineChars="200"/>
        <w:rPr>
          <w:rFonts w:ascii="Times New Roman" w:hAnsi="Times New Roman" w:eastAsia="黑体"/>
        </w:rPr>
      </w:pPr>
      <w:r>
        <w:rPr>
          <w:rFonts w:hint="eastAsia"/>
        </w:rPr>
        <w:t>我馆主要负责雷锋生平事迹陈列馆、雷锋故居、领袖名人题词碑廊、雷锋塑像广场、长沙国防人</w:t>
      </w:r>
      <w:r>
        <w:t>防</w:t>
      </w:r>
      <w:r>
        <w:rPr>
          <w:rFonts w:hint="eastAsia"/>
        </w:rPr>
        <w:t>教育馆、乡村少年宫和青少年素质教育基地、长沙道德讲堂总堂、长沙市</w:t>
      </w:r>
      <w:r>
        <w:t>望城区党员教育基地</w:t>
      </w:r>
      <w:r>
        <w:rPr>
          <w:rFonts w:hint="eastAsia"/>
        </w:rPr>
        <w:t>等的管理与维护工作；负责纪念馆馆区建设、园林绿化、设施设备维护维修及日常管理工作；负责收藏、展览馆藏文物，切实做好有关雷锋资料的收集、整理、保管工作，依法做好文物安全保护工作等。</w:t>
      </w:r>
    </w:p>
    <w:p>
      <w:pPr>
        <w:numPr>
          <w:ilvl w:val="0"/>
          <w:numId w:val="1"/>
        </w:numPr>
        <w:spacing w:line="600" w:lineRule="exact"/>
        <w:ind w:firstLine="640" w:firstLineChars="200"/>
        <w:rPr>
          <w:rFonts w:ascii="Times New Roman" w:hAnsi="Times New Roman" w:eastAsia="黑体"/>
        </w:rPr>
      </w:pPr>
      <w:r>
        <w:rPr>
          <w:rFonts w:ascii="Times New Roman" w:hAnsi="Times New Roman" w:eastAsia="黑体"/>
        </w:rPr>
        <w:t>预算管理及执行情况</w:t>
      </w:r>
    </w:p>
    <w:p>
      <w:pPr>
        <w:widowControl/>
        <w:spacing w:line="600" w:lineRule="exact"/>
        <w:ind w:firstLine="640" w:firstLineChars="200"/>
        <w:rPr>
          <w:rFonts w:eastAsia="黑体"/>
          <w:bCs/>
          <w:kern w:val="0"/>
        </w:rPr>
      </w:pPr>
      <w:r>
        <w:rPr>
          <w:rFonts w:hint="eastAsia"/>
        </w:rPr>
        <w:t>2019</w:t>
      </w:r>
      <w:r>
        <w:t>年</w:t>
      </w:r>
      <w:r>
        <w:rPr>
          <w:rFonts w:hint="eastAsia"/>
        </w:rPr>
        <w:t>我馆</w:t>
      </w:r>
      <w:r>
        <w:t>预算包括本级预算和所属单位预算在内的汇总情况。收入既包括一般公共预算</w:t>
      </w:r>
      <w:r>
        <w:rPr>
          <w:rFonts w:hint="eastAsia"/>
        </w:rPr>
        <w:t>收入</w:t>
      </w:r>
      <w:r>
        <w:t>、政府性基金收入和国有资本经营预算收入，又包括事业单位经营服务等收入；支出既包括保障机关及</w:t>
      </w:r>
      <w:r>
        <w:rPr>
          <w:rFonts w:hint="eastAsia"/>
        </w:rPr>
        <w:t>所属</w:t>
      </w:r>
      <w:r>
        <w:t>事业单位基本运行的经费，也包括</w:t>
      </w:r>
      <w:r>
        <w:rPr>
          <w:rFonts w:hint="eastAsia"/>
        </w:rPr>
        <w:t>免费开放配套经费、地方文物保护经费、提质改造、生平事迹陈列布展及附属配套工程</w:t>
      </w:r>
      <w:r>
        <w:t>等专项经费。</w:t>
      </w:r>
    </w:p>
    <w:p>
      <w:pPr>
        <w:widowControl/>
        <w:spacing w:line="600" w:lineRule="exact"/>
        <w:ind w:firstLine="710" w:firstLineChars="221"/>
        <w:jc w:val="left"/>
        <w:rPr>
          <w:rFonts w:ascii="Times New Roman" w:hAnsi="Times New Roman" w:eastAsia="黑体"/>
        </w:rPr>
      </w:pPr>
      <w:r>
        <w:rPr>
          <w:rFonts w:hint="eastAsia" w:ascii="楷体" w:hAnsi="楷体" w:eastAsia="楷体"/>
          <w:b/>
        </w:rPr>
        <w:t>（</w:t>
      </w:r>
      <w:r>
        <w:rPr>
          <w:rFonts w:ascii="楷体" w:hAnsi="楷体" w:eastAsia="楷体"/>
          <w:b/>
        </w:rPr>
        <w:t>一）收入预算</w:t>
      </w:r>
      <w:r>
        <w:rPr>
          <w:rFonts w:hint="eastAsia" w:ascii="楷体" w:hAnsi="楷体" w:eastAsia="楷体"/>
          <w:b/>
        </w:rPr>
        <w:t>：</w:t>
      </w:r>
      <w:r>
        <w:rPr>
          <w:rFonts w:hint="eastAsia"/>
        </w:rPr>
        <w:t>2019</w:t>
      </w:r>
      <w:r>
        <w:t>年年初预算</w:t>
      </w:r>
      <w:r>
        <w:rPr>
          <w:rFonts w:hint="eastAsia" w:ascii="仿宋" w:hAnsi="仿宋" w:eastAsia="仿宋" w:cs="仿宋"/>
          <w:color w:val="000000"/>
          <w:kern w:val="0"/>
          <w:lang w:bidi="ar"/>
        </w:rPr>
        <w:t>2542.95</w:t>
      </w:r>
      <w:r>
        <w:t>万元，其中，一般公共预算拨款</w:t>
      </w:r>
      <w:r>
        <w:rPr>
          <w:rFonts w:hint="eastAsia" w:ascii="仿宋" w:hAnsi="仿宋" w:eastAsia="仿宋" w:cs="仿宋"/>
          <w:color w:val="000000"/>
          <w:kern w:val="0"/>
          <w:lang w:bidi="ar"/>
        </w:rPr>
        <w:t>2542.95</w:t>
      </w:r>
      <w:r>
        <w:t>万元，政府性基金</w:t>
      </w:r>
      <w:r>
        <w:rPr>
          <w:rFonts w:hint="eastAsia"/>
        </w:rPr>
        <w:t>预算</w:t>
      </w:r>
      <w:r>
        <w:t>拨款</w:t>
      </w:r>
      <w:r>
        <w:rPr>
          <w:rFonts w:hint="eastAsia"/>
        </w:rPr>
        <w:t>0</w:t>
      </w:r>
      <w:r>
        <w:t>万元，国有资本经营预算拨款</w:t>
      </w:r>
      <w:r>
        <w:rPr>
          <w:rFonts w:hint="eastAsia"/>
        </w:rPr>
        <w:t>12</w:t>
      </w:r>
      <w:r>
        <w:t>万元。</w:t>
      </w:r>
    </w:p>
    <w:p>
      <w:pPr>
        <w:widowControl/>
        <w:spacing w:line="600" w:lineRule="exact"/>
        <w:ind w:firstLine="707" w:firstLineChars="220"/>
        <w:jc w:val="left"/>
        <w:rPr>
          <w:rFonts w:ascii="Times New Roman" w:hAnsi="Times New Roman"/>
        </w:rPr>
      </w:pPr>
      <w:r>
        <w:rPr>
          <w:rFonts w:hint="eastAsia" w:ascii="楷体" w:hAnsi="楷体" w:eastAsia="楷体"/>
          <w:b/>
          <w:bCs/>
        </w:rPr>
        <w:t>（二</w:t>
      </w:r>
      <w:r>
        <w:rPr>
          <w:rFonts w:ascii="楷体" w:hAnsi="楷体" w:eastAsia="楷体"/>
          <w:b/>
          <w:bCs/>
        </w:rPr>
        <w:t>）</w:t>
      </w:r>
      <w:r>
        <w:rPr>
          <w:rFonts w:ascii="楷体" w:hAnsi="楷体" w:eastAsia="楷体"/>
          <w:b/>
        </w:rPr>
        <w:t>支出预算</w:t>
      </w:r>
      <w:r>
        <w:rPr>
          <w:rFonts w:hint="eastAsia" w:ascii="楷体" w:hAnsi="楷体" w:eastAsia="楷体"/>
          <w:b/>
        </w:rPr>
        <w:t>：</w:t>
      </w:r>
      <w:r>
        <w:rPr>
          <w:rFonts w:hint="eastAsia"/>
        </w:rPr>
        <w:t>2019</w:t>
      </w:r>
      <w:r>
        <w:t>年年初预算</w:t>
      </w:r>
      <w:r>
        <w:rPr>
          <w:rFonts w:hint="eastAsia" w:ascii="仿宋" w:hAnsi="仿宋" w:eastAsia="仿宋" w:cs="仿宋"/>
          <w:color w:val="000000"/>
          <w:kern w:val="0"/>
          <w:lang w:bidi="ar"/>
        </w:rPr>
        <w:t>2542.95</w:t>
      </w:r>
      <w:r>
        <w:t>万元。</w:t>
      </w:r>
      <w:r>
        <w:rPr>
          <w:rFonts w:hint="eastAsia"/>
        </w:rPr>
        <w:t>实际决算支出数为1887.90</w:t>
      </w:r>
      <w:r>
        <w:t>万元</w:t>
      </w:r>
      <w:r>
        <w:rPr>
          <w:rFonts w:hint="eastAsia"/>
        </w:rPr>
        <w:t>。其中基本支出数为：521.14万元，项目支出决算数为：1366.76万元。</w:t>
      </w:r>
    </w:p>
    <w:p>
      <w:pPr>
        <w:numPr>
          <w:ilvl w:val="0"/>
          <w:numId w:val="1"/>
        </w:numPr>
        <w:spacing w:line="600" w:lineRule="exact"/>
        <w:ind w:firstLine="640" w:firstLineChars="200"/>
        <w:rPr>
          <w:rFonts w:ascii="Times New Roman" w:hAnsi="Times New Roman" w:eastAsia="黑体"/>
        </w:rPr>
      </w:pPr>
      <w:r>
        <w:rPr>
          <w:rFonts w:hint="eastAsia" w:ascii="Times New Roman" w:hAnsi="Times New Roman" w:eastAsia="黑体"/>
        </w:rPr>
        <w:t>2019年资产管理情况</w:t>
      </w:r>
    </w:p>
    <w:p>
      <w:pPr>
        <w:widowControl/>
        <w:spacing w:line="600" w:lineRule="exact"/>
        <w:ind w:firstLine="660"/>
        <w:rPr>
          <w:rFonts w:ascii="Times New Roman" w:hAnsi="Times New Roman" w:eastAsia="黑体"/>
        </w:rPr>
      </w:pPr>
      <w:r>
        <w:rPr>
          <w:rFonts w:hint="eastAsia"/>
        </w:rPr>
        <w:t>截至2019年12月31日，我馆共有公</w:t>
      </w:r>
      <w:r>
        <w:t>务</w:t>
      </w:r>
      <w:r>
        <w:rPr>
          <w:rFonts w:hint="eastAsia"/>
        </w:rPr>
        <w:t>车辆2辆，其中：一般公务用车2辆；单位价值50万元以上通用设备0台（套），单价100万元以上专用设备0台（套）。2019年新增国有资产数为5399.15万元，系我馆提质改造第一期工程已完成竣工结算工作，从在建工程转为固定资产。由望国资批复【2019】3号文下达减少房屋资产共20项，计590.51万元，为提质改造及住年拆除的房屋建筑物等。</w:t>
      </w:r>
    </w:p>
    <w:p>
      <w:pPr>
        <w:numPr>
          <w:ilvl w:val="0"/>
          <w:numId w:val="1"/>
        </w:numPr>
        <w:spacing w:line="600" w:lineRule="exact"/>
        <w:ind w:firstLine="640" w:firstLineChars="200"/>
        <w:rPr>
          <w:rFonts w:ascii="Times New Roman" w:hAnsi="Times New Roman" w:eastAsia="黑体"/>
        </w:rPr>
      </w:pPr>
      <w:r>
        <w:rPr>
          <w:rFonts w:ascii="Times New Roman" w:hAnsi="Times New Roman" w:eastAsia="黑体"/>
        </w:rPr>
        <w:t>整体支出绩效目标及开展情况</w:t>
      </w:r>
    </w:p>
    <w:p>
      <w:pPr>
        <w:widowControl/>
        <w:spacing w:line="600" w:lineRule="exact"/>
        <w:ind w:firstLine="660"/>
        <w:rPr>
          <w:rFonts w:ascii="Times New Roman" w:hAnsi="Times New Roman" w:eastAsia="黑体"/>
        </w:rPr>
      </w:pPr>
      <w:r>
        <w:rPr>
          <w:rFonts w:hint="eastAsia"/>
        </w:rPr>
        <w:t>按照预算绩效管理工作的总体要求，2019年我馆整体支出</w:t>
      </w:r>
      <w:r>
        <w:rPr>
          <w:rFonts w:hint="eastAsia" w:ascii="仿宋" w:hAnsi="仿宋" w:eastAsia="仿宋" w:cs="仿宋"/>
          <w:color w:val="000000"/>
          <w:kern w:val="0"/>
          <w:lang w:bidi="ar"/>
        </w:rPr>
        <w:t>2542.95</w:t>
      </w:r>
      <w:r>
        <w:rPr>
          <w:rFonts w:hint="eastAsia"/>
        </w:rPr>
        <w:t>万元，全部实行整体支出绩效目标管理，编报绩效目标的项目2个，涉及项目支出1970万元，其中：提质改造、生平事迹陈列布展及附属配套工程项目1450万元；免费开放补助项目520万元；全部实行项目支出绩效目标管理。</w:t>
      </w:r>
    </w:p>
    <w:p>
      <w:pPr>
        <w:numPr>
          <w:ilvl w:val="0"/>
          <w:numId w:val="1"/>
        </w:numPr>
        <w:spacing w:line="600" w:lineRule="exact"/>
        <w:ind w:firstLine="640" w:firstLineChars="200"/>
        <w:rPr>
          <w:rFonts w:ascii="Times New Roman" w:hAnsi="Times New Roman" w:eastAsia="黑体"/>
        </w:rPr>
      </w:pPr>
      <w:r>
        <w:rPr>
          <w:rFonts w:ascii="Times New Roman" w:hAnsi="Times New Roman" w:eastAsia="黑体"/>
        </w:rPr>
        <w:t>整体支出绩效情况</w:t>
      </w:r>
    </w:p>
    <w:p>
      <w:pPr>
        <w:widowControl/>
        <w:spacing w:line="600" w:lineRule="exact"/>
        <w:ind w:firstLine="640" w:firstLineChars="200"/>
        <w:jc w:val="left"/>
      </w:pPr>
      <w:r>
        <w:rPr>
          <w:rFonts w:hint="eastAsia"/>
        </w:rPr>
        <w:t>2019年我馆实际决算支出数为1887.90</w:t>
      </w:r>
      <w:r>
        <w:t>万元</w:t>
      </w:r>
      <w:r>
        <w:rPr>
          <w:rFonts w:hint="eastAsia"/>
        </w:rPr>
        <w:t>。其中基本支出数为：521.14万元，项目支出决算为：1366.76万元。</w:t>
      </w:r>
    </w:p>
    <w:p>
      <w:pPr>
        <w:spacing w:line="600" w:lineRule="exact"/>
        <w:ind w:right="170" w:rightChars="53" w:firstLine="643" w:firstLineChars="200"/>
        <w:rPr>
          <w:rFonts w:ascii="楷体" w:hAnsi="楷体" w:eastAsia="楷体"/>
          <w:b/>
          <w:bCs/>
        </w:rPr>
      </w:pPr>
      <w:r>
        <w:rPr>
          <w:rFonts w:ascii="楷体" w:hAnsi="楷体" w:eastAsia="楷体"/>
          <w:b/>
          <w:bCs/>
        </w:rPr>
        <w:t>（一）</w:t>
      </w:r>
      <w:r>
        <w:rPr>
          <w:rFonts w:hint="eastAsia" w:ascii="楷体" w:hAnsi="楷体" w:eastAsia="楷体"/>
          <w:b/>
          <w:bCs/>
        </w:rPr>
        <w:t>工作</w:t>
      </w:r>
      <w:r>
        <w:rPr>
          <w:rFonts w:ascii="楷体" w:hAnsi="楷体" w:eastAsia="楷体"/>
          <w:b/>
          <w:bCs/>
        </w:rPr>
        <w:t>完成情况：</w:t>
      </w:r>
    </w:p>
    <w:p>
      <w:pPr>
        <w:spacing w:line="600" w:lineRule="exact"/>
        <w:ind w:right="170" w:rightChars="53" w:firstLine="640" w:firstLineChars="200"/>
      </w:pPr>
      <w:r>
        <w:rPr>
          <w:rFonts w:hint="eastAsia" w:ascii="仿宋" w:hAnsi="仿宋" w:eastAsia="仿宋" w:cs="楷体"/>
          <w:bCs/>
        </w:rPr>
        <w:t>1、参观人数稳步增长。</w:t>
      </w:r>
      <w:r>
        <w:rPr>
          <w:rFonts w:hint="eastAsia"/>
        </w:rPr>
        <w:t>今年我馆共</w:t>
      </w:r>
      <w:r>
        <w:rPr>
          <w:rFonts w:hint="eastAsia" w:hAnsi="宋体"/>
        </w:rPr>
        <w:t>接待国内外观众2156943人次</w:t>
      </w:r>
      <w:r>
        <w:rPr>
          <w:rFonts w:hint="eastAsia"/>
        </w:rPr>
        <w:t>，免费讲解27136批次，发放宣传资料64072册，新增学雷锋共建单位5家。</w:t>
      </w:r>
    </w:p>
    <w:p>
      <w:pPr>
        <w:spacing w:line="600" w:lineRule="exact"/>
        <w:ind w:firstLine="640" w:firstLineChars="200"/>
        <w:rPr>
          <w:rFonts w:hAnsi="仿宋_GB2312" w:cs="仿宋_GB2312"/>
        </w:rPr>
      </w:pPr>
      <w:r>
        <w:rPr>
          <w:rFonts w:hint="eastAsia" w:ascii="仿宋" w:hAnsi="仿宋" w:eastAsia="仿宋" w:cs="楷体"/>
          <w:bCs/>
        </w:rPr>
        <w:t>2、学雷锋主题活动精彩纷呈。</w:t>
      </w:r>
      <w:r>
        <w:rPr>
          <w:rFonts w:hint="eastAsia" w:hAnsi="仿宋_GB2312" w:cs="仿宋_GB2312"/>
        </w:rPr>
        <w:t>先后主办、承办、协办了2019雷锋精神论坛，“松枝绿·火焰蓝 雷锋故里话传承”雷锋班主题班会，“我是雷锋家乡人 湖湘文化送春风”文化和旅游志愿服务活动，首届“红色潇湘·文创寻宝”活动，纪念雷锋同志诞辰79周年雷锋精神公益广告展等大中型学雷锋活动9场次。</w:t>
      </w:r>
    </w:p>
    <w:p>
      <w:pPr>
        <w:spacing w:line="600" w:lineRule="exact"/>
        <w:ind w:firstLine="640" w:firstLineChars="200"/>
      </w:pPr>
      <w:r>
        <w:rPr>
          <w:rFonts w:hint="eastAsia"/>
        </w:rPr>
        <w:t>3、继续加大文物保护和征集力度，面向社会公开征集各类雷锋有关文物实物史料40余件，馆藏文物资料得到进一步充实。</w:t>
      </w:r>
    </w:p>
    <w:p>
      <w:pPr>
        <w:pStyle w:val="2"/>
        <w:ind w:left="0" w:leftChars="0" w:firstLine="640"/>
        <w:rPr>
          <w:rFonts w:hAnsi="仿宋_GB2312" w:cs="仿宋_GB2312"/>
        </w:rPr>
      </w:pPr>
      <w:r>
        <w:rPr>
          <w:rFonts w:hint="eastAsia"/>
        </w:rPr>
        <w:t>4、</w:t>
      </w:r>
      <w:r>
        <w:rPr>
          <w:rFonts w:hint="eastAsia" w:hAnsi="仿宋_GB2312" w:cs="仿宋_GB2312"/>
        </w:rPr>
        <w:t>我馆先后开展主题党日专项服务280多场次，省、市100余家单位先后来馆开展主题教育，党员受众人数超25万人次。</w:t>
      </w:r>
    </w:p>
    <w:p>
      <w:pPr>
        <w:pStyle w:val="2"/>
        <w:ind w:left="0" w:leftChars="0" w:firstLine="640"/>
        <w:rPr>
          <w:rFonts w:hAnsi="仿宋_GB2312" w:cs="仿宋_GB2312"/>
        </w:rPr>
      </w:pPr>
      <w:r>
        <w:rPr>
          <w:rFonts w:hint="eastAsia"/>
        </w:rPr>
        <w:t>5、组织雷锋精神宣讲团进机关、进社区、进学校，累计外出宣讲70余场次，听众达2万余人。</w:t>
      </w:r>
    </w:p>
    <w:p>
      <w:pPr>
        <w:spacing w:line="600" w:lineRule="exact"/>
        <w:ind w:right="170" w:rightChars="53" w:firstLine="640" w:firstLineChars="200"/>
      </w:pPr>
      <w:r>
        <w:rPr>
          <w:rFonts w:hint="eastAsia" w:hAnsi="仿宋_GB2312" w:cs="仿宋_GB2312"/>
        </w:rPr>
        <w:t>6、</w:t>
      </w:r>
      <w:r>
        <w:rPr>
          <w:rFonts w:hint="eastAsia"/>
        </w:rPr>
        <w:t>加快推进中国雷锋网提质改造，通过政府采购及第三方运营模式顺利完成中国雷锋网改版试运行。依托雷锋精神公益广告基地，全面完成全国第二届雷锋精神公益广告大赛作品的征集、评选。</w:t>
      </w:r>
    </w:p>
    <w:p>
      <w:pPr>
        <w:pStyle w:val="2"/>
        <w:ind w:left="0" w:leftChars="0" w:firstLine="640"/>
      </w:pPr>
      <w:r>
        <w:rPr>
          <w:rFonts w:hint="eastAsia" w:ascii="仿宋" w:hAnsi="仿宋" w:eastAsia="仿宋" w:cs="仿宋"/>
        </w:rPr>
        <w:t>7、文创产品开发开启新篇章。与</w:t>
      </w:r>
      <w:r>
        <w:rPr>
          <w:rFonts w:hint="eastAsia"/>
        </w:rPr>
        <w:t>湖南小锋同学文化传播有限公司签订雷锋主题文创合作，陆续开发出雷小锋系列笔记本、钢笔、徽章、胶带、马克杯、文化衫等各类文创产品20余件，并陆续在深圳文博会湖南展厅、第十二届中国艺术节上亮相。</w:t>
      </w:r>
    </w:p>
    <w:p>
      <w:pPr>
        <w:spacing w:line="600" w:lineRule="exact"/>
        <w:ind w:firstLine="640" w:firstLineChars="200"/>
      </w:pPr>
      <w:r>
        <w:rPr>
          <w:rFonts w:hint="eastAsia"/>
        </w:rPr>
        <w:t>8、2019年4月，全面完成雷锋生平事迹陈列布展及附属配套工程和雷锋故居旅游厕所改建的竣工验收，雷锋生平事迹陈列布展及附属配套工程竣工验收后，还根据来馆领导及游客意见，对陈列布展进行充实和提升，重新设计雷锋毕业誓言幻影成像场景，增加了习近平关于雷锋精神的重要论述。</w:t>
      </w:r>
    </w:p>
    <w:p>
      <w:pPr>
        <w:pStyle w:val="2"/>
        <w:ind w:left="0" w:leftChars="0" w:firstLine="640"/>
      </w:pPr>
      <w:r>
        <w:rPr>
          <w:rFonts w:hint="eastAsia"/>
        </w:rPr>
        <w:t>9、6月，按照垃圾分类要求，采购四分类、</w:t>
      </w:r>
      <w:r>
        <w:t>两分类</w:t>
      </w:r>
      <w:r>
        <w:rPr>
          <w:rFonts w:hint="eastAsia"/>
        </w:rPr>
        <w:t>垃圾桶93个，实现馆区分类垃圾桶全覆盖。</w:t>
      </w:r>
    </w:p>
    <w:p>
      <w:pPr>
        <w:pStyle w:val="2"/>
        <w:ind w:left="0" w:leftChars="0" w:firstLine="640"/>
      </w:pPr>
      <w:r>
        <w:rPr>
          <w:rFonts w:hint="eastAsia"/>
        </w:rPr>
        <w:t>10、9月，完成馆区范围内的12座风雨廊的整体维修与翻新。</w:t>
      </w:r>
    </w:p>
    <w:p>
      <w:pPr>
        <w:pStyle w:val="2"/>
        <w:numPr>
          <w:ilvl w:val="0"/>
          <w:numId w:val="2"/>
        </w:numPr>
        <w:ind w:left="0" w:leftChars="0" w:firstLine="640"/>
      </w:pPr>
      <w:r>
        <w:rPr>
          <w:rFonts w:hint="eastAsia"/>
        </w:rPr>
        <w:t>我馆投入资金购买景区公众责任保险，并为来馆参与志愿服务的志愿者按日购买意外保险。</w:t>
      </w:r>
    </w:p>
    <w:p>
      <w:pPr>
        <w:pStyle w:val="2"/>
        <w:numPr>
          <w:ilvl w:val="0"/>
          <w:numId w:val="2"/>
        </w:numPr>
        <w:ind w:left="0" w:leftChars="0" w:firstLine="640"/>
      </w:pPr>
      <w:r>
        <w:rPr>
          <w:rFonts w:hint="eastAsia"/>
        </w:rPr>
        <w:t>新增故居监控系统，委托专业公司负责馆区消防设施设备的定期安全检查和重大节庆、活动的消防维保工作，以确保游客、志愿者人身财产安全，全年未出现安全责任事故及突发事件。</w:t>
      </w:r>
    </w:p>
    <w:p>
      <w:pPr>
        <w:spacing w:line="600" w:lineRule="exact"/>
        <w:ind w:firstLine="640" w:firstLineChars="200"/>
        <w:rPr>
          <w:rFonts w:hAnsi="仿宋_GB2312" w:cs="仿宋_GB2312"/>
        </w:rPr>
      </w:pPr>
      <w:r>
        <w:rPr>
          <w:rFonts w:hint="eastAsia" w:hAnsi="仿宋_GB2312" w:cs="仿宋_GB2312"/>
        </w:rPr>
        <w:t>13、我馆新发展学雷锋志愿服务联盟队伍7支，新开办“扶志助学”书画培训班志愿帮扶项目2期，累计为30余户贫困家庭的孩子提供了服务。寒暑假中小学生社会实践志愿服务活动累计开展166场，服务学生家庭6328个。</w:t>
      </w:r>
    </w:p>
    <w:p>
      <w:pPr>
        <w:spacing w:line="600" w:lineRule="exact"/>
        <w:ind w:right="170" w:rightChars="53" w:firstLine="643" w:firstLineChars="200"/>
        <w:rPr>
          <w:rFonts w:ascii="楷体" w:hAnsi="楷体" w:eastAsia="楷体"/>
          <w:b/>
          <w:bCs/>
        </w:rPr>
      </w:pPr>
      <w:r>
        <w:rPr>
          <w:rFonts w:ascii="楷体" w:hAnsi="楷体" w:eastAsia="楷体"/>
          <w:b/>
          <w:bCs/>
        </w:rPr>
        <w:t>（二）履职效果：</w:t>
      </w:r>
    </w:p>
    <w:p>
      <w:pPr>
        <w:ind w:right="-301" w:rightChars="-94" w:firstLine="640" w:firstLineChars="200"/>
        <w:jc w:val="left"/>
        <w:rPr>
          <w:rFonts w:ascii="仿宋" w:hAnsi="仿宋" w:eastAsia="仿宋"/>
        </w:rPr>
      </w:pPr>
      <w:r>
        <w:rPr>
          <w:rFonts w:hint="eastAsia" w:ascii="Times New Roman" w:hAnsi="Times New Roman"/>
        </w:rPr>
        <w:t>1、</w:t>
      </w:r>
      <w:r>
        <w:rPr>
          <w:rFonts w:hint="eastAsia" w:ascii="仿宋" w:hAnsi="仿宋" w:eastAsia="仿宋"/>
        </w:rPr>
        <w:t>2019年2月，被中共中央宣传部命名为第五批“全国学雷锋活动示范点”，是今年湖南省获此殊荣的两家单位之一。</w:t>
      </w:r>
    </w:p>
    <w:p>
      <w:pPr>
        <w:ind w:right="-301" w:rightChars="-94" w:firstLine="640" w:firstLineChars="200"/>
        <w:jc w:val="left"/>
        <w:rPr>
          <w:rFonts w:ascii="仿宋" w:hAnsi="仿宋" w:eastAsia="仿宋"/>
        </w:rPr>
      </w:pPr>
      <w:r>
        <w:rPr>
          <w:rFonts w:ascii="仿宋" w:hAnsi="仿宋" w:eastAsia="仿宋"/>
        </w:rPr>
        <w:t>2</w:t>
      </w:r>
      <w:r>
        <w:rPr>
          <w:rFonts w:hint="eastAsia" w:ascii="仿宋" w:hAnsi="仿宋" w:eastAsia="仿宋"/>
        </w:rPr>
        <w:t>、2</w:t>
      </w:r>
      <w:r>
        <w:rPr>
          <w:rFonts w:ascii="仿宋" w:hAnsi="仿宋" w:eastAsia="仿宋"/>
        </w:rPr>
        <w:t>019</w:t>
      </w:r>
      <w:r>
        <w:rPr>
          <w:rFonts w:hint="eastAsia" w:ascii="仿宋" w:hAnsi="仿宋" w:eastAsia="仿宋"/>
        </w:rPr>
        <w:t>年6月，</w:t>
      </w:r>
      <w:r>
        <w:rPr>
          <w:rFonts w:ascii="仿宋" w:hAnsi="仿宋" w:eastAsia="仿宋"/>
        </w:rPr>
        <w:t>被中国关</w:t>
      </w:r>
      <w:r>
        <w:rPr>
          <w:rFonts w:hint="eastAsia" w:ascii="仿宋" w:hAnsi="仿宋" w:eastAsia="仿宋"/>
        </w:rPr>
        <w:t>心</w:t>
      </w:r>
      <w:r>
        <w:rPr>
          <w:rFonts w:ascii="仿宋" w:hAnsi="仿宋" w:eastAsia="仿宋"/>
        </w:rPr>
        <w:t>下一代工作委员会授予“全国</w:t>
      </w:r>
      <w:r>
        <w:rPr>
          <w:rFonts w:hint="eastAsia" w:ascii="仿宋" w:hAnsi="仿宋" w:eastAsia="仿宋"/>
        </w:rPr>
        <w:t>关</w:t>
      </w:r>
      <w:r>
        <w:rPr>
          <w:rFonts w:ascii="仿宋" w:hAnsi="仿宋" w:eastAsia="仿宋"/>
        </w:rPr>
        <w:t>心下一代党史国史教育基地”</w:t>
      </w:r>
      <w:r>
        <w:rPr>
          <w:rFonts w:hint="eastAsia" w:ascii="仿宋" w:hAnsi="仿宋" w:eastAsia="仿宋"/>
        </w:rPr>
        <w:t>。7月3日</w:t>
      </w:r>
      <w:r>
        <w:rPr>
          <w:rFonts w:ascii="仿宋" w:hAnsi="仿宋" w:eastAsia="仿宋"/>
        </w:rPr>
        <w:t>，全国人大常委会原副委员长、中国关工委主任顾秀莲</w:t>
      </w:r>
      <w:r>
        <w:rPr>
          <w:rFonts w:hint="eastAsia" w:ascii="仿宋" w:hAnsi="仿宋" w:eastAsia="仿宋"/>
        </w:rPr>
        <w:t>亲</w:t>
      </w:r>
      <w:r>
        <w:rPr>
          <w:rFonts w:ascii="仿宋" w:hAnsi="仿宋" w:eastAsia="仿宋"/>
        </w:rPr>
        <w:t>临我馆</w:t>
      </w:r>
      <w:r>
        <w:rPr>
          <w:rFonts w:hint="eastAsia" w:ascii="仿宋" w:hAnsi="仿宋" w:eastAsia="仿宋"/>
        </w:rPr>
        <w:t>考察</w:t>
      </w:r>
      <w:r>
        <w:rPr>
          <w:rFonts w:ascii="仿宋" w:hAnsi="仿宋" w:eastAsia="仿宋"/>
        </w:rPr>
        <w:t>并授牌</w:t>
      </w:r>
      <w:r>
        <w:rPr>
          <w:rFonts w:hint="eastAsia" w:ascii="仿宋" w:hAnsi="仿宋" w:eastAsia="仿宋"/>
        </w:rPr>
        <w:t>。</w:t>
      </w:r>
    </w:p>
    <w:p>
      <w:pPr>
        <w:pStyle w:val="2"/>
        <w:ind w:left="0" w:leftChars="0" w:firstLine="704" w:firstLineChars="220"/>
        <w:rPr>
          <w:rFonts w:ascii="仿宋" w:hAnsi="仿宋" w:eastAsia="仿宋"/>
        </w:rPr>
      </w:pPr>
      <w:r>
        <w:rPr>
          <w:rFonts w:ascii="仿宋" w:hAnsi="仿宋" w:eastAsia="仿宋"/>
        </w:rPr>
        <w:t>3</w:t>
      </w:r>
      <w:r>
        <w:rPr>
          <w:rFonts w:hint="eastAsia" w:ascii="仿宋" w:hAnsi="仿宋" w:eastAsia="仿宋"/>
        </w:rPr>
        <w:t>、2019年4月</w:t>
      </w:r>
      <w:r>
        <w:rPr>
          <w:rFonts w:ascii="仿宋" w:hAnsi="仿宋" w:eastAsia="仿宋"/>
        </w:rPr>
        <w:t>，</w:t>
      </w:r>
      <w:r>
        <w:rPr>
          <w:rFonts w:hint="eastAsia" w:ascii="仿宋" w:hAnsi="仿宋" w:eastAsia="仿宋"/>
        </w:rPr>
        <w:t>中</w:t>
      </w:r>
      <w:r>
        <w:rPr>
          <w:rFonts w:ascii="仿宋" w:hAnsi="仿宋" w:eastAsia="仿宋"/>
        </w:rPr>
        <w:t>宣部宣教局在重庆市举办“新时代公民道德建设工作培训班”，</w:t>
      </w:r>
      <w:r>
        <w:rPr>
          <w:rFonts w:hint="eastAsia" w:ascii="仿宋" w:hAnsi="仿宋" w:eastAsia="仿宋"/>
        </w:rPr>
        <w:t>我</w:t>
      </w:r>
      <w:r>
        <w:rPr>
          <w:rFonts w:ascii="仿宋" w:hAnsi="仿宋" w:eastAsia="仿宋"/>
        </w:rPr>
        <w:t>馆作为全国爱国主义教育示范基地的唯一</w:t>
      </w:r>
      <w:r>
        <w:rPr>
          <w:rFonts w:hint="eastAsia" w:ascii="仿宋" w:hAnsi="仿宋" w:eastAsia="仿宋"/>
        </w:rPr>
        <w:t>代</w:t>
      </w:r>
      <w:r>
        <w:rPr>
          <w:rFonts w:ascii="仿宋" w:hAnsi="仿宋" w:eastAsia="仿宋"/>
        </w:rPr>
        <w:t>表与会，并在培训班上作“让雷锋精神绽放时代光芒”为主题的交流发言。</w:t>
      </w:r>
    </w:p>
    <w:p>
      <w:pPr>
        <w:ind w:right="-301" w:rightChars="-94" w:firstLine="640" w:firstLineChars="200"/>
        <w:jc w:val="left"/>
        <w:rPr>
          <w:rFonts w:ascii="仿宋" w:hAnsi="仿宋" w:eastAsia="仿宋"/>
        </w:rPr>
      </w:pPr>
      <w:r>
        <w:rPr>
          <w:rFonts w:ascii="仿宋" w:hAnsi="仿宋" w:eastAsia="仿宋"/>
        </w:rPr>
        <w:t>4</w:t>
      </w:r>
      <w:r>
        <w:rPr>
          <w:rFonts w:hint="eastAsia" w:ascii="仿宋" w:hAnsi="仿宋" w:eastAsia="仿宋"/>
        </w:rPr>
        <w:t>、2019年5月</w:t>
      </w:r>
      <w:r>
        <w:rPr>
          <w:rFonts w:ascii="仿宋" w:hAnsi="仿宋" w:eastAsia="仿宋"/>
        </w:rPr>
        <w:t>，</w:t>
      </w:r>
      <w:r>
        <w:rPr>
          <w:rFonts w:hint="eastAsia" w:ascii="仿宋" w:hAnsi="仿宋" w:eastAsia="仿宋"/>
        </w:rPr>
        <w:t>被中</w:t>
      </w:r>
      <w:r>
        <w:rPr>
          <w:rFonts w:ascii="仿宋" w:hAnsi="仿宋" w:eastAsia="仿宋"/>
        </w:rPr>
        <w:t>共湖南省委宣传部、湖南省社会科学</w:t>
      </w:r>
      <w:r>
        <w:rPr>
          <w:rFonts w:hint="eastAsia" w:ascii="仿宋" w:hAnsi="仿宋" w:eastAsia="仿宋"/>
        </w:rPr>
        <w:t>界</w:t>
      </w:r>
      <w:r>
        <w:rPr>
          <w:rFonts w:ascii="仿宋" w:hAnsi="仿宋" w:eastAsia="仿宋"/>
        </w:rPr>
        <w:t>联合会</w:t>
      </w:r>
      <w:r>
        <w:rPr>
          <w:rFonts w:hint="eastAsia" w:ascii="仿宋" w:hAnsi="仿宋" w:eastAsia="仿宋"/>
        </w:rPr>
        <w:t>、</w:t>
      </w:r>
      <w:r>
        <w:rPr>
          <w:rFonts w:ascii="仿宋" w:hAnsi="仿宋" w:eastAsia="仿宋"/>
        </w:rPr>
        <w:t>湖南省教育厅</w:t>
      </w:r>
      <w:r>
        <w:rPr>
          <w:rFonts w:hint="eastAsia" w:ascii="仿宋" w:hAnsi="仿宋" w:eastAsia="仿宋"/>
        </w:rPr>
        <w:t>、</w:t>
      </w:r>
      <w:r>
        <w:rPr>
          <w:rFonts w:ascii="仿宋" w:hAnsi="仿宋" w:eastAsia="仿宋"/>
        </w:rPr>
        <w:t>湖南省科技厅、湖南省新闻出版广电局、湖南省文明办授予“湖南省社会科学普及基地”</w:t>
      </w:r>
      <w:r>
        <w:rPr>
          <w:rFonts w:hint="eastAsia" w:ascii="仿宋" w:hAnsi="仿宋" w:eastAsia="仿宋"/>
        </w:rPr>
        <w:t>。</w:t>
      </w:r>
    </w:p>
    <w:p>
      <w:pPr>
        <w:ind w:right="-301" w:rightChars="-94" w:firstLine="566" w:firstLineChars="177"/>
        <w:jc w:val="left"/>
        <w:rPr>
          <w:rFonts w:ascii="仿宋" w:hAnsi="仿宋" w:eastAsia="仿宋" w:cs="仿宋_GB2312"/>
        </w:rPr>
      </w:pPr>
      <w:r>
        <w:rPr>
          <w:rFonts w:hint="eastAsia"/>
        </w:rPr>
        <w:t>5、</w:t>
      </w:r>
      <w:r>
        <w:rPr>
          <w:rFonts w:hint="eastAsia" w:ascii="仿宋" w:hAnsi="仿宋" w:eastAsia="仿宋" w:cs="仿宋_GB2312"/>
        </w:rPr>
        <w:t>2019年3月</w:t>
      </w:r>
      <w:r>
        <w:rPr>
          <w:rFonts w:ascii="仿宋" w:hAnsi="仿宋" w:eastAsia="仿宋" w:cs="仿宋_GB2312"/>
        </w:rPr>
        <w:t>，被长沙市全民国防教育</w:t>
      </w:r>
      <w:r>
        <w:rPr>
          <w:rFonts w:hint="eastAsia" w:ascii="仿宋" w:hAnsi="仿宋" w:eastAsia="仿宋" w:cs="仿宋_GB2312"/>
        </w:rPr>
        <w:t>委员会授予“</w:t>
      </w:r>
      <w:r>
        <w:rPr>
          <w:rFonts w:ascii="仿宋" w:hAnsi="仿宋" w:eastAsia="仿宋" w:cs="仿宋_GB2312"/>
        </w:rPr>
        <w:t>全民国防教育工作先进单位”</w:t>
      </w:r>
      <w:r>
        <w:rPr>
          <w:rFonts w:hint="eastAsia" w:ascii="仿宋" w:hAnsi="仿宋" w:eastAsia="仿宋" w:cs="仿宋_GB2312"/>
        </w:rPr>
        <w:t>；</w:t>
      </w:r>
    </w:p>
    <w:p>
      <w:pPr>
        <w:ind w:right="-301" w:rightChars="-94" w:firstLine="566" w:firstLineChars="177"/>
        <w:jc w:val="left"/>
        <w:rPr>
          <w:rFonts w:ascii="仿宋" w:hAnsi="仿宋" w:eastAsia="仿宋"/>
        </w:rPr>
      </w:pPr>
      <w:r>
        <w:rPr>
          <w:rFonts w:ascii="仿宋" w:hAnsi="仿宋" w:eastAsia="仿宋"/>
        </w:rPr>
        <w:t>6</w:t>
      </w:r>
      <w:r>
        <w:rPr>
          <w:rFonts w:hint="eastAsia" w:ascii="仿宋" w:hAnsi="仿宋" w:eastAsia="仿宋"/>
        </w:rPr>
        <w:t>、《新时代，雷锋与我们同行》《深刻解读雷锋“钉子精神”》在分</w:t>
      </w:r>
      <w:r>
        <w:rPr>
          <w:rFonts w:ascii="仿宋" w:hAnsi="仿宋" w:eastAsia="仿宋"/>
        </w:rPr>
        <w:t>别</w:t>
      </w:r>
      <w:r>
        <w:rPr>
          <w:rFonts w:hint="eastAsia" w:ascii="仿宋" w:hAnsi="仿宋" w:eastAsia="仿宋"/>
        </w:rPr>
        <w:t>市</w:t>
      </w:r>
      <w:r>
        <w:rPr>
          <w:rFonts w:ascii="仿宋" w:hAnsi="仿宋" w:eastAsia="仿宋"/>
        </w:rPr>
        <w:t>、区</w:t>
      </w:r>
      <w:r>
        <w:rPr>
          <w:rFonts w:hint="eastAsia" w:ascii="仿宋" w:hAnsi="仿宋" w:eastAsia="仿宋"/>
        </w:rPr>
        <w:t>党性教育精品课程竞赛中被评为精品课程；2019年3月，我馆被市直机关工委授予首批“长沙市直机关党员教育基地。”</w:t>
      </w:r>
    </w:p>
    <w:p>
      <w:pPr>
        <w:spacing w:line="600" w:lineRule="exact"/>
        <w:ind w:firstLine="640" w:firstLineChars="200"/>
        <w:rPr>
          <w:rFonts w:hAnsi="仿宋_GB2312" w:cs="仿宋_GB2312"/>
        </w:rPr>
      </w:pPr>
      <w:r>
        <w:rPr>
          <w:rFonts w:hint="eastAsia" w:hAnsi="仿宋_GB2312" w:cs="仿宋_GB2312"/>
        </w:rPr>
        <w:t>7、2019年12月，我馆物业被评为“五星级物业服务企业”。</w:t>
      </w:r>
    </w:p>
    <w:p>
      <w:pPr>
        <w:spacing w:line="600" w:lineRule="exact"/>
        <w:ind w:left="627" w:leftChars="196"/>
        <w:rPr>
          <w:rFonts w:ascii="楷体" w:hAnsi="楷体" w:eastAsia="楷体"/>
          <w:b/>
          <w:bCs/>
        </w:rPr>
      </w:pPr>
      <w:r>
        <w:rPr>
          <w:rFonts w:hint="eastAsia" w:ascii="楷体" w:hAnsi="楷体" w:eastAsia="楷体"/>
          <w:b/>
          <w:bCs/>
        </w:rPr>
        <w:t>（三）</w:t>
      </w:r>
      <w:r>
        <w:rPr>
          <w:rFonts w:ascii="楷体" w:hAnsi="楷体" w:eastAsia="楷体"/>
          <w:b/>
          <w:bCs/>
        </w:rPr>
        <w:t>社会满意度情况</w:t>
      </w:r>
      <w:r>
        <w:rPr>
          <w:rFonts w:hint="eastAsia" w:ascii="楷体" w:hAnsi="楷体" w:eastAsia="楷体"/>
          <w:b/>
          <w:bCs/>
        </w:rPr>
        <w:t>：</w:t>
      </w:r>
    </w:p>
    <w:p>
      <w:pPr>
        <w:spacing w:line="600" w:lineRule="exact"/>
        <w:ind w:right="170" w:rightChars="53" w:firstLine="640" w:firstLineChars="200"/>
      </w:pPr>
      <w:r>
        <w:rPr>
          <w:rFonts w:hint="eastAsia"/>
        </w:rPr>
        <w:t>2019年</w:t>
      </w:r>
      <w:r>
        <w:t>，我馆在做好免费开放各项服务接待工作的同时，</w:t>
      </w:r>
      <w:r>
        <w:rPr>
          <w:rFonts w:hint="eastAsia"/>
        </w:rPr>
        <w:t>不</w:t>
      </w:r>
      <w:r>
        <w:t>断</w:t>
      </w:r>
      <w:r>
        <w:rPr>
          <w:rFonts w:hint="eastAsia"/>
        </w:rPr>
        <w:t>加大馆</w:t>
      </w:r>
      <w:r>
        <w:t>区基础设施建设和</w:t>
      </w:r>
      <w:r>
        <w:rPr>
          <w:rFonts w:hint="eastAsia"/>
        </w:rPr>
        <w:t>陈</w:t>
      </w:r>
      <w:r>
        <w:t>展文保</w:t>
      </w:r>
      <w:r>
        <w:rPr>
          <w:rFonts w:hint="eastAsia"/>
        </w:rPr>
        <w:t>工作</w:t>
      </w:r>
      <w:r>
        <w:t>力度，各项工作</w:t>
      </w:r>
      <w:r>
        <w:rPr>
          <w:rFonts w:hint="eastAsia"/>
        </w:rPr>
        <w:t>稳</w:t>
      </w:r>
      <w:r>
        <w:t>步推进</w:t>
      </w:r>
      <w:r>
        <w:rPr>
          <w:rFonts w:hint="eastAsia"/>
        </w:rPr>
        <w:t>。中</w:t>
      </w:r>
      <w:r>
        <w:t>央、省、市主流媒体</w:t>
      </w:r>
      <w:r>
        <w:rPr>
          <w:rFonts w:hint="eastAsia"/>
        </w:rPr>
        <w:t>多</w:t>
      </w:r>
      <w:r>
        <w:t>次</w:t>
      </w:r>
      <w:r>
        <w:rPr>
          <w:rFonts w:hint="eastAsia"/>
        </w:rPr>
        <w:t>聚焦</w:t>
      </w:r>
      <w:r>
        <w:t>宣传报道，</w:t>
      </w:r>
      <w:r>
        <w:rPr>
          <w:rFonts w:hint="eastAsia"/>
        </w:rPr>
        <w:t>雷锋</w:t>
      </w:r>
      <w:r>
        <w:t>纪念馆的工作赢得社会各界一致好评</w:t>
      </w:r>
      <w:r>
        <w:rPr>
          <w:rFonts w:hint="eastAsia"/>
        </w:rPr>
        <w:t>，实现</w:t>
      </w:r>
      <w:r>
        <w:t>馆区全年</w:t>
      </w:r>
      <w:r>
        <w:rPr>
          <w:rFonts w:hint="eastAsia"/>
        </w:rPr>
        <w:t>零</w:t>
      </w:r>
      <w:r>
        <w:t>投诉、零</w:t>
      </w:r>
      <w:r>
        <w:rPr>
          <w:rFonts w:hint="eastAsia"/>
        </w:rPr>
        <w:t>事故，观众满意</w:t>
      </w:r>
      <w:r>
        <w:t>度持续提升</w:t>
      </w:r>
      <w:r>
        <w:rPr>
          <w:rFonts w:hint="eastAsia"/>
        </w:rPr>
        <w:t>。</w:t>
      </w:r>
    </w:p>
    <w:p>
      <w:pPr>
        <w:spacing w:line="600" w:lineRule="exact"/>
        <w:ind w:firstLine="640" w:firstLineChars="200"/>
        <w:rPr>
          <w:rFonts w:ascii="Times New Roman" w:hAnsi="Times New Roman" w:eastAsia="黑体"/>
        </w:rPr>
      </w:pPr>
      <w:r>
        <w:rPr>
          <w:rFonts w:hint="eastAsia" w:ascii="Times New Roman" w:hAnsi="Times New Roman" w:eastAsia="黑体"/>
        </w:rPr>
        <w:t>六</w:t>
      </w:r>
      <w:r>
        <w:rPr>
          <w:rFonts w:ascii="Times New Roman" w:hAnsi="Times New Roman" w:eastAsia="黑体"/>
        </w:rPr>
        <w:t>、</w:t>
      </w:r>
      <w:r>
        <w:rPr>
          <w:rFonts w:hint="eastAsia" w:ascii="Times New Roman" w:hAnsi="Times New Roman" w:eastAsia="黑体"/>
        </w:rPr>
        <w:t>单位</w:t>
      </w:r>
      <w:r>
        <w:rPr>
          <w:rFonts w:ascii="Times New Roman" w:hAnsi="Times New Roman" w:eastAsia="黑体"/>
        </w:rPr>
        <w:t>整体支出绩效中存在问题及改进措施</w:t>
      </w:r>
    </w:p>
    <w:p>
      <w:pPr>
        <w:spacing w:line="600" w:lineRule="exact"/>
        <w:ind w:firstLine="643" w:firstLineChars="200"/>
        <w:rPr>
          <w:rFonts w:ascii="楷体" w:hAnsi="楷体" w:eastAsia="楷体"/>
          <w:b/>
          <w:bCs/>
        </w:rPr>
      </w:pPr>
      <w:r>
        <w:rPr>
          <w:rFonts w:ascii="楷体" w:hAnsi="楷体" w:eastAsia="楷体"/>
          <w:b/>
          <w:bCs/>
        </w:rPr>
        <w:t>（一）主要问题及原因分析</w:t>
      </w:r>
    </w:p>
    <w:p>
      <w:pPr>
        <w:spacing w:line="600" w:lineRule="exact"/>
        <w:ind w:firstLine="640" w:firstLineChars="200"/>
      </w:pPr>
      <w:r>
        <w:rPr>
          <w:rFonts w:hint="eastAsia" w:hAnsi="仿宋_GB2312" w:cs="仿宋_GB2312"/>
        </w:rPr>
        <w:t>预算资金与实际资金用途</w:t>
      </w:r>
      <w:r>
        <w:rPr>
          <w:rFonts w:hAnsi="仿宋_GB2312" w:cs="仿宋_GB2312"/>
        </w:rPr>
        <w:t>略有偏差</w:t>
      </w:r>
      <w:r>
        <w:rPr>
          <w:rFonts w:hint="eastAsia" w:hAnsi="仿宋_GB2312" w:cs="仿宋_GB2312"/>
        </w:rPr>
        <w:t>，主</w:t>
      </w:r>
      <w:r>
        <w:rPr>
          <w:rFonts w:hAnsi="仿宋_GB2312" w:cs="仿宋_GB2312"/>
        </w:rPr>
        <w:t>要是</w:t>
      </w:r>
      <w:r>
        <w:rPr>
          <w:rFonts w:hint="eastAsia" w:hAnsi="仿宋_GB2312" w:cs="仿宋_GB2312"/>
        </w:rPr>
        <w:t>有些项目年初尚</w:t>
      </w:r>
      <w:r>
        <w:rPr>
          <w:rFonts w:hAnsi="仿宋_GB2312" w:cs="仿宋_GB2312"/>
        </w:rPr>
        <w:t>未铺排，有些项目属于上级</w:t>
      </w:r>
      <w:r>
        <w:rPr>
          <w:rFonts w:hint="eastAsia" w:hAnsi="仿宋_GB2312" w:cs="仿宋_GB2312"/>
        </w:rPr>
        <w:t>年</w:t>
      </w:r>
      <w:r>
        <w:rPr>
          <w:rFonts w:hAnsi="仿宋_GB2312" w:cs="仿宋_GB2312"/>
        </w:rPr>
        <w:t>中交办事项，</w:t>
      </w:r>
      <w:r>
        <w:rPr>
          <w:rFonts w:hint="eastAsia" w:hAnsi="仿宋_GB2312" w:cs="仿宋_GB2312"/>
        </w:rPr>
        <w:t>存在</w:t>
      </w:r>
      <w:r>
        <w:rPr>
          <w:rFonts w:hAnsi="仿宋_GB2312" w:cs="仿宋_GB2312"/>
        </w:rPr>
        <w:t>无法预见性</w:t>
      </w:r>
      <w:r>
        <w:rPr>
          <w:rFonts w:hint="eastAsia" w:hAnsi="仿宋_GB2312" w:cs="仿宋_GB2312"/>
        </w:rPr>
        <w:t>。</w:t>
      </w:r>
    </w:p>
    <w:p>
      <w:pPr>
        <w:spacing w:line="600" w:lineRule="exact"/>
        <w:ind w:firstLine="643" w:firstLineChars="200"/>
        <w:rPr>
          <w:rFonts w:ascii="楷体" w:hAnsi="楷体" w:eastAsia="楷体"/>
          <w:b/>
          <w:bCs/>
        </w:rPr>
      </w:pPr>
      <w:r>
        <w:rPr>
          <w:rFonts w:hint="eastAsia" w:ascii="楷体" w:hAnsi="楷体" w:eastAsia="楷体"/>
          <w:b/>
          <w:bCs/>
        </w:rPr>
        <w:t>（二）</w:t>
      </w:r>
      <w:r>
        <w:rPr>
          <w:rFonts w:ascii="楷体" w:hAnsi="楷体" w:eastAsia="楷体"/>
          <w:b/>
          <w:bCs/>
        </w:rPr>
        <w:t>改进的方向和具体措施</w:t>
      </w:r>
    </w:p>
    <w:p>
      <w:pPr>
        <w:ind w:firstLine="640" w:firstLineChars="200"/>
      </w:pPr>
      <w:r>
        <w:rPr>
          <w:rFonts w:hint="eastAsia"/>
        </w:rPr>
        <w:t>重新修订了《雷锋纪念馆规章制度汇编》，明确了各岗位职责和奖惩原则，为馆区精细化管理提供了制度遵循。在项目资金的使用上，紧贴工作</w:t>
      </w:r>
      <w:r>
        <w:t>实际</w:t>
      </w:r>
      <w:r>
        <w:rPr>
          <w:rFonts w:hint="eastAsia"/>
        </w:rPr>
        <w:t>，确保既</w:t>
      </w:r>
      <w:r>
        <w:t>高质量完成各项工作任务，</w:t>
      </w:r>
      <w:r>
        <w:rPr>
          <w:rFonts w:hint="eastAsia"/>
        </w:rPr>
        <w:t>又</w:t>
      </w:r>
      <w:r>
        <w:t>合</w:t>
      </w:r>
      <w:r>
        <w:rPr>
          <w:rFonts w:hint="eastAsia"/>
        </w:rPr>
        <w:t>理、合规、</w:t>
      </w:r>
      <w:r>
        <w:t>科</w:t>
      </w:r>
      <w:r>
        <w:rPr>
          <w:rFonts w:hint="eastAsia"/>
        </w:rPr>
        <w:t>学进</w:t>
      </w:r>
      <w:r>
        <w:t>行资</w:t>
      </w:r>
      <w:r>
        <w:rPr>
          <w:rFonts w:hint="eastAsia"/>
        </w:rPr>
        <w:t>金</w:t>
      </w:r>
      <w:r>
        <w:t>调度</w:t>
      </w:r>
      <w:r>
        <w:rPr>
          <w:rFonts w:hint="eastAsia"/>
        </w:rPr>
        <w:t>，</w:t>
      </w:r>
      <w:r>
        <w:t>充分发挥财政资金的最大效益</w:t>
      </w:r>
      <w:r>
        <w:rPr>
          <w:rFonts w:hint="eastAsia"/>
        </w:rPr>
        <w:t>。</w:t>
      </w:r>
    </w:p>
    <w:p>
      <w:pPr>
        <w:spacing w:line="600" w:lineRule="exact"/>
        <w:ind w:firstLine="640" w:firstLineChars="200"/>
        <w:rPr>
          <w:rFonts w:ascii="Times New Roman" w:hAnsi="Times New Roman"/>
        </w:rPr>
      </w:pPr>
      <w:r>
        <w:rPr>
          <w:rFonts w:ascii="Times New Roman" w:hAnsi="Times New Roman" w:eastAsia="黑体"/>
        </w:rPr>
        <w:t>七、其它需要说明的情况</w:t>
      </w:r>
    </w:p>
    <w:p>
      <w:pPr>
        <w:spacing w:line="600" w:lineRule="exact"/>
        <w:ind w:firstLine="640" w:firstLineChars="200"/>
      </w:pPr>
      <w:r>
        <w:rPr>
          <w:rFonts w:hint="eastAsia"/>
        </w:rPr>
        <w:t>无</w:t>
      </w:r>
    </w:p>
    <w:p>
      <w:pPr>
        <w:pStyle w:val="2"/>
        <w:ind w:left="640" w:firstLine="640"/>
      </w:pPr>
    </w:p>
    <w:p>
      <w:pPr>
        <w:pStyle w:val="2"/>
        <w:ind w:left="640" w:firstLine="640"/>
        <w:jc w:val="right"/>
      </w:pPr>
      <w:r>
        <w:rPr>
          <w:rFonts w:hint="eastAsia"/>
        </w:rPr>
        <w:t>长沙</w:t>
      </w:r>
      <w:r>
        <w:t>市望城区雷锋纪念馆</w:t>
      </w:r>
    </w:p>
    <w:p>
      <w:pPr>
        <w:pStyle w:val="2"/>
        <w:ind w:left="640" w:right="640" w:firstLine="1280" w:firstLineChars="400"/>
        <w:jc w:val="right"/>
      </w:pPr>
      <w:bookmarkStart w:id="0" w:name="_GoBack"/>
      <w:bookmarkEnd w:id="0"/>
    </w:p>
    <w:sectPr>
      <w:footerReference r:id="rId3" w:type="default"/>
      <w:footerReference r:id="rId4"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6"/>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5 -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6"/>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6 -</w:t>
        </w:r>
        <w:r>
          <w:rPr>
            <w:rFonts w:hint="eastAsia" w:ascii="仿宋" w:hAnsi="仿宋" w:eastAsia="仿宋" w:cs="仿宋"/>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3BBC0"/>
    <w:multiLevelType w:val="singleLevel"/>
    <w:tmpl w:val="2813BBC0"/>
    <w:lvl w:ilvl="0" w:tentative="0">
      <w:start w:val="11"/>
      <w:numFmt w:val="decimal"/>
      <w:suff w:val="nothing"/>
      <w:lvlText w:val="%1、"/>
      <w:lvlJc w:val="left"/>
    </w:lvl>
  </w:abstractNum>
  <w:abstractNum w:abstractNumId="1">
    <w:nsid w:val="63C2FC85"/>
    <w:multiLevelType w:val="singleLevel"/>
    <w:tmpl w:val="63C2FC8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D2CAB"/>
    <w:rsid w:val="001E275B"/>
    <w:rsid w:val="001E6B38"/>
    <w:rsid w:val="001F591B"/>
    <w:rsid w:val="001F7A6C"/>
    <w:rsid w:val="00225B82"/>
    <w:rsid w:val="002436E5"/>
    <w:rsid w:val="002603D7"/>
    <w:rsid w:val="00263876"/>
    <w:rsid w:val="00264568"/>
    <w:rsid w:val="00274F4A"/>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A062D"/>
    <w:rsid w:val="004C06F3"/>
    <w:rsid w:val="004C0FAE"/>
    <w:rsid w:val="004C37B2"/>
    <w:rsid w:val="004C420F"/>
    <w:rsid w:val="004E1BAF"/>
    <w:rsid w:val="004E5D1E"/>
    <w:rsid w:val="004E5E17"/>
    <w:rsid w:val="004F0CA3"/>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0B53"/>
    <w:rsid w:val="008A4AAA"/>
    <w:rsid w:val="008A7835"/>
    <w:rsid w:val="008C2636"/>
    <w:rsid w:val="008C5FEB"/>
    <w:rsid w:val="008D1C56"/>
    <w:rsid w:val="008D26E3"/>
    <w:rsid w:val="0095469C"/>
    <w:rsid w:val="00964943"/>
    <w:rsid w:val="009B1AC1"/>
    <w:rsid w:val="009B2C90"/>
    <w:rsid w:val="009B7757"/>
    <w:rsid w:val="009D37B4"/>
    <w:rsid w:val="009F0B2A"/>
    <w:rsid w:val="00A00E85"/>
    <w:rsid w:val="00A11870"/>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56EE5"/>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23520"/>
    <w:rsid w:val="00E52CEA"/>
    <w:rsid w:val="00E52FA1"/>
    <w:rsid w:val="00E62C0E"/>
    <w:rsid w:val="00E70E00"/>
    <w:rsid w:val="00E73C44"/>
    <w:rsid w:val="00E84E5F"/>
    <w:rsid w:val="00EA025F"/>
    <w:rsid w:val="00EA1811"/>
    <w:rsid w:val="00EA55DF"/>
    <w:rsid w:val="00ED2F0B"/>
    <w:rsid w:val="00EE50E1"/>
    <w:rsid w:val="00EF1810"/>
    <w:rsid w:val="00EF1F61"/>
    <w:rsid w:val="00EF320C"/>
    <w:rsid w:val="00F007A3"/>
    <w:rsid w:val="00F246BC"/>
    <w:rsid w:val="00F24D5C"/>
    <w:rsid w:val="00F30595"/>
    <w:rsid w:val="00F353B4"/>
    <w:rsid w:val="00F3588E"/>
    <w:rsid w:val="00F46099"/>
    <w:rsid w:val="00F5351D"/>
    <w:rsid w:val="00F562FB"/>
    <w:rsid w:val="00F63924"/>
    <w:rsid w:val="00F9050D"/>
    <w:rsid w:val="00FE675D"/>
    <w:rsid w:val="00FF096C"/>
    <w:rsid w:val="024B7610"/>
    <w:rsid w:val="02904630"/>
    <w:rsid w:val="02DF2789"/>
    <w:rsid w:val="02ED0A04"/>
    <w:rsid w:val="03044238"/>
    <w:rsid w:val="032E23EC"/>
    <w:rsid w:val="03465690"/>
    <w:rsid w:val="03905C46"/>
    <w:rsid w:val="042F6008"/>
    <w:rsid w:val="047E57B2"/>
    <w:rsid w:val="056272EF"/>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AE07036"/>
    <w:rsid w:val="0B574BAB"/>
    <w:rsid w:val="0BC91002"/>
    <w:rsid w:val="0C4D5D6A"/>
    <w:rsid w:val="0CD66D6A"/>
    <w:rsid w:val="0CD76BCE"/>
    <w:rsid w:val="0E3D5C14"/>
    <w:rsid w:val="0E494602"/>
    <w:rsid w:val="0E70774D"/>
    <w:rsid w:val="0E7116F8"/>
    <w:rsid w:val="0F776F49"/>
    <w:rsid w:val="10174485"/>
    <w:rsid w:val="10F6548A"/>
    <w:rsid w:val="11F44ABD"/>
    <w:rsid w:val="12241950"/>
    <w:rsid w:val="12261667"/>
    <w:rsid w:val="127861E7"/>
    <w:rsid w:val="12826B84"/>
    <w:rsid w:val="12B308AF"/>
    <w:rsid w:val="12F7621C"/>
    <w:rsid w:val="13C56F60"/>
    <w:rsid w:val="13D36475"/>
    <w:rsid w:val="14B21B34"/>
    <w:rsid w:val="16044C16"/>
    <w:rsid w:val="170C48FB"/>
    <w:rsid w:val="176D24AC"/>
    <w:rsid w:val="176F0FF1"/>
    <w:rsid w:val="17832D68"/>
    <w:rsid w:val="18514931"/>
    <w:rsid w:val="19DB4F8D"/>
    <w:rsid w:val="1A485342"/>
    <w:rsid w:val="1A8F1739"/>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2C2C22"/>
    <w:rsid w:val="2CAA1E0C"/>
    <w:rsid w:val="2D35264F"/>
    <w:rsid w:val="2D857649"/>
    <w:rsid w:val="2D8B0528"/>
    <w:rsid w:val="2E2A32A9"/>
    <w:rsid w:val="2E4134C1"/>
    <w:rsid w:val="2E760F0A"/>
    <w:rsid w:val="2F7755CB"/>
    <w:rsid w:val="2FF37397"/>
    <w:rsid w:val="30106775"/>
    <w:rsid w:val="30E93A29"/>
    <w:rsid w:val="31E3128D"/>
    <w:rsid w:val="32C47BFF"/>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D8F5B92"/>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DF5F12"/>
    <w:rsid w:val="65E55ECE"/>
    <w:rsid w:val="65F53B49"/>
    <w:rsid w:val="663452C2"/>
    <w:rsid w:val="663C3183"/>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6A6CAF"/>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CF7D5A"/>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style>
  <w:style w:type="paragraph" w:styleId="4">
    <w:name w:val="Date"/>
    <w:basedOn w:val="1"/>
    <w:next w:val="1"/>
    <w:link w:val="15"/>
    <w:semiHidden/>
    <w:qFormat/>
    <w:uiPriority w:val="99"/>
    <w:pPr>
      <w:spacing w:line="240" w:lineRule="auto"/>
      <w:ind w:left="100" w:leftChars="2500"/>
    </w:pPr>
    <w:rPr>
      <w:rFonts w:ascii="Times New Roman" w:hAnsi="Times New Roman" w:eastAsia="宋体"/>
      <w:kern w:val="0"/>
      <w:sz w:val="24"/>
      <w:szCs w:val="24"/>
    </w:rPr>
  </w:style>
  <w:style w:type="paragraph" w:styleId="5">
    <w:name w:val="Balloon Text"/>
    <w:basedOn w:val="1"/>
    <w:link w:val="14"/>
    <w:semiHidden/>
    <w:unhideWhenUsed/>
    <w:qFormat/>
    <w:uiPriority w:val="99"/>
    <w:pPr>
      <w:spacing w:line="240" w:lineRule="auto"/>
    </w:pPr>
    <w:rPr>
      <w:sz w:val="18"/>
      <w:szCs w:val="18"/>
    </w:rPr>
  </w:style>
  <w:style w:type="paragraph" w:styleId="6">
    <w:name w:val="footer"/>
    <w:basedOn w:val="1"/>
    <w:link w:val="13"/>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2"/>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9">
    <w:name w:val="page number"/>
    <w:basedOn w:val="8"/>
    <w:qFormat/>
    <w:uiPriority w:val="0"/>
  </w:style>
  <w:style w:type="paragraph" w:customStyle="1" w:styleId="11">
    <w:name w:val="Char"/>
    <w:basedOn w:val="1"/>
    <w:qFormat/>
    <w:uiPriority w:val="99"/>
    <w:pPr>
      <w:spacing w:line="240" w:lineRule="auto"/>
    </w:pPr>
    <w:rPr>
      <w:rFonts w:ascii="Times New Roman" w:hAnsi="Times New Roman" w:eastAsia="宋体"/>
      <w:sz w:val="21"/>
      <w:szCs w:val="20"/>
    </w:rPr>
  </w:style>
  <w:style w:type="character" w:customStyle="1" w:styleId="12">
    <w:name w:val="页眉 Char"/>
    <w:link w:val="7"/>
    <w:qFormat/>
    <w:locked/>
    <w:uiPriority w:val="99"/>
    <w:rPr>
      <w:rFonts w:ascii="仿宋_GB2312" w:hAnsi="Calibri" w:eastAsia="仿宋_GB2312" w:cs="Times New Roman"/>
      <w:sz w:val="18"/>
      <w:szCs w:val="18"/>
    </w:rPr>
  </w:style>
  <w:style w:type="character" w:customStyle="1" w:styleId="13">
    <w:name w:val="页脚 Char"/>
    <w:link w:val="6"/>
    <w:qFormat/>
    <w:locked/>
    <w:uiPriority w:val="99"/>
    <w:rPr>
      <w:rFonts w:ascii="仿宋_GB2312" w:hAnsi="Calibri" w:eastAsia="仿宋_GB2312" w:cs="Times New Roman"/>
      <w:sz w:val="18"/>
      <w:szCs w:val="18"/>
    </w:rPr>
  </w:style>
  <w:style w:type="character" w:customStyle="1" w:styleId="14">
    <w:name w:val="批注框文本 Char"/>
    <w:link w:val="5"/>
    <w:semiHidden/>
    <w:qFormat/>
    <w:uiPriority w:val="99"/>
    <w:rPr>
      <w:rFonts w:ascii="仿宋_GB2312" w:eastAsia="仿宋_GB2312"/>
      <w:kern w:val="2"/>
      <w:sz w:val="18"/>
      <w:szCs w:val="18"/>
    </w:rPr>
  </w:style>
  <w:style w:type="character" w:customStyle="1" w:styleId="15">
    <w:name w:val="日期 Char"/>
    <w:link w:val="4"/>
    <w:semiHidden/>
    <w:qFormat/>
    <w:locked/>
    <w:uiPriority w:val="99"/>
    <w:rPr>
      <w:rFonts w:ascii="Times New Roman" w:hAnsi="Times New Roman"/>
      <w:sz w:val="24"/>
      <w:szCs w:val="24"/>
    </w:rPr>
  </w:style>
  <w:style w:type="character" w:customStyle="1" w:styleId="16">
    <w:name w:val="日期 Char1"/>
    <w:basedOn w:val="8"/>
    <w:semiHidden/>
    <w:qFormat/>
    <w:uiPriority w:val="99"/>
    <w:rPr>
      <w:rFonts w:ascii="仿宋_GB2312" w:eastAsia="仿宋_GB2312"/>
      <w:kern w:val="2"/>
      <w:sz w:val="32"/>
      <w:szCs w:val="32"/>
    </w:rPr>
  </w:style>
  <w:style w:type="paragraph" w:styleId="1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435</Words>
  <Characters>2483</Characters>
  <Lines>20</Lines>
  <Paragraphs>5</Paragraphs>
  <TotalTime>84</TotalTime>
  <ScaleCrop>false</ScaleCrop>
  <LinksUpToDate>false</LinksUpToDate>
  <CharactersWithSpaces>2913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SS</cp:lastModifiedBy>
  <cp:lastPrinted>2020-03-26T03:38:00Z</cp:lastPrinted>
  <dcterms:modified xsi:type="dcterms:W3CDTF">2021-05-11T01:21:07Z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