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94BC4">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Style w:val="5"/>
          <w:rFonts w:hint="eastAsia" w:ascii="宋体" w:hAnsi="宋体"/>
          <w:b/>
          <w:bCs/>
          <w:color w:val="auto"/>
          <w:sz w:val="36"/>
          <w:szCs w:val="36"/>
          <w:highlight w:val="none"/>
          <w:lang w:val="en-US" w:eastAsia="zh-CN"/>
        </w:rPr>
      </w:pPr>
      <w:r>
        <w:rPr>
          <w:rFonts w:hint="eastAsia" w:hAnsi="宋体"/>
          <w:b/>
          <w:bCs/>
          <w:color w:val="auto"/>
          <w:sz w:val="36"/>
          <w:szCs w:val="36"/>
          <w:highlight w:val="none"/>
          <w:lang w:val="en-US" w:eastAsia="zh-CN"/>
        </w:rPr>
        <w:t>白沙洲街道黄田村(旺旺路-板凳形泵站)水系恢复工程</w:t>
      </w:r>
      <w:r>
        <w:rPr>
          <w:rFonts w:hint="eastAsia" w:hAnsi="宋体"/>
          <w:b/>
          <w:bCs/>
          <w:color w:val="auto"/>
          <w:sz w:val="36"/>
          <w:szCs w:val="36"/>
          <w:highlight w:val="none"/>
        </w:rPr>
        <w:t>竞争性</w:t>
      </w:r>
      <w:bookmarkStart w:id="3" w:name="_GoBack"/>
      <w:bookmarkEnd w:id="3"/>
      <w:r>
        <w:rPr>
          <w:rStyle w:val="5"/>
          <w:rFonts w:hint="eastAsia" w:ascii="宋体" w:hAnsi="宋体"/>
          <w:b/>
          <w:bCs/>
          <w:color w:val="auto"/>
          <w:sz w:val="36"/>
          <w:szCs w:val="36"/>
          <w:highlight w:val="none"/>
        </w:rPr>
        <w:t>磋商</w:t>
      </w:r>
      <w:r>
        <w:rPr>
          <w:rStyle w:val="5"/>
          <w:rFonts w:hint="eastAsia" w:ascii="宋体" w:hAnsi="宋体"/>
          <w:b/>
          <w:bCs/>
          <w:color w:val="auto"/>
          <w:sz w:val="36"/>
          <w:szCs w:val="36"/>
          <w:highlight w:val="none"/>
          <w:lang w:val="en-US" w:eastAsia="zh-CN"/>
        </w:rPr>
        <w:t>公告</w:t>
      </w:r>
    </w:p>
    <w:p w14:paraId="7217F0CA">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firstLineChars="200"/>
        <w:textAlignment w:val="auto"/>
        <w:rPr>
          <w:rStyle w:val="5"/>
          <w:rFonts w:hint="eastAsia" w:ascii="宋体" w:hAnsi="宋体"/>
          <w:b/>
          <w:bCs/>
          <w:color w:val="auto"/>
          <w:sz w:val="36"/>
          <w:szCs w:val="36"/>
          <w:highlight w:val="none"/>
          <w:lang w:val="en-US" w:eastAsia="zh-CN"/>
        </w:rPr>
      </w:pPr>
      <w:r>
        <w:rPr>
          <w:rFonts w:hint="eastAsia" w:ascii="宋体" w:hAnsi="宋体" w:cs="宋体"/>
          <w:color w:val="auto"/>
          <w:szCs w:val="21"/>
          <w:highlight w:val="none"/>
          <w:lang w:val="en-US" w:eastAsia="zh-CN"/>
        </w:rPr>
        <w:t>湖南中智联和工程造价管理有限公司</w:t>
      </w:r>
      <w:r>
        <w:rPr>
          <w:rFonts w:hint="eastAsia" w:ascii="宋体" w:hAnsi="宋体" w:cs="宋体"/>
          <w:color w:val="auto"/>
          <w:szCs w:val="21"/>
          <w:highlight w:val="none"/>
        </w:rPr>
        <w:t>受</w:t>
      </w:r>
      <w:r>
        <w:rPr>
          <w:rFonts w:hint="eastAsia" w:ascii="宋体" w:hAnsi="宋体" w:cs="宋体"/>
          <w:color w:val="auto"/>
          <w:szCs w:val="21"/>
          <w:highlight w:val="none"/>
          <w:u w:val="single"/>
          <w:lang w:eastAsia="zh-CN"/>
        </w:rPr>
        <w:t>望城区白沙洲街道黄田村村民委员会</w:t>
      </w:r>
      <w:r>
        <w:rPr>
          <w:rFonts w:hint="eastAsia" w:ascii="宋体" w:hAnsi="宋体" w:cs="宋体"/>
          <w:color w:val="auto"/>
          <w:szCs w:val="21"/>
          <w:highlight w:val="none"/>
        </w:rPr>
        <w:t>的委托，对其</w:t>
      </w:r>
      <w:r>
        <w:rPr>
          <w:rFonts w:hint="eastAsia" w:ascii="宋体" w:hAnsi="宋体" w:cs="宋体"/>
          <w:color w:val="auto"/>
          <w:szCs w:val="21"/>
          <w:highlight w:val="none"/>
          <w:u w:val="single"/>
          <w:lang w:val="en-US" w:eastAsia="zh-CN"/>
        </w:rPr>
        <w:t xml:space="preserve">白沙洲街道黄田村(旺旺路-板凳形泵站)水系恢复工程 </w:t>
      </w:r>
      <w:r>
        <w:rPr>
          <w:rFonts w:hint="eastAsia" w:ascii="宋体" w:hAnsi="宋体" w:cs="宋体"/>
          <w:color w:val="auto"/>
          <w:szCs w:val="21"/>
          <w:highlight w:val="none"/>
        </w:rPr>
        <w:t>进行竞争性磋商采购，采用发布公告方式，邀请符合资格条件的供应商参与竞争性磋商采购活动。</w:t>
      </w:r>
    </w:p>
    <w:p w14:paraId="5A96CA25">
      <w:pPr>
        <w:keepNext w:val="0"/>
        <w:keepLines w:val="0"/>
        <w:pageBreakBefore w:val="0"/>
        <w:shd w:val="clear" w:color="auto" w:fill="auto"/>
        <w:overflowPunct/>
        <w:topLinePunct w:val="0"/>
        <w:bidi w:val="0"/>
        <w:spacing w:line="360" w:lineRule="auto"/>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一、采购项目基本概况</w:t>
      </w:r>
    </w:p>
    <w:p w14:paraId="66622572">
      <w:pPr>
        <w:keepNext w:val="0"/>
        <w:keepLines w:val="0"/>
        <w:pageBreakBefore w:val="0"/>
        <w:shd w:val="clear" w:color="auto" w:fill="auto"/>
        <w:overflowPunct/>
        <w:topLinePunct w:val="0"/>
        <w:bidi w:val="0"/>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1、采购项目名称： </w:t>
      </w:r>
      <w:r>
        <w:rPr>
          <w:rFonts w:hint="eastAsia" w:ascii="宋体" w:hAnsi="宋体" w:cs="宋体"/>
          <w:color w:val="auto"/>
          <w:szCs w:val="21"/>
          <w:highlight w:val="none"/>
          <w:u w:val="single"/>
          <w:lang w:val="en-US" w:eastAsia="zh-CN"/>
        </w:rPr>
        <w:t xml:space="preserve">白沙洲街道黄田村(旺旺路-板凳形泵站)水系恢复工程 </w:t>
      </w:r>
    </w:p>
    <w:p w14:paraId="3F443AD3">
      <w:pPr>
        <w:keepNext w:val="0"/>
        <w:keepLines w:val="0"/>
        <w:pageBreakBefore w:val="0"/>
        <w:shd w:val="clear" w:color="auto" w:fill="auto"/>
        <w:overflowPunct/>
        <w:topLinePunct w:val="0"/>
        <w:bidi w:val="0"/>
        <w:spacing w:line="360" w:lineRule="auto"/>
        <w:ind w:firstLine="424" w:firstLineChars="202"/>
        <w:rPr>
          <w:rFonts w:hint="eastAsia" w:ascii="宋体" w:hAnsi="宋体" w:cs="宋体"/>
          <w:color w:val="auto"/>
          <w:szCs w:val="21"/>
          <w:highlight w:val="none"/>
          <w:u w:val="singl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、委托代理编号：</w:t>
      </w:r>
      <w:r>
        <w:rPr>
          <w:rFonts w:hint="eastAsia" w:ascii="宋体" w:hAnsi="宋体" w:cs="宋体"/>
          <w:color w:val="auto"/>
          <w:szCs w:val="21"/>
          <w:highlight w:val="none"/>
          <w:u w:val="single"/>
          <w:lang w:eastAsia="zh-CN"/>
        </w:rPr>
        <w:t>ZZLH-CG-2025-027</w:t>
      </w:r>
    </w:p>
    <w:p w14:paraId="3B32602F">
      <w:pPr>
        <w:keepNext w:val="0"/>
        <w:keepLines w:val="0"/>
        <w:pageBreakBefore w:val="0"/>
        <w:shd w:val="clear" w:color="auto" w:fill="auto"/>
        <w:overflowPunct/>
        <w:topLinePunct w:val="0"/>
        <w:bidi w:val="0"/>
        <w:spacing w:line="360" w:lineRule="auto"/>
        <w:ind w:firstLine="424" w:firstLineChars="202"/>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、采购项目标的、数量及简要规格描述或项目基本概况介绍：详见磋商文件“第四章 采购需求”。</w:t>
      </w:r>
    </w:p>
    <w:p w14:paraId="12C8A10A">
      <w:pPr>
        <w:keepNext w:val="0"/>
        <w:keepLines w:val="0"/>
        <w:pageBreakBefore w:val="0"/>
        <w:shd w:val="clear" w:color="auto" w:fill="auto"/>
        <w:overflowPunct/>
        <w:topLinePunct w:val="0"/>
        <w:bidi w:val="0"/>
        <w:spacing w:line="360" w:lineRule="auto"/>
        <w:ind w:firstLine="422" w:firstLineChars="200"/>
        <w:rPr>
          <w:rFonts w:hint="eastAsia" w:ascii="宋体" w:hAnsi="宋体" w:eastAsia="宋体" w:cs="宋体"/>
          <w:b/>
          <w:bCs w:val="0"/>
          <w:color w:val="auto"/>
          <w:szCs w:val="21"/>
          <w:highlight w:val="none"/>
          <w:u w:val="none"/>
          <w:lang w:val="en-US" w:eastAsia="zh-CN"/>
        </w:rPr>
      </w:pPr>
      <w:r>
        <w:rPr>
          <w:rFonts w:hint="eastAsia" w:ascii="宋体" w:hAnsi="宋体" w:cs="宋体"/>
          <w:b/>
          <w:bCs w:val="0"/>
          <w:color w:val="auto"/>
          <w:szCs w:val="21"/>
          <w:highlight w:val="none"/>
          <w:u w:val="none"/>
        </w:rPr>
        <w:t>二、采购项目预算：</w:t>
      </w:r>
      <w:r>
        <w:rPr>
          <w:rFonts w:hint="eastAsia" w:ascii="宋体" w:hAnsi="宋体" w:eastAsia="宋体" w:cs="宋体"/>
          <w:b/>
          <w:bCs w:val="0"/>
          <w:color w:val="auto"/>
          <w:szCs w:val="21"/>
          <w:highlight w:val="none"/>
          <w:u w:val="none"/>
          <w:lang w:val="en-US" w:eastAsia="zh-CN"/>
        </w:rPr>
        <w:t>人民币1166880.02元</w:t>
      </w:r>
    </w:p>
    <w:p w14:paraId="7B8749E7">
      <w:pPr>
        <w:keepNext w:val="0"/>
        <w:keepLines w:val="0"/>
        <w:pageBreakBefore w:val="0"/>
        <w:shd w:val="clear" w:color="auto" w:fill="auto"/>
        <w:overflowPunct/>
        <w:topLinePunct w:val="0"/>
        <w:bidi w:val="0"/>
        <w:spacing w:line="360" w:lineRule="auto"/>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三、供应商资格条件：</w:t>
      </w:r>
    </w:p>
    <w:p w14:paraId="62D46756">
      <w:pPr>
        <w:keepNext w:val="0"/>
        <w:keepLines w:val="0"/>
        <w:pageBreakBefore w:val="0"/>
        <w:overflowPunct/>
        <w:topLinePunct w:val="0"/>
        <w:bidi w:val="0"/>
        <w:adjustRightInd w:val="0"/>
        <w:snapToGrid w:val="0"/>
        <w:spacing w:line="360" w:lineRule="auto"/>
        <w:ind w:firstLine="422" w:firstLineChars="200"/>
        <w:rPr>
          <w:rFonts w:ascii="宋体" w:hAnsi="宋体" w:eastAsia="宋体" w:cs="宋体"/>
          <w:color w:val="auto"/>
          <w:sz w:val="21"/>
          <w:szCs w:val="24"/>
          <w:u w:val="none"/>
        </w:rPr>
      </w:pPr>
      <w:bookmarkStart w:id="0" w:name="_Toc24981_WPSOffice_Level2"/>
      <w:r>
        <w:rPr>
          <w:rFonts w:hint="eastAsia" w:ascii="宋体" w:hAnsi="宋体" w:eastAsia="宋体" w:cs="Times New Roman"/>
          <w:b/>
          <w:bCs/>
          <w:sz w:val="21"/>
          <w:szCs w:val="21"/>
          <w:highlight w:val="none"/>
          <w:u w:val="none"/>
        </w:rPr>
        <w:t>1、基本资格条件</w:t>
      </w:r>
      <w:r>
        <w:rPr>
          <w:rFonts w:hint="eastAsia" w:ascii="宋体" w:hAnsi="宋体" w:eastAsia="宋体" w:cs="Times New Roman"/>
          <w:sz w:val="21"/>
          <w:szCs w:val="21"/>
          <w:highlight w:val="none"/>
          <w:u w:val="none"/>
        </w:rPr>
        <w:t>：</w:t>
      </w:r>
      <w:r>
        <w:rPr>
          <w:rFonts w:hint="eastAsia" w:ascii="宋体" w:hAnsi="宋体" w:eastAsia="宋体" w:cs="Times New Roman"/>
          <w:color w:val="auto"/>
          <w:sz w:val="21"/>
          <w:szCs w:val="21"/>
          <w:highlight w:val="none"/>
          <w:u w:val="none"/>
        </w:rPr>
        <w:t>供应商应当符合《政府采购法》第二十二条规定</w:t>
      </w:r>
      <w:r>
        <w:rPr>
          <w:rFonts w:hint="eastAsia" w:ascii="宋体" w:hAnsi="宋体" w:eastAsia="宋体" w:cs="宋体"/>
          <w:color w:val="auto"/>
          <w:sz w:val="21"/>
          <w:szCs w:val="24"/>
          <w:u w:val="none"/>
        </w:rPr>
        <w:t>；</w:t>
      </w:r>
    </w:p>
    <w:p w14:paraId="34D4E9AF">
      <w:pPr>
        <w:keepNext w:val="0"/>
        <w:keepLines w:val="0"/>
        <w:pageBreakBefore w:val="0"/>
        <w:overflowPunct/>
        <w:topLinePunct w:val="0"/>
        <w:bidi w:val="0"/>
        <w:adjustRightInd w:val="0"/>
        <w:snapToGrid w:val="0"/>
        <w:spacing w:line="360" w:lineRule="auto"/>
        <w:ind w:firstLine="420" w:firstLineChars="200"/>
        <w:rPr>
          <w:rFonts w:hint="eastAsia" w:ascii="宋体" w:hAnsi="宋体" w:eastAsia="宋体" w:cs="宋体"/>
          <w:color w:val="auto"/>
          <w:sz w:val="21"/>
          <w:szCs w:val="24"/>
          <w:u w:val="none"/>
        </w:rPr>
      </w:pPr>
      <w:r>
        <w:rPr>
          <w:rFonts w:hint="eastAsia" w:ascii="宋体" w:hAnsi="宋体" w:eastAsia="宋体" w:cs="宋体"/>
          <w:color w:val="auto"/>
          <w:sz w:val="21"/>
          <w:szCs w:val="24"/>
          <w:u w:val="none"/>
        </w:rPr>
        <w:t>2、落实政府采购政策需满足的资格要求：</w:t>
      </w:r>
    </w:p>
    <w:p w14:paraId="79DF5534">
      <w:pPr>
        <w:keepNext w:val="0"/>
        <w:keepLines w:val="0"/>
        <w:pageBreakBefore w:val="0"/>
        <w:overflowPunct/>
        <w:topLinePunct w:val="0"/>
        <w:bidi w:val="0"/>
        <w:adjustRightInd w:val="0"/>
        <w:snapToGrid w:val="0"/>
        <w:spacing w:line="360" w:lineRule="auto"/>
        <w:ind w:firstLine="420" w:firstLineChars="200"/>
        <w:rPr>
          <w:rFonts w:ascii="宋体" w:hAnsi="宋体" w:eastAsia="宋体" w:cs="宋体"/>
          <w:color w:val="auto"/>
          <w:sz w:val="21"/>
          <w:szCs w:val="24"/>
          <w:u w:val="none"/>
        </w:rPr>
      </w:pPr>
      <w:r>
        <w:rPr>
          <w:rFonts w:hint="eastAsia" w:ascii="宋体" w:hAnsi="宋体" w:eastAsia="宋体" w:cs="宋体"/>
          <w:color w:val="auto"/>
          <w:sz w:val="21"/>
          <w:szCs w:val="24"/>
          <w:u w:val="none"/>
        </w:rPr>
        <w:t>（1）法人提交企业法人营业执照副本(或者法人登记证书)复印件；</w:t>
      </w:r>
    </w:p>
    <w:p w14:paraId="44FC8CEC">
      <w:pPr>
        <w:keepNext w:val="0"/>
        <w:keepLines w:val="0"/>
        <w:pageBreakBefore w:val="0"/>
        <w:overflowPunct/>
        <w:topLinePunct w:val="0"/>
        <w:bidi w:val="0"/>
        <w:adjustRightInd w:val="0"/>
        <w:snapToGrid w:val="0"/>
        <w:spacing w:line="360" w:lineRule="auto"/>
        <w:ind w:firstLine="420" w:firstLineChars="200"/>
        <w:rPr>
          <w:rFonts w:ascii="宋体" w:hAnsi="宋体" w:eastAsia="宋体" w:cs="宋体"/>
          <w:color w:val="auto"/>
          <w:sz w:val="21"/>
          <w:szCs w:val="24"/>
          <w:u w:val="none"/>
        </w:rPr>
      </w:pPr>
      <w:r>
        <w:rPr>
          <w:rFonts w:hint="eastAsia" w:ascii="宋体" w:hAnsi="宋体" w:eastAsia="宋体" w:cs="宋体"/>
          <w:color w:val="auto"/>
          <w:sz w:val="21"/>
          <w:szCs w:val="24"/>
          <w:u w:val="none"/>
        </w:rPr>
        <w:t>（2）法人提交法定代表人身份证明原件或者法定代表人授权委托书原件并附法定代表人身份证明原件；自然人提交身份证明复印件；</w:t>
      </w:r>
    </w:p>
    <w:p w14:paraId="10525C09">
      <w:pPr>
        <w:keepNext w:val="0"/>
        <w:keepLines w:val="0"/>
        <w:pageBreakBefore w:val="0"/>
        <w:overflowPunct/>
        <w:topLinePunct w:val="0"/>
        <w:bidi w:val="0"/>
        <w:adjustRightInd w:val="0"/>
        <w:snapToGrid w:val="0"/>
        <w:spacing w:line="360" w:lineRule="auto"/>
        <w:ind w:firstLine="420" w:firstLineChars="200"/>
        <w:rPr>
          <w:rFonts w:ascii="宋体" w:hAnsi="宋体" w:eastAsia="宋体" w:cs="宋体"/>
          <w:color w:val="auto"/>
          <w:sz w:val="21"/>
          <w:szCs w:val="21"/>
          <w:u w:val="none"/>
        </w:rPr>
      </w:pPr>
      <w:r>
        <w:rPr>
          <w:rFonts w:hint="eastAsia" w:ascii="宋体" w:hAnsi="宋体" w:eastAsia="宋体" w:cs="宋体"/>
          <w:color w:val="auto"/>
          <w:sz w:val="21"/>
          <w:szCs w:val="21"/>
          <w:u w:val="none"/>
        </w:rPr>
        <w:t>（3）提供《供应商资格承诺函》（格式详见响应文件组成部分）；</w:t>
      </w:r>
    </w:p>
    <w:p w14:paraId="30A4AF96">
      <w:pPr>
        <w:keepNext w:val="0"/>
        <w:keepLines w:val="0"/>
        <w:pageBreakBefore w:val="0"/>
        <w:overflowPunct/>
        <w:topLinePunct w:val="0"/>
        <w:bidi w:val="0"/>
        <w:adjustRightInd w:val="0"/>
        <w:snapToGrid w:val="0"/>
        <w:spacing w:line="360" w:lineRule="auto"/>
        <w:ind w:firstLine="420" w:firstLineChars="200"/>
        <w:jc w:val="left"/>
        <w:rPr>
          <w:rFonts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3</w:t>
      </w:r>
      <w:r>
        <w:rPr>
          <w:rFonts w:hint="eastAsia" w:ascii="宋体" w:hAnsi="宋体" w:eastAsia="宋体" w:cs="宋体"/>
          <w:color w:val="auto"/>
          <w:sz w:val="21"/>
          <w:szCs w:val="21"/>
          <w:u w:val="none"/>
        </w:rPr>
        <w:t>、其他说明：</w:t>
      </w:r>
      <w:r>
        <w:rPr>
          <w:rFonts w:hint="eastAsia" w:ascii="宋体" w:hAnsi="宋体" w:eastAsia="宋体" w:cs="宋体"/>
          <w:b/>
          <w:bCs/>
          <w:color w:val="auto"/>
          <w:kern w:val="0"/>
          <w:sz w:val="21"/>
          <w:szCs w:val="24"/>
          <w:highlight w:val="none"/>
          <w:u w:val="none"/>
          <w:lang w:bidi="zh-CN"/>
        </w:rPr>
        <w:t>①投标人具有实行了“三证合一”登记制度改革的新证，视同为持有工商营业执照、组织机构代码证和税务登记证，实行了“五证合一”登记制度改革的新证，视同为持有工商营业执照、组织机构代码证、税务登记证、社保登记证和统计登记证；符合基本资格条件的相关条款（“三证合一”为国发【2015】33号文件规定，2015年10月1日执行；“五证合一”为国发【2016】53号文件规定，2016年10月1日执行）实行了“三证合一”或者“五证合一”的，请自行说明。②供应商凭《供应商资格承诺函》（格式详见投标文件组成）参与采购活动，无需提供财务状况报告、依法缴纳税收和社会保障资金的相关文件材料、参加采购活动前3年在经营活动中没有重大违法记录的书面声明。③被“信用中国”网站列入失信被执行人和重大税收违法案件当事人名单的、被“中国政府采购网”网站列入政府采购严重违法失信行为记录名单（处罚期限尚未届满的），不得参与本项目的采购活动</w:t>
      </w:r>
      <w:r>
        <w:rPr>
          <w:rFonts w:hint="eastAsia" w:ascii="宋体" w:hAnsi="宋体" w:eastAsia="宋体" w:cs="宋体"/>
          <w:color w:val="auto"/>
          <w:sz w:val="21"/>
          <w:szCs w:val="21"/>
          <w:u w:val="none"/>
        </w:rPr>
        <w:t>。</w:t>
      </w:r>
    </w:p>
    <w:p w14:paraId="1AB83D2D">
      <w:pPr>
        <w:keepNext w:val="0"/>
        <w:keepLines w:val="0"/>
        <w:pageBreakBefore w:val="0"/>
        <w:widowControl/>
        <w:kinsoku w:val="0"/>
        <w:wordWrap/>
        <w:overflowPunct/>
        <w:topLinePunct w:val="0"/>
        <w:autoSpaceDE w:val="0"/>
        <w:autoSpaceDN w:val="0"/>
        <w:bidi w:val="0"/>
        <w:adjustRightInd w:val="0"/>
        <w:snapToGrid w:val="0"/>
        <w:spacing w:line="360" w:lineRule="auto"/>
        <w:ind w:left="1" w:right="144" w:firstLine="389"/>
        <w:textAlignment w:val="baseline"/>
        <w:rPr>
          <w:rFonts w:hint="eastAsia" w:ascii="宋体" w:hAnsi="宋体" w:eastAsia="宋体" w:cs="宋体"/>
          <w:spacing w:val="2"/>
          <w:sz w:val="21"/>
          <w:szCs w:val="21"/>
          <w:highlight w:val="none"/>
        </w:rPr>
      </w:pPr>
      <w:r>
        <w:rPr>
          <w:rFonts w:hint="eastAsia" w:ascii="宋体" w:hAnsi="宋体" w:eastAsia="宋体" w:cs="Times New Roman"/>
          <w:b/>
          <w:bCs/>
          <w:sz w:val="21"/>
          <w:szCs w:val="21"/>
          <w:highlight w:val="none"/>
          <w:u w:val="none"/>
          <w:lang w:val="en-US" w:eastAsia="zh-CN"/>
        </w:rPr>
        <w:t>4</w:t>
      </w:r>
      <w:r>
        <w:rPr>
          <w:rFonts w:hint="eastAsia" w:ascii="宋体" w:hAnsi="宋体" w:eastAsia="宋体" w:cs="Times New Roman"/>
          <w:b/>
          <w:bCs/>
          <w:sz w:val="21"/>
          <w:szCs w:val="21"/>
          <w:highlight w:val="none"/>
          <w:u w:val="none"/>
        </w:rPr>
        <w:t>、特定资格条件：</w:t>
      </w:r>
      <w:r>
        <w:rPr>
          <w:rFonts w:hint="eastAsia" w:ascii="宋体" w:hAnsi="宋体" w:eastAsia="宋体" w:cs="宋体"/>
          <w:spacing w:val="2"/>
          <w:sz w:val="21"/>
          <w:szCs w:val="21"/>
          <w:highlight w:val="none"/>
        </w:rPr>
        <w:t>1</w:t>
      </w:r>
      <w:r>
        <w:rPr>
          <w:rFonts w:hint="eastAsia" w:ascii="宋体" w:hAnsi="宋体" w:eastAsia="宋体" w:cs="宋体"/>
          <w:spacing w:val="2"/>
          <w:sz w:val="21"/>
          <w:szCs w:val="21"/>
          <w:highlight w:val="none"/>
          <w:lang w:eastAsia="zh-CN"/>
        </w:rPr>
        <w:t>）具备住房城乡建设主管部门颁发的市政公用工程施工总承包三级及以上资质，安全生产许可证处于有效期；省外入湘企业应在“湖南省住房和城乡建设网”进行基本信息登记；省外入湘企业应在“湖南省住房和城乡建设网”进行基本信息登记。</w:t>
      </w:r>
    </w:p>
    <w:p w14:paraId="14D33BBC">
      <w:pPr>
        <w:keepNext w:val="0"/>
        <w:keepLines w:val="0"/>
        <w:pageBreakBefore w:val="0"/>
        <w:widowControl/>
        <w:kinsoku w:val="0"/>
        <w:wordWrap/>
        <w:overflowPunct/>
        <w:topLinePunct w:val="0"/>
        <w:autoSpaceDE w:val="0"/>
        <w:autoSpaceDN w:val="0"/>
        <w:bidi w:val="0"/>
        <w:adjustRightInd w:val="0"/>
        <w:snapToGrid w:val="0"/>
        <w:spacing w:line="360" w:lineRule="auto"/>
        <w:ind w:left="1" w:right="144" w:firstLine="389"/>
        <w:textAlignment w:val="baseline"/>
        <w:rPr>
          <w:rFonts w:hint="eastAsia" w:ascii="宋体" w:hAnsi="宋体" w:eastAsia="宋体" w:cs="宋体"/>
          <w:sz w:val="21"/>
          <w:szCs w:val="21"/>
          <w:highlight w:val="none"/>
        </w:rPr>
      </w:pPr>
      <w:r>
        <w:rPr>
          <w:rFonts w:hint="eastAsia" w:ascii="宋体" w:hAnsi="宋体" w:eastAsia="宋体" w:cs="宋体"/>
          <w:spacing w:val="4"/>
          <w:sz w:val="21"/>
          <w:szCs w:val="21"/>
          <w:highlight w:val="none"/>
        </w:rPr>
        <w:t>2</w:t>
      </w:r>
      <w:r>
        <w:rPr>
          <w:rFonts w:hint="eastAsia" w:ascii="宋体" w:hAnsi="宋体" w:eastAsia="宋体" w:cs="宋体"/>
          <w:spacing w:val="4"/>
          <w:sz w:val="21"/>
          <w:szCs w:val="21"/>
          <w:highlight w:val="none"/>
          <w:lang w:eastAsia="zh-CN"/>
        </w:rPr>
        <w:t>）</w:t>
      </w:r>
      <w:r>
        <w:rPr>
          <w:rFonts w:hint="eastAsia" w:ascii="宋体" w:hAnsi="宋体" w:eastAsia="宋体" w:cs="宋体"/>
          <w:spacing w:val="2"/>
          <w:sz w:val="21"/>
          <w:szCs w:val="21"/>
          <w:highlight w:val="none"/>
          <w:lang w:eastAsia="zh-CN"/>
        </w:rPr>
        <w:t>拟任项目负责人具备住房和城乡建设部注册的市政公用工程专业二级注册建造师及以上执业资格，具备项目负责人安全生产考核合格证书。</w:t>
      </w:r>
    </w:p>
    <w:p w14:paraId="297AA0AE">
      <w:pPr>
        <w:keepNext w:val="0"/>
        <w:keepLines w:val="0"/>
        <w:pageBreakBefore w:val="0"/>
        <w:overflowPunct/>
        <w:topLinePunct w:val="0"/>
        <w:bidi w:val="0"/>
        <w:spacing w:line="360" w:lineRule="auto"/>
        <w:ind w:firstLine="420" w:firstLineChars="200"/>
        <w:rPr>
          <w:rFonts w:ascii="宋体" w:hAnsi="宋体" w:eastAsia="宋体" w:cs="Times New Roman"/>
          <w:color w:val="auto"/>
          <w:sz w:val="21"/>
          <w:szCs w:val="24"/>
          <w:u w:val="none"/>
        </w:rPr>
      </w:pPr>
      <w:r>
        <w:rPr>
          <w:rFonts w:hint="eastAsia" w:ascii="宋体" w:hAnsi="宋体" w:eastAsia="宋体" w:cs="Times New Roman"/>
          <w:color w:val="auto"/>
          <w:sz w:val="21"/>
          <w:szCs w:val="24"/>
          <w:u w:val="none"/>
          <w:lang w:val="en-US" w:eastAsia="zh-CN"/>
        </w:rPr>
        <w:t>5</w:t>
      </w:r>
      <w:r>
        <w:rPr>
          <w:rFonts w:hint="eastAsia" w:ascii="宋体" w:hAnsi="宋体" w:eastAsia="宋体" w:cs="Times New Roman"/>
          <w:color w:val="auto"/>
          <w:sz w:val="21"/>
          <w:szCs w:val="24"/>
          <w:u w:val="none"/>
        </w:rPr>
        <w:t>、本次采购</w:t>
      </w:r>
      <w:r>
        <w:rPr>
          <w:rFonts w:hint="eastAsia" w:ascii="宋体" w:hAnsi="宋体" w:eastAsia="宋体" w:cs="Times New Roman"/>
          <w:b/>
          <w:color w:val="auto"/>
          <w:sz w:val="21"/>
          <w:szCs w:val="24"/>
          <w:u w:val="none"/>
        </w:rPr>
        <w:t>不接受</w:t>
      </w:r>
      <w:r>
        <w:rPr>
          <w:rFonts w:hint="eastAsia" w:ascii="宋体" w:hAnsi="宋体" w:eastAsia="宋体" w:cs="Times New Roman"/>
          <w:color w:val="auto"/>
          <w:sz w:val="21"/>
          <w:szCs w:val="24"/>
          <w:u w:val="none"/>
        </w:rPr>
        <w:t>联合体响应。</w:t>
      </w:r>
    </w:p>
    <w:p w14:paraId="72954A07">
      <w:pPr>
        <w:keepNext w:val="0"/>
        <w:keepLines w:val="0"/>
        <w:pageBreakBefore w:val="0"/>
        <w:overflowPunct/>
        <w:topLinePunct w:val="0"/>
        <w:bidi w:val="0"/>
        <w:spacing w:line="360" w:lineRule="auto"/>
        <w:ind w:firstLine="420" w:firstLineChars="200"/>
        <w:rPr>
          <w:rFonts w:ascii="宋体" w:hAnsi="宋体" w:eastAsia="宋体" w:cs="Times New Roman"/>
          <w:color w:val="auto"/>
          <w:sz w:val="21"/>
          <w:szCs w:val="24"/>
          <w:u w:val="none"/>
        </w:rPr>
      </w:pPr>
      <w:r>
        <w:rPr>
          <w:rFonts w:hint="eastAsia" w:ascii="宋体" w:hAnsi="宋体" w:eastAsia="宋体" w:cs="Times New Roman"/>
          <w:color w:val="auto"/>
          <w:sz w:val="21"/>
          <w:szCs w:val="24"/>
          <w:u w:val="none"/>
          <w:lang w:val="en-US" w:eastAsia="zh-CN"/>
        </w:rPr>
        <w:t>6</w:t>
      </w:r>
      <w:r>
        <w:rPr>
          <w:rFonts w:hint="eastAsia" w:ascii="宋体" w:hAnsi="宋体" w:eastAsia="宋体" w:cs="Times New Roman"/>
          <w:color w:val="auto"/>
          <w:sz w:val="21"/>
          <w:szCs w:val="24"/>
          <w:u w:val="none"/>
        </w:rPr>
        <w:t>、与采购人存在利害关系可能影响采购公正性的法人、其他组织或者个人，不得参加本项目响应。单位负责人为同一人或者存在控股、管理关系的不同单位，不得同时参加本采购项目的响应。</w:t>
      </w:r>
    </w:p>
    <w:p w14:paraId="30C1BEF8">
      <w:pPr>
        <w:keepNext w:val="0"/>
        <w:keepLines w:val="0"/>
        <w:pageBreakBefore w:val="0"/>
        <w:overflowPunct/>
        <w:topLinePunct w:val="0"/>
        <w:bidi w:val="0"/>
        <w:adjustRightInd w:val="0"/>
        <w:snapToGrid w:val="0"/>
        <w:spacing w:line="360" w:lineRule="auto"/>
        <w:jc w:val="left"/>
        <w:rPr>
          <w:rFonts w:hint="eastAsia" w:ascii="宋体" w:hAnsi="宋体" w:eastAsia="宋体" w:cs="Times New Roman"/>
          <w:b/>
          <w:sz w:val="21"/>
          <w:szCs w:val="21"/>
          <w:highlight w:val="none"/>
          <w:u w:val="none"/>
        </w:rPr>
      </w:pPr>
      <w:r>
        <w:rPr>
          <w:rFonts w:hint="eastAsia" w:ascii="宋体" w:hAnsi="宋体" w:eastAsia="宋体" w:cs="Times New Roman"/>
          <w:b/>
          <w:sz w:val="21"/>
          <w:szCs w:val="21"/>
          <w:highlight w:val="none"/>
          <w:u w:val="none"/>
        </w:rPr>
        <w:t>四、获取磋商文件的时间、地点、方式及磋商文件售价</w:t>
      </w:r>
      <w:bookmarkEnd w:id="0"/>
    </w:p>
    <w:p w14:paraId="1246BE12">
      <w:pPr>
        <w:keepNext w:val="0"/>
        <w:keepLines w:val="0"/>
        <w:pageBreakBefore w:val="0"/>
        <w:overflowPunct/>
        <w:topLinePunct w:val="0"/>
        <w:bidi w:val="0"/>
        <w:adjustRightInd w:val="0"/>
        <w:snapToGrid w:val="0"/>
        <w:spacing w:line="360" w:lineRule="auto"/>
        <w:ind w:firstLine="432"/>
        <w:rPr>
          <w:rFonts w:ascii="宋体" w:hAnsi="宋体" w:eastAsia="宋体" w:cs="宋体"/>
          <w:color w:val="auto"/>
          <w:sz w:val="21"/>
          <w:szCs w:val="21"/>
          <w:highlight w:val="none"/>
          <w:u w:val="none"/>
        </w:rPr>
      </w:pPr>
      <w:bookmarkStart w:id="1" w:name="_Toc123_WPSOffice_Level2"/>
      <w:r>
        <w:rPr>
          <w:rFonts w:hint="eastAsia" w:ascii="宋体" w:hAnsi="宋体" w:eastAsia="宋体" w:cs="Times New Roman"/>
          <w:sz w:val="21"/>
          <w:szCs w:val="21"/>
          <w:highlight w:val="none"/>
          <w:u w:val="none"/>
        </w:rPr>
        <w:t>1、凡有意参加磋商采购活动的，请于</w:t>
      </w:r>
      <w:r>
        <w:rPr>
          <w:rFonts w:hint="eastAsia" w:ascii="宋体" w:hAnsi="宋体" w:eastAsia="宋体" w:cs="Times New Roman"/>
          <w:sz w:val="21"/>
          <w:szCs w:val="21"/>
          <w:highlight w:val="none"/>
          <w:u w:val="single"/>
        </w:rPr>
        <w:t>2025</w:t>
      </w:r>
      <w:r>
        <w:rPr>
          <w:rFonts w:hint="eastAsia" w:ascii="宋体" w:hAnsi="宋体" w:eastAsia="宋体" w:cs="Times New Roman"/>
          <w:sz w:val="21"/>
          <w:szCs w:val="21"/>
          <w:highlight w:val="none"/>
          <w:u w:val="none"/>
        </w:rPr>
        <w:t>年</w:t>
      </w:r>
      <w:r>
        <w:rPr>
          <w:rFonts w:hint="eastAsia" w:ascii="宋体" w:hAnsi="宋体" w:eastAsia="宋体" w:cs="Times New Roman"/>
          <w:sz w:val="21"/>
          <w:szCs w:val="21"/>
          <w:highlight w:val="none"/>
          <w:u w:val="single"/>
          <w:lang w:val="en-US" w:eastAsia="zh-CN"/>
        </w:rPr>
        <w:t>12</w:t>
      </w:r>
      <w:r>
        <w:rPr>
          <w:rFonts w:hint="eastAsia" w:ascii="宋体" w:hAnsi="宋体" w:eastAsia="宋体" w:cs="Times New Roman"/>
          <w:sz w:val="21"/>
          <w:szCs w:val="21"/>
          <w:highlight w:val="none"/>
          <w:u w:val="none"/>
        </w:rPr>
        <w:t>月</w:t>
      </w:r>
      <w:r>
        <w:rPr>
          <w:rFonts w:hint="eastAsia" w:ascii="宋体" w:hAnsi="宋体" w:eastAsia="宋体" w:cs="Times New Roman"/>
          <w:sz w:val="21"/>
          <w:szCs w:val="21"/>
          <w:highlight w:val="none"/>
          <w:u w:val="single"/>
          <w:lang w:val="en-US" w:eastAsia="zh-CN"/>
        </w:rPr>
        <w:t xml:space="preserve"> 03 </w:t>
      </w:r>
      <w:r>
        <w:rPr>
          <w:rFonts w:hint="eastAsia" w:ascii="宋体" w:hAnsi="宋体" w:eastAsia="宋体" w:cs="Times New Roman"/>
          <w:sz w:val="21"/>
          <w:szCs w:val="21"/>
          <w:highlight w:val="none"/>
          <w:u w:val="none"/>
        </w:rPr>
        <w:t>日起至</w:t>
      </w:r>
      <w:r>
        <w:rPr>
          <w:rFonts w:hint="eastAsia" w:ascii="宋体" w:hAnsi="宋体" w:eastAsia="宋体" w:cs="Times New Roman"/>
          <w:sz w:val="21"/>
          <w:szCs w:val="21"/>
          <w:highlight w:val="none"/>
          <w:u w:val="single"/>
        </w:rPr>
        <w:t xml:space="preserve"> 2025</w:t>
      </w:r>
      <w:r>
        <w:rPr>
          <w:rFonts w:hint="eastAsia" w:ascii="宋体" w:hAnsi="宋体" w:eastAsia="宋体" w:cs="Times New Roman"/>
          <w:sz w:val="21"/>
          <w:szCs w:val="21"/>
          <w:highlight w:val="none"/>
          <w:u w:val="none"/>
        </w:rPr>
        <w:t>年</w:t>
      </w:r>
      <w:r>
        <w:rPr>
          <w:rFonts w:hint="eastAsia" w:ascii="宋体" w:hAnsi="宋体" w:eastAsia="宋体" w:cs="Times New Roman"/>
          <w:sz w:val="21"/>
          <w:szCs w:val="21"/>
          <w:highlight w:val="none"/>
          <w:u w:val="single"/>
          <w:lang w:val="en-US" w:eastAsia="zh-CN"/>
        </w:rPr>
        <w:t>12</w:t>
      </w:r>
      <w:r>
        <w:rPr>
          <w:rFonts w:hint="eastAsia" w:ascii="宋体" w:hAnsi="宋体" w:eastAsia="宋体" w:cs="Times New Roman"/>
          <w:sz w:val="21"/>
          <w:szCs w:val="21"/>
          <w:highlight w:val="none"/>
          <w:u w:val="none"/>
        </w:rPr>
        <w:t>月</w:t>
      </w:r>
      <w:r>
        <w:rPr>
          <w:rFonts w:hint="eastAsia" w:ascii="宋体" w:hAnsi="宋体" w:eastAsia="宋体" w:cs="Times New Roman"/>
          <w:sz w:val="21"/>
          <w:szCs w:val="21"/>
          <w:highlight w:val="none"/>
          <w:u w:val="single"/>
          <w:lang w:val="en-US" w:eastAsia="zh-CN"/>
        </w:rPr>
        <w:t xml:space="preserve"> 10</w:t>
      </w:r>
      <w:r>
        <w:rPr>
          <w:rFonts w:hint="eastAsia" w:ascii="宋体" w:hAnsi="宋体" w:eastAsia="宋体" w:cs="Times New Roman"/>
          <w:sz w:val="21"/>
          <w:szCs w:val="21"/>
          <w:highlight w:val="none"/>
          <w:u w:val="none"/>
        </w:rPr>
        <w:t>日(节假日除外)，每日上午</w:t>
      </w:r>
      <w:r>
        <w:rPr>
          <w:rFonts w:hint="eastAsia" w:ascii="宋体" w:hAnsi="宋体" w:eastAsia="宋体" w:cs="Times New Roman"/>
          <w:sz w:val="21"/>
          <w:szCs w:val="21"/>
          <w:highlight w:val="none"/>
          <w:u w:val="single"/>
          <w:lang w:val="en-US" w:eastAsia="zh-CN"/>
        </w:rPr>
        <w:t>09</w:t>
      </w:r>
      <w:r>
        <w:rPr>
          <w:rFonts w:hint="eastAsia" w:ascii="宋体" w:hAnsi="宋体" w:eastAsia="宋体" w:cs="Times New Roman"/>
          <w:sz w:val="21"/>
          <w:szCs w:val="21"/>
          <w:highlight w:val="none"/>
          <w:u w:val="single"/>
        </w:rPr>
        <w:t xml:space="preserve">：00 </w:t>
      </w:r>
      <w:r>
        <w:rPr>
          <w:rFonts w:hint="eastAsia" w:ascii="宋体" w:hAnsi="宋体" w:eastAsia="宋体" w:cs="Times New Roman"/>
          <w:sz w:val="21"/>
          <w:szCs w:val="21"/>
          <w:highlight w:val="none"/>
          <w:u w:val="none"/>
        </w:rPr>
        <w:t>至</w:t>
      </w:r>
      <w:r>
        <w:rPr>
          <w:rFonts w:hint="eastAsia" w:ascii="宋体" w:hAnsi="宋体" w:eastAsia="宋体" w:cs="Times New Roman"/>
          <w:sz w:val="21"/>
          <w:szCs w:val="21"/>
          <w:highlight w:val="none"/>
          <w:u w:val="single"/>
        </w:rPr>
        <w:t xml:space="preserve"> 12：00 </w:t>
      </w:r>
      <w:r>
        <w:rPr>
          <w:rFonts w:hint="eastAsia" w:ascii="宋体" w:hAnsi="宋体" w:eastAsia="宋体" w:cs="Times New Roman"/>
          <w:sz w:val="21"/>
          <w:szCs w:val="21"/>
          <w:highlight w:val="none"/>
          <w:u w:val="none"/>
        </w:rPr>
        <w:t>、下午</w:t>
      </w:r>
      <w:r>
        <w:rPr>
          <w:rFonts w:hint="eastAsia" w:ascii="宋体" w:hAnsi="宋体" w:eastAsia="宋体" w:cs="Times New Roman"/>
          <w:sz w:val="21"/>
          <w:szCs w:val="21"/>
          <w:highlight w:val="none"/>
          <w:u w:val="single"/>
        </w:rPr>
        <w:t xml:space="preserve"> 14：00 </w:t>
      </w:r>
      <w:r>
        <w:rPr>
          <w:rFonts w:hint="eastAsia" w:ascii="宋体" w:hAnsi="宋体" w:eastAsia="宋体" w:cs="Times New Roman"/>
          <w:sz w:val="21"/>
          <w:szCs w:val="21"/>
          <w:highlight w:val="none"/>
          <w:u w:val="none"/>
        </w:rPr>
        <w:t>至</w:t>
      </w:r>
      <w:r>
        <w:rPr>
          <w:rFonts w:hint="eastAsia" w:ascii="宋体" w:hAnsi="宋体" w:eastAsia="宋体" w:cs="Times New Roman"/>
          <w:sz w:val="21"/>
          <w:szCs w:val="21"/>
          <w:highlight w:val="none"/>
          <w:u w:val="single"/>
        </w:rPr>
        <w:t xml:space="preserve"> 17：00 </w:t>
      </w:r>
      <w:r>
        <w:rPr>
          <w:rFonts w:hint="eastAsia" w:ascii="宋体" w:hAnsi="宋体" w:eastAsia="宋体" w:cs="Times New Roman"/>
          <w:sz w:val="21"/>
          <w:szCs w:val="21"/>
          <w:highlight w:val="none"/>
          <w:u w:val="none"/>
        </w:rPr>
        <w:t>(北京时间)，</w:t>
      </w:r>
      <w:r>
        <w:rPr>
          <w:rFonts w:hint="eastAsia" w:ascii="宋体" w:hAnsi="宋体" w:eastAsia="宋体" w:cs="宋体"/>
          <w:color w:val="auto"/>
          <w:sz w:val="21"/>
          <w:szCs w:val="21"/>
          <w:highlight w:val="none"/>
          <w:u w:val="none"/>
        </w:rPr>
        <w:t>持以下盖章资料：①</w:t>
      </w:r>
      <w:r>
        <w:rPr>
          <w:rFonts w:ascii="宋体" w:hAnsi="宋体" w:eastAsia="宋体" w:cs="Times New Roman"/>
          <w:color w:val="auto"/>
          <w:sz w:val="21"/>
          <w:szCs w:val="24"/>
          <w:highlight w:val="none"/>
          <w:u w:val="none"/>
        </w:rPr>
        <w:t>营业执照或事业单位法人登记证书</w:t>
      </w:r>
      <w:r>
        <w:rPr>
          <w:rFonts w:hint="eastAsia" w:ascii="宋体" w:hAnsi="宋体" w:eastAsia="宋体" w:cs="宋体"/>
          <w:color w:val="auto"/>
          <w:sz w:val="21"/>
          <w:szCs w:val="21"/>
          <w:highlight w:val="none"/>
          <w:u w:val="none"/>
        </w:rPr>
        <w:t>②</w:t>
      </w:r>
      <w:r>
        <w:rPr>
          <w:rFonts w:ascii="宋体" w:hAnsi="宋体" w:eastAsia="宋体" w:cs="Times New Roman"/>
          <w:color w:val="auto"/>
          <w:sz w:val="21"/>
          <w:szCs w:val="24"/>
          <w:highlight w:val="none"/>
          <w:u w:val="none"/>
        </w:rPr>
        <w:t>法定代表人身份证明或授权委托书(附法定代表人身份证明)</w:t>
      </w:r>
      <w:r>
        <w:rPr>
          <w:rFonts w:hint="eastAsia" w:ascii="宋体" w:hAnsi="宋体" w:eastAsia="宋体" w:cs="宋体"/>
          <w:color w:val="auto"/>
          <w:sz w:val="21"/>
          <w:szCs w:val="21"/>
          <w:highlight w:val="none"/>
          <w:u w:val="none"/>
        </w:rPr>
        <w:t>③个人身份证到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eastAsia="zh-CN"/>
        </w:rPr>
        <w:t>湖南中智联和工程造价管理有限公司</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u w:val="single"/>
          <w:lang w:eastAsia="zh-CN"/>
        </w:rPr>
        <w:t>湖南省长沙市天心区林大路15号中云公寓2013房</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u w:val="none"/>
        </w:rPr>
        <w:t>领取磋商文件</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lang w:val="en-US" w:eastAsia="zh-CN"/>
        </w:rPr>
        <w:t>400元/份，售后不退。</w:t>
      </w:r>
      <w:r>
        <w:rPr>
          <w:rFonts w:hint="eastAsia" w:ascii="宋体" w:hAnsi="宋体" w:eastAsia="宋体" w:cs="宋体"/>
          <w:color w:val="auto"/>
          <w:sz w:val="21"/>
          <w:szCs w:val="21"/>
          <w:highlight w:val="none"/>
          <w:u w:val="none"/>
        </w:rPr>
        <w:t xml:space="preserve"> </w:t>
      </w:r>
    </w:p>
    <w:p w14:paraId="3319CDE6">
      <w:pPr>
        <w:keepNext w:val="0"/>
        <w:keepLines w:val="0"/>
        <w:pageBreakBefore w:val="0"/>
        <w:overflowPunct/>
        <w:topLinePunct w:val="0"/>
        <w:bidi w:val="0"/>
        <w:adjustRightInd w:val="0"/>
        <w:snapToGrid w:val="0"/>
        <w:spacing w:line="360" w:lineRule="auto"/>
        <w:rPr>
          <w:rFonts w:hint="eastAsia" w:ascii="宋体" w:hAnsi="宋体" w:eastAsia="宋体" w:cs="Times New Roman"/>
          <w:b/>
          <w:sz w:val="21"/>
          <w:szCs w:val="21"/>
          <w:highlight w:val="none"/>
          <w:u w:val="none"/>
        </w:rPr>
      </w:pPr>
      <w:r>
        <w:rPr>
          <w:rFonts w:hint="eastAsia" w:ascii="宋体" w:hAnsi="宋体" w:eastAsia="宋体" w:cs="Times New Roman"/>
          <w:b/>
          <w:sz w:val="21"/>
          <w:szCs w:val="21"/>
          <w:highlight w:val="none"/>
          <w:u w:val="none"/>
        </w:rPr>
        <w:t>五、响应文件提交的截止时间、开启时间及地点</w:t>
      </w:r>
      <w:bookmarkEnd w:id="1"/>
    </w:p>
    <w:p w14:paraId="05D38FAC">
      <w:pPr>
        <w:keepNext w:val="0"/>
        <w:keepLines w:val="0"/>
        <w:pageBreakBefore w:val="0"/>
        <w:overflowPunct/>
        <w:topLinePunct w:val="0"/>
        <w:bidi w:val="0"/>
        <w:adjustRightInd w:val="0"/>
        <w:snapToGrid w:val="0"/>
        <w:spacing w:line="360" w:lineRule="auto"/>
        <w:ind w:firstLine="420" w:firstLineChars="200"/>
        <w:rPr>
          <w:rFonts w:hint="eastAsia" w:ascii="宋体" w:hAnsi="宋体" w:eastAsia="宋体" w:cs="Times New Roman"/>
          <w:sz w:val="21"/>
          <w:szCs w:val="21"/>
          <w:highlight w:val="none"/>
          <w:u w:val="none"/>
        </w:rPr>
      </w:pPr>
      <w:bookmarkStart w:id="2" w:name="_Toc20230_WPSOffice_Level2"/>
      <w:r>
        <w:rPr>
          <w:rFonts w:hint="eastAsia" w:ascii="宋体" w:hAnsi="宋体" w:eastAsia="宋体" w:cs="Times New Roman"/>
          <w:sz w:val="21"/>
          <w:szCs w:val="21"/>
          <w:highlight w:val="none"/>
          <w:u w:val="none"/>
        </w:rPr>
        <w:t>1、提</w:t>
      </w:r>
      <w:r>
        <w:rPr>
          <w:rFonts w:ascii="宋体" w:hAnsi="宋体" w:eastAsia="宋体" w:cs="Times New Roman"/>
          <w:sz w:val="21"/>
          <w:szCs w:val="21"/>
          <w:highlight w:val="none"/>
          <w:u w:val="none"/>
        </w:rPr>
        <w:t>交</w:t>
      </w:r>
      <w:r>
        <w:rPr>
          <w:rFonts w:hint="eastAsia" w:ascii="宋体" w:hAnsi="宋体" w:eastAsia="宋体" w:cs="Times New Roman"/>
          <w:sz w:val="21"/>
          <w:szCs w:val="21"/>
          <w:highlight w:val="none"/>
          <w:u w:val="none"/>
        </w:rPr>
        <w:t>首次响应</w:t>
      </w:r>
      <w:r>
        <w:rPr>
          <w:rFonts w:ascii="宋体" w:hAnsi="宋体" w:eastAsia="宋体" w:cs="Times New Roman"/>
          <w:sz w:val="21"/>
          <w:szCs w:val="21"/>
          <w:highlight w:val="none"/>
          <w:u w:val="none"/>
        </w:rPr>
        <w:t>文件的截止时间为</w:t>
      </w:r>
      <w:r>
        <w:rPr>
          <w:rFonts w:hint="eastAsia" w:ascii="宋体" w:hAnsi="宋体" w:eastAsia="宋体" w:cs="Times New Roman"/>
          <w:sz w:val="21"/>
          <w:szCs w:val="21"/>
          <w:highlight w:val="none"/>
          <w:u w:val="single"/>
        </w:rPr>
        <w:t>2025</w:t>
      </w:r>
      <w:r>
        <w:rPr>
          <w:rFonts w:ascii="宋体" w:hAnsi="宋体" w:eastAsia="宋体" w:cs="Times New Roman"/>
          <w:sz w:val="21"/>
          <w:szCs w:val="21"/>
          <w:highlight w:val="none"/>
          <w:u w:val="none"/>
        </w:rPr>
        <w:t>年</w:t>
      </w:r>
      <w:r>
        <w:rPr>
          <w:rFonts w:hint="eastAsia" w:ascii="宋体" w:hAnsi="宋体" w:eastAsia="宋体" w:cs="Times New Roman"/>
          <w:sz w:val="21"/>
          <w:szCs w:val="21"/>
          <w:highlight w:val="none"/>
          <w:u w:val="single"/>
          <w:lang w:val="en-US" w:eastAsia="zh-CN"/>
        </w:rPr>
        <w:t xml:space="preserve"> 12 </w:t>
      </w:r>
      <w:r>
        <w:rPr>
          <w:rFonts w:ascii="宋体" w:hAnsi="宋体" w:eastAsia="宋体" w:cs="Times New Roman"/>
          <w:sz w:val="21"/>
          <w:szCs w:val="21"/>
          <w:highlight w:val="none"/>
          <w:u w:val="none"/>
        </w:rPr>
        <w:t>月</w:t>
      </w:r>
      <w:r>
        <w:rPr>
          <w:rFonts w:hint="eastAsia" w:ascii="宋体" w:hAnsi="宋体" w:eastAsia="宋体" w:cs="Times New Roman"/>
          <w:sz w:val="21"/>
          <w:szCs w:val="21"/>
          <w:highlight w:val="none"/>
          <w:u w:val="single"/>
          <w:lang w:val="en-US" w:eastAsia="zh-CN"/>
        </w:rPr>
        <w:t xml:space="preserve">  15  </w:t>
      </w:r>
      <w:r>
        <w:rPr>
          <w:rFonts w:ascii="宋体" w:hAnsi="宋体" w:eastAsia="宋体" w:cs="Times New Roman"/>
          <w:sz w:val="21"/>
          <w:szCs w:val="21"/>
          <w:highlight w:val="none"/>
          <w:u w:val="none"/>
        </w:rPr>
        <w:t>日</w:t>
      </w:r>
      <w:r>
        <w:rPr>
          <w:rFonts w:hint="eastAsia" w:ascii="宋体" w:hAnsi="宋体" w:eastAsia="宋体" w:cs="Times New Roman"/>
          <w:sz w:val="21"/>
          <w:szCs w:val="21"/>
          <w:highlight w:val="none"/>
          <w:u w:val="single"/>
        </w:rPr>
        <w:t xml:space="preserve"> </w:t>
      </w:r>
      <w:r>
        <w:rPr>
          <w:rFonts w:hint="eastAsia" w:ascii="宋体" w:hAnsi="宋体" w:eastAsia="宋体" w:cs="Times New Roman"/>
          <w:sz w:val="21"/>
          <w:szCs w:val="21"/>
          <w:highlight w:val="none"/>
          <w:u w:val="single"/>
          <w:lang w:val="en-US" w:eastAsia="zh-CN"/>
        </w:rPr>
        <w:t xml:space="preserve">14 </w:t>
      </w:r>
      <w:r>
        <w:rPr>
          <w:rFonts w:ascii="宋体" w:hAnsi="宋体" w:eastAsia="宋体" w:cs="Times New Roman"/>
          <w:sz w:val="21"/>
          <w:szCs w:val="21"/>
          <w:highlight w:val="none"/>
          <w:u w:val="none"/>
        </w:rPr>
        <w:t>时</w:t>
      </w:r>
      <w:r>
        <w:rPr>
          <w:rFonts w:ascii="宋体" w:hAnsi="宋体" w:eastAsia="宋体" w:cs="Times New Roman"/>
          <w:sz w:val="21"/>
          <w:szCs w:val="21"/>
          <w:highlight w:val="none"/>
          <w:u w:val="single"/>
        </w:rPr>
        <w:t xml:space="preserve"> </w:t>
      </w:r>
      <w:r>
        <w:rPr>
          <w:rFonts w:hint="eastAsia" w:ascii="宋体" w:hAnsi="宋体" w:eastAsia="宋体" w:cs="Times New Roman"/>
          <w:sz w:val="21"/>
          <w:szCs w:val="21"/>
          <w:highlight w:val="none"/>
          <w:u w:val="single"/>
          <w:lang w:val="en-US" w:eastAsia="zh-CN"/>
        </w:rPr>
        <w:t xml:space="preserve">00 </w:t>
      </w:r>
      <w:r>
        <w:rPr>
          <w:rFonts w:ascii="宋体" w:hAnsi="宋体" w:eastAsia="宋体" w:cs="Times New Roman"/>
          <w:sz w:val="21"/>
          <w:szCs w:val="21"/>
          <w:highlight w:val="none"/>
          <w:u w:val="none"/>
        </w:rPr>
        <w:t>分</w:t>
      </w:r>
      <w:r>
        <w:rPr>
          <w:rFonts w:hint="eastAsia" w:ascii="宋体" w:hAnsi="宋体" w:eastAsia="宋体" w:cs="Times New Roman"/>
          <w:sz w:val="21"/>
          <w:szCs w:val="21"/>
          <w:highlight w:val="none"/>
          <w:u w:val="none"/>
        </w:rPr>
        <w:t>（北京时间）</w:t>
      </w:r>
      <w:r>
        <w:rPr>
          <w:rFonts w:ascii="宋体" w:hAnsi="宋体" w:eastAsia="宋体" w:cs="Times New Roman"/>
          <w:sz w:val="21"/>
          <w:szCs w:val="21"/>
          <w:highlight w:val="none"/>
          <w:u w:val="none"/>
        </w:rPr>
        <w:t>，</w:t>
      </w:r>
      <w:r>
        <w:rPr>
          <w:rFonts w:hint="eastAsia" w:ascii="宋体" w:hAnsi="宋体" w:eastAsia="宋体" w:cs="宋体"/>
          <w:color w:val="auto"/>
          <w:sz w:val="21"/>
          <w:szCs w:val="21"/>
          <w:highlight w:val="none"/>
          <w:u w:val="none"/>
        </w:rPr>
        <w:t>地点为</w:t>
      </w:r>
      <w:r>
        <w:rPr>
          <w:rFonts w:hint="eastAsia" w:ascii="宋体" w:hAnsi="宋体" w:eastAsia="宋体" w:cs="宋体"/>
          <w:color w:val="auto"/>
          <w:sz w:val="21"/>
          <w:szCs w:val="21"/>
          <w:highlight w:val="none"/>
          <w:u w:val="single"/>
          <w:lang w:val="en-US" w:eastAsia="zh-CN"/>
        </w:rPr>
        <w:t>长沙市望城区白沙洲街道旺旺东路黄田村村民委员会会议室</w:t>
      </w:r>
      <w:r>
        <w:rPr>
          <w:rFonts w:hint="eastAsia" w:ascii="宋体" w:hAnsi="宋体" w:eastAsia="宋体" w:cs="宋体"/>
          <w:color w:val="auto"/>
          <w:sz w:val="21"/>
          <w:szCs w:val="21"/>
          <w:highlight w:val="none"/>
          <w:u w:val="none"/>
        </w:rPr>
        <w:t>(指定地点)。在截止时间后送达的响应文件为无效文件，采购人、采购代理机构或者磋商小组应当拒收</w:t>
      </w:r>
      <w:r>
        <w:rPr>
          <w:rFonts w:hint="eastAsia" w:ascii="宋体" w:hAnsi="宋体" w:eastAsia="宋体" w:cs="Times New Roman"/>
          <w:sz w:val="21"/>
          <w:szCs w:val="21"/>
          <w:highlight w:val="none"/>
          <w:u w:val="none"/>
        </w:rPr>
        <w:t>。</w:t>
      </w:r>
    </w:p>
    <w:p w14:paraId="21F2ABDD">
      <w:pPr>
        <w:keepNext w:val="0"/>
        <w:keepLines w:val="0"/>
        <w:pageBreakBefore w:val="0"/>
        <w:tabs>
          <w:tab w:val="left" w:pos="360"/>
        </w:tabs>
        <w:overflowPunct/>
        <w:topLinePunct w:val="0"/>
        <w:bidi w:val="0"/>
        <w:adjustRightInd w:val="0"/>
        <w:snapToGrid w:val="0"/>
        <w:spacing w:line="360" w:lineRule="auto"/>
        <w:ind w:firstLine="420" w:firstLineChars="200"/>
        <w:rPr>
          <w:rFonts w:hint="eastAsia" w:ascii="宋体" w:hAnsi="宋体" w:eastAsia="宋体" w:cs="Times New Roman"/>
          <w:sz w:val="21"/>
          <w:szCs w:val="21"/>
          <w:highlight w:val="none"/>
          <w:u w:val="none"/>
        </w:rPr>
      </w:pPr>
      <w:r>
        <w:rPr>
          <w:rFonts w:hint="eastAsia" w:ascii="宋体" w:hAnsi="宋体" w:eastAsia="宋体" w:cs="Times New Roman"/>
          <w:sz w:val="21"/>
          <w:szCs w:val="21"/>
          <w:highlight w:val="none"/>
          <w:u w:val="none"/>
        </w:rPr>
        <w:t>2、首次响应文件的开启时间及地点与提交首次响应文件的截止时间及地点为同一时间及地点。</w:t>
      </w:r>
    </w:p>
    <w:bookmarkEnd w:id="2"/>
    <w:p w14:paraId="007AA445">
      <w:pPr>
        <w:keepNext w:val="0"/>
        <w:keepLines w:val="0"/>
        <w:pageBreakBefore w:val="0"/>
        <w:overflowPunct/>
        <w:topLinePunct w:val="0"/>
        <w:bidi w:val="0"/>
        <w:adjustRightInd w:val="0"/>
        <w:snapToGrid w:val="0"/>
        <w:spacing w:line="360" w:lineRule="auto"/>
        <w:rPr>
          <w:rFonts w:ascii="宋体" w:hAnsi="宋体" w:eastAsia="宋体" w:cs="宋体"/>
          <w:b/>
          <w:color w:val="auto"/>
          <w:sz w:val="21"/>
          <w:szCs w:val="21"/>
          <w:highlight w:val="none"/>
          <w:u w:val="none"/>
        </w:rPr>
      </w:pPr>
      <w:r>
        <w:rPr>
          <w:rFonts w:hint="eastAsia" w:ascii="宋体" w:hAnsi="宋体" w:eastAsia="宋体" w:cs="宋体"/>
          <w:b/>
          <w:color w:val="auto"/>
          <w:sz w:val="21"/>
          <w:szCs w:val="21"/>
          <w:highlight w:val="none"/>
          <w:u w:val="none"/>
        </w:rPr>
        <w:t>六、公告期限：</w:t>
      </w:r>
    </w:p>
    <w:p w14:paraId="230631E7">
      <w:pPr>
        <w:keepNext w:val="0"/>
        <w:keepLines w:val="0"/>
        <w:pageBreakBefore w:val="0"/>
        <w:widowControl w:val="0"/>
        <w:kinsoku/>
        <w:wordWrap w:val="0"/>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Times New Roman"/>
          <w:sz w:val="21"/>
          <w:szCs w:val="21"/>
          <w:highlight w:val="none"/>
          <w:u w:val="none"/>
        </w:rPr>
      </w:pPr>
      <w:r>
        <w:rPr>
          <w:rFonts w:hint="eastAsia" w:ascii="宋体" w:hAnsi="宋体" w:eastAsia="宋体" w:cs="Times New Roman"/>
          <w:sz w:val="21"/>
          <w:szCs w:val="21"/>
          <w:highlight w:val="none"/>
          <w:u w:val="none"/>
          <w:lang w:val="en-US" w:eastAsia="zh-CN"/>
        </w:rPr>
        <w:t>1、</w:t>
      </w:r>
      <w:r>
        <w:rPr>
          <w:rFonts w:hint="eastAsia" w:ascii="宋体" w:hAnsi="宋体" w:eastAsia="宋体" w:cs="Times New Roman"/>
          <w:sz w:val="21"/>
          <w:szCs w:val="21"/>
          <w:highlight w:val="none"/>
          <w:u w:val="none"/>
        </w:rPr>
        <w:t>本招标公告在</w:t>
      </w:r>
      <w:r>
        <w:rPr>
          <w:rFonts w:hint="eastAsia" w:ascii="宋体" w:hAnsi="宋体" w:eastAsia="宋体" w:cs="Times New Roman"/>
          <w:sz w:val="21"/>
          <w:szCs w:val="21"/>
          <w:highlight w:val="none"/>
          <w:u w:val="none"/>
          <w:lang w:eastAsia="zh-CN"/>
        </w:rPr>
        <w:t>长沙市</w:t>
      </w:r>
      <w:r>
        <w:rPr>
          <w:rFonts w:hint="eastAsia" w:ascii="宋体" w:hAnsi="宋体" w:eastAsia="宋体" w:cs="Times New Roman"/>
          <w:sz w:val="21"/>
          <w:szCs w:val="21"/>
          <w:highlight w:val="none"/>
          <w:u w:val="none"/>
          <w:lang w:val="en-US" w:eastAsia="zh-CN"/>
        </w:rPr>
        <w:t>望城区白沙洲街道政务网（http://www.wangcheng.gov.cn/xxgk_343/gdwxxgk/jzxxgk/jd/bszjd/bm.html）</w:t>
      </w:r>
      <w:r>
        <w:rPr>
          <w:rFonts w:hint="eastAsia" w:ascii="宋体" w:hAnsi="宋体" w:eastAsia="宋体" w:cs="Times New Roman"/>
          <w:sz w:val="21"/>
          <w:szCs w:val="21"/>
          <w:highlight w:val="none"/>
          <w:u w:val="none"/>
        </w:rPr>
        <w:t>发布。公告期限从本招标公告发布之日起</w:t>
      </w:r>
      <w:r>
        <w:rPr>
          <w:rFonts w:hint="eastAsia" w:ascii="宋体" w:hAnsi="宋体" w:eastAsia="宋体" w:cs="Times New Roman"/>
          <w:sz w:val="21"/>
          <w:szCs w:val="21"/>
          <w:highlight w:val="none"/>
          <w:u w:val="none"/>
          <w:lang w:val="en-US" w:eastAsia="zh-CN"/>
        </w:rPr>
        <w:t>5</w:t>
      </w:r>
      <w:r>
        <w:rPr>
          <w:rFonts w:hint="eastAsia" w:ascii="宋体" w:hAnsi="宋体" w:eastAsia="宋体" w:cs="Times New Roman"/>
          <w:sz w:val="21"/>
          <w:szCs w:val="21"/>
          <w:highlight w:val="none"/>
          <w:u w:val="none"/>
        </w:rPr>
        <w:t>个工作日。</w:t>
      </w:r>
    </w:p>
    <w:p w14:paraId="7FD0AAAD">
      <w:pPr>
        <w:keepNext w:val="0"/>
        <w:keepLines w:val="0"/>
        <w:pageBreakBefore w:val="0"/>
        <w:widowControl w:val="0"/>
        <w:kinsoku/>
        <w:wordWrap w:val="0"/>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Times New Roman"/>
          <w:sz w:val="21"/>
          <w:szCs w:val="21"/>
          <w:highlight w:val="none"/>
          <w:u w:val="none"/>
        </w:rPr>
      </w:pPr>
      <w:r>
        <w:rPr>
          <w:rFonts w:hint="eastAsia" w:ascii="宋体" w:hAnsi="宋体" w:eastAsia="宋体" w:cs="Times New Roman"/>
          <w:sz w:val="21"/>
          <w:szCs w:val="21"/>
          <w:highlight w:val="none"/>
          <w:u w:val="none"/>
        </w:rPr>
        <w:t>2、在其他媒体发布的招标公告，公告内容以本招标公告指定媒体发布的公告为准；公告期限自本招标公告指定媒体最先发布公告之日起算。</w:t>
      </w:r>
    </w:p>
    <w:p w14:paraId="2CDEB72D">
      <w:pPr>
        <w:keepNext w:val="0"/>
        <w:keepLines w:val="0"/>
        <w:pageBreakBefore w:val="0"/>
        <w:shd w:val="clear" w:color="auto" w:fill="auto"/>
        <w:overflowPunct/>
        <w:topLinePunct w:val="0"/>
        <w:bidi w:val="0"/>
        <w:spacing w:line="360" w:lineRule="auto"/>
        <w:rPr>
          <w:rFonts w:hint="eastAsia" w:ascii="宋体" w:hAnsi="宋体" w:cs="宋体"/>
          <w:b/>
          <w:color w:val="auto"/>
          <w:szCs w:val="21"/>
          <w:highlight w:val="none"/>
        </w:rPr>
      </w:pPr>
      <w:r>
        <w:rPr>
          <w:rFonts w:hint="eastAsia" w:ascii="宋体" w:hAnsi="宋体" w:cs="宋体"/>
          <w:b/>
          <w:color w:val="auto"/>
          <w:szCs w:val="21"/>
          <w:highlight w:val="none"/>
          <w:lang w:val="en-US" w:eastAsia="zh-CN"/>
        </w:rPr>
        <w:t>七</w:t>
      </w:r>
      <w:r>
        <w:rPr>
          <w:rFonts w:hint="eastAsia" w:ascii="宋体" w:hAnsi="宋体" w:cs="宋体"/>
          <w:b/>
          <w:color w:val="auto"/>
          <w:szCs w:val="21"/>
          <w:highlight w:val="none"/>
        </w:rPr>
        <w:t>、联系方式</w:t>
      </w:r>
    </w:p>
    <w:p w14:paraId="06360BDE">
      <w:pPr>
        <w:keepNext w:val="0"/>
        <w:keepLines w:val="0"/>
        <w:pageBreakBefore w:val="0"/>
        <w:shd w:val="clear" w:color="auto" w:fill="auto"/>
        <w:overflowPunct/>
        <w:topLinePunct w:val="0"/>
        <w:bidi w:val="0"/>
        <w:spacing w:line="360" w:lineRule="auto"/>
        <w:ind w:firstLine="422" w:firstLineChars="200"/>
        <w:rPr>
          <w:rFonts w:hint="eastAsia" w:ascii="宋体" w:hAnsi="宋体" w:eastAsia="宋体" w:cs="宋体"/>
          <w:b/>
          <w:bCs w:val="0"/>
          <w:color w:val="auto"/>
          <w:szCs w:val="21"/>
          <w:highlight w:val="none"/>
          <w:u w:val="none"/>
          <w:lang w:eastAsia="zh-CN"/>
        </w:rPr>
      </w:pPr>
      <w:r>
        <w:rPr>
          <w:rFonts w:hint="eastAsia" w:ascii="宋体" w:hAnsi="宋体" w:cs="宋体"/>
          <w:b/>
          <w:bCs w:val="0"/>
          <w:color w:val="auto"/>
          <w:szCs w:val="21"/>
          <w:highlight w:val="none"/>
          <w:u w:val="none"/>
        </w:rPr>
        <w:t>采购人：</w:t>
      </w:r>
      <w:r>
        <w:rPr>
          <w:rFonts w:hint="eastAsia" w:ascii="宋体" w:hAnsi="宋体" w:cs="宋体"/>
          <w:b/>
          <w:bCs w:val="0"/>
          <w:color w:val="auto"/>
          <w:szCs w:val="21"/>
          <w:highlight w:val="none"/>
          <w:u w:val="none"/>
          <w:lang w:eastAsia="zh-CN"/>
        </w:rPr>
        <w:t>望城区白沙洲街道黄田村村民委员会</w:t>
      </w:r>
    </w:p>
    <w:p w14:paraId="01F9542C">
      <w:pPr>
        <w:keepNext w:val="0"/>
        <w:keepLines w:val="0"/>
        <w:pageBreakBefore w:val="0"/>
        <w:widowControl w:val="0"/>
        <w:kinsoku/>
        <w:wordWrap/>
        <w:overflowPunct/>
        <w:topLinePunct w:val="0"/>
        <w:bidi w:val="0"/>
        <w:spacing w:line="360" w:lineRule="auto"/>
        <w:ind w:left="0" w:leftChars="0" w:firstLine="420" w:firstLineChars="200"/>
        <w:textAlignment w:val="auto"/>
        <w:rPr>
          <w:rFonts w:hint="eastAsia"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地  址：</w:t>
      </w:r>
      <w:r>
        <w:rPr>
          <w:rFonts w:hint="eastAsia" w:ascii="宋体" w:hAnsi="宋体" w:cs="宋体"/>
          <w:b w:val="0"/>
          <w:bCs w:val="0"/>
          <w:color w:val="auto"/>
          <w:szCs w:val="21"/>
          <w:highlight w:val="none"/>
          <w:u w:val="none"/>
          <w:lang w:eastAsia="zh-CN"/>
        </w:rPr>
        <w:t>长沙市望城区旺旺东路黄田村</w:t>
      </w:r>
      <w:r>
        <w:rPr>
          <w:rFonts w:hint="eastAsia" w:ascii="宋体" w:hAnsi="宋体" w:cs="宋体"/>
          <w:b w:val="0"/>
          <w:bCs w:val="0"/>
          <w:color w:val="auto"/>
          <w:szCs w:val="21"/>
          <w:highlight w:val="none"/>
          <w:u w:val="none"/>
        </w:rPr>
        <w:t xml:space="preserve"> </w:t>
      </w:r>
    </w:p>
    <w:p w14:paraId="625D1B07">
      <w:pPr>
        <w:keepNext w:val="0"/>
        <w:keepLines w:val="0"/>
        <w:pageBreakBefore w:val="0"/>
        <w:widowControl w:val="0"/>
        <w:kinsoku/>
        <w:wordWrap/>
        <w:overflowPunct/>
        <w:topLinePunct w:val="0"/>
        <w:bidi w:val="0"/>
        <w:spacing w:line="360" w:lineRule="auto"/>
        <w:ind w:left="0" w:leftChars="0" w:firstLine="420" w:firstLineChars="200"/>
        <w:textAlignment w:val="auto"/>
        <w:rPr>
          <w:rFonts w:hint="eastAsia"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联系人：</w:t>
      </w:r>
      <w:r>
        <w:rPr>
          <w:rFonts w:hint="eastAsia" w:ascii="宋体" w:hAnsi="宋体" w:cs="宋体"/>
          <w:b w:val="0"/>
          <w:bCs w:val="0"/>
          <w:color w:val="auto"/>
          <w:szCs w:val="21"/>
          <w:highlight w:val="none"/>
          <w:u w:val="none"/>
          <w:lang w:val="en-US" w:eastAsia="zh-CN"/>
        </w:rPr>
        <w:t>唐</w:t>
      </w:r>
      <w:r>
        <w:rPr>
          <w:rFonts w:hint="eastAsia" w:ascii="宋体" w:hAnsi="宋体" w:cs="宋体"/>
          <w:b w:val="0"/>
          <w:bCs w:val="0"/>
          <w:color w:val="auto"/>
          <w:szCs w:val="21"/>
          <w:highlight w:val="none"/>
          <w:u w:val="none"/>
        </w:rPr>
        <w:t>先生</w:t>
      </w:r>
    </w:p>
    <w:p w14:paraId="182FAFF1">
      <w:pPr>
        <w:keepNext w:val="0"/>
        <w:keepLines w:val="0"/>
        <w:pageBreakBefore w:val="0"/>
        <w:widowControl w:val="0"/>
        <w:kinsoku/>
        <w:wordWrap/>
        <w:overflowPunct/>
        <w:topLinePunct w:val="0"/>
        <w:bidi w:val="0"/>
        <w:spacing w:line="360" w:lineRule="auto"/>
        <w:ind w:left="0" w:leftChars="0" w:firstLine="420" w:firstLineChars="200"/>
        <w:textAlignment w:val="auto"/>
        <w:rPr>
          <w:rFonts w:hint="eastAsia" w:ascii="宋体" w:hAnsi="宋体" w:cs="宋体"/>
          <w:b w:val="0"/>
          <w:bCs w:val="0"/>
          <w:color w:val="auto"/>
          <w:szCs w:val="21"/>
          <w:highlight w:val="none"/>
          <w:u w:val="none"/>
          <w:lang w:eastAsia="zh-CN"/>
        </w:rPr>
      </w:pPr>
      <w:r>
        <w:rPr>
          <w:rFonts w:hint="eastAsia" w:ascii="宋体" w:hAnsi="宋体" w:cs="宋体"/>
          <w:b w:val="0"/>
          <w:bCs w:val="0"/>
          <w:color w:val="auto"/>
          <w:szCs w:val="21"/>
          <w:highlight w:val="none"/>
          <w:u w:val="none"/>
        </w:rPr>
        <w:t>电  话：</w:t>
      </w:r>
      <w:r>
        <w:rPr>
          <w:rFonts w:hint="eastAsia" w:ascii="宋体" w:hAnsi="宋体" w:cs="宋体"/>
          <w:b w:val="0"/>
          <w:bCs w:val="0"/>
          <w:color w:val="auto"/>
          <w:szCs w:val="21"/>
          <w:highlight w:val="none"/>
          <w:u w:val="none"/>
          <w:lang w:eastAsia="zh-CN"/>
        </w:rPr>
        <w:t>13787020747</w:t>
      </w:r>
    </w:p>
    <w:p w14:paraId="2A973EE2">
      <w:pPr>
        <w:keepNext w:val="0"/>
        <w:keepLines w:val="0"/>
        <w:pageBreakBefore w:val="0"/>
        <w:widowControl w:val="0"/>
        <w:kinsoku/>
        <w:wordWrap/>
        <w:overflowPunct/>
        <w:topLinePunct w:val="0"/>
        <w:bidi w:val="0"/>
        <w:spacing w:line="360" w:lineRule="auto"/>
        <w:ind w:left="0" w:leftChars="0" w:firstLine="422" w:firstLineChars="200"/>
        <w:textAlignment w:val="auto"/>
        <w:rPr>
          <w:rFonts w:hint="eastAsia" w:ascii="宋体" w:hAnsi="宋体" w:eastAsia="宋体" w:cs="宋体"/>
          <w:b/>
          <w:szCs w:val="21"/>
          <w:lang w:eastAsia="zh-CN"/>
        </w:rPr>
      </w:pPr>
      <w:r>
        <w:rPr>
          <w:rFonts w:hint="eastAsia" w:ascii="宋体" w:hAnsi="宋体" w:cs="宋体"/>
          <w:b/>
          <w:szCs w:val="21"/>
        </w:rPr>
        <w:t>采购代理机构：</w:t>
      </w:r>
      <w:r>
        <w:rPr>
          <w:rFonts w:hint="eastAsia" w:ascii="宋体" w:hAnsi="宋体" w:cs="宋体"/>
          <w:b/>
          <w:szCs w:val="21"/>
          <w:lang w:eastAsia="zh-CN"/>
        </w:rPr>
        <w:t>湖南中智联和工程造价管理有限公司</w:t>
      </w:r>
    </w:p>
    <w:p w14:paraId="4693EF67">
      <w:pPr>
        <w:keepNext w:val="0"/>
        <w:keepLines w:val="0"/>
        <w:pageBreakBefore w:val="0"/>
        <w:widowControl w:val="0"/>
        <w:kinsoku/>
        <w:wordWrap/>
        <w:overflowPunct/>
        <w:topLinePunct w:val="0"/>
        <w:bidi w:val="0"/>
        <w:spacing w:line="360" w:lineRule="auto"/>
        <w:ind w:left="0" w:leftChars="0" w:firstLine="420" w:firstLineChars="200"/>
        <w:textAlignment w:val="auto"/>
        <w:rPr>
          <w:rFonts w:hint="eastAsia" w:ascii="宋体" w:hAnsi="宋体" w:eastAsia="宋体" w:cs="宋体"/>
          <w:szCs w:val="21"/>
          <w:lang w:eastAsia="zh-CN"/>
        </w:rPr>
      </w:pPr>
      <w:r>
        <w:rPr>
          <w:rFonts w:hint="eastAsia" w:ascii="宋体" w:hAnsi="宋体" w:cs="宋体"/>
          <w:szCs w:val="21"/>
        </w:rPr>
        <w:t>地  址：</w:t>
      </w:r>
      <w:r>
        <w:rPr>
          <w:rFonts w:hint="eastAsia" w:ascii="宋体" w:hAnsi="宋体" w:cs="宋体"/>
          <w:szCs w:val="21"/>
          <w:lang w:eastAsia="zh-CN"/>
        </w:rPr>
        <w:t>湖南省长沙市天心区林大路15号中云公寓2013房</w:t>
      </w:r>
    </w:p>
    <w:p w14:paraId="65BCB844">
      <w:pPr>
        <w:keepNext w:val="0"/>
        <w:keepLines w:val="0"/>
        <w:pageBreakBefore w:val="0"/>
        <w:widowControl w:val="0"/>
        <w:kinsoku/>
        <w:wordWrap/>
        <w:overflowPunct/>
        <w:topLinePunct w:val="0"/>
        <w:bidi w:val="0"/>
        <w:spacing w:line="360" w:lineRule="auto"/>
        <w:ind w:left="0" w:leftChars="0" w:firstLine="420" w:firstLineChars="200"/>
        <w:textAlignment w:val="auto"/>
        <w:rPr>
          <w:rFonts w:hint="eastAsia" w:ascii="宋体" w:hAnsi="宋体" w:cs="宋体"/>
          <w:szCs w:val="21"/>
          <w:lang w:val="en-US" w:eastAsia="zh-CN"/>
        </w:rPr>
      </w:pPr>
      <w:r>
        <w:rPr>
          <w:rFonts w:hint="eastAsia" w:ascii="宋体" w:hAnsi="宋体" w:cs="宋体"/>
          <w:szCs w:val="21"/>
        </w:rPr>
        <w:t>联系人：</w:t>
      </w:r>
      <w:r>
        <w:rPr>
          <w:rFonts w:hint="eastAsia" w:ascii="宋体" w:hAnsi="宋体" w:cs="宋体"/>
          <w:szCs w:val="21"/>
          <w:lang w:val="en-US" w:eastAsia="zh-CN"/>
        </w:rPr>
        <w:t>邹女士、刘先生(报名咨询）</w:t>
      </w:r>
      <w:r>
        <w:rPr>
          <w:rFonts w:hint="eastAsia" w:ascii="宋体" w:hAnsi="宋体" w:cs="宋体"/>
          <w:szCs w:val="21"/>
        </w:rPr>
        <w:t xml:space="preserve">    </w:t>
      </w:r>
      <w:r>
        <w:rPr>
          <w:rFonts w:hint="eastAsia" w:ascii="宋体" w:hAnsi="宋体" w:cs="宋体"/>
          <w:szCs w:val="21"/>
          <w:lang w:val="en-US" w:eastAsia="zh-CN"/>
        </w:rPr>
        <w:t xml:space="preserve">        </w:t>
      </w:r>
    </w:p>
    <w:p w14:paraId="02A0852B">
      <w:pPr>
        <w:keepNext w:val="0"/>
        <w:keepLines w:val="0"/>
        <w:pageBreakBefore w:val="0"/>
        <w:widowControl w:val="0"/>
        <w:kinsoku/>
        <w:wordWrap/>
        <w:overflowPunct/>
        <w:topLinePunct w:val="0"/>
        <w:bidi w:val="0"/>
        <w:spacing w:line="360" w:lineRule="auto"/>
        <w:ind w:left="0" w:leftChars="0" w:firstLine="420" w:firstLineChars="200"/>
        <w:textAlignment w:val="auto"/>
        <w:rPr>
          <w:rFonts w:hint="eastAsia" w:ascii="宋体" w:hAnsi="宋体" w:cs="宋体"/>
          <w:szCs w:val="21"/>
          <w:lang w:val="en-US" w:eastAsia="zh-CN"/>
        </w:rPr>
      </w:pPr>
      <w:r>
        <w:rPr>
          <w:rFonts w:hint="eastAsia" w:ascii="宋体" w:hAnsi="宋体" w:cs="宋体"/>
          <w:szCs w:val="21"/>
        </w:rPr>
        <w:t>电  话：</w:t>
      </w:r>
      <w:r>
        <w:rPr>
          <w:rFonts w:hint="eastAsia" w:ascii="宋体" w:hAnsi="宋体" w:cs="宋体"/>
          <w:szCs w:val="21"/>
          <w:lang w:eastAsia="zh-CN"/>
        </w:rPr>
        <w:t>19224261921</w:t>
      </w:r>
      <w:r>
        <w:rPr>
          <w:rFonts w:hint="eastAsia" w:ascii="宋体" w:hAnsi="宋体" w:cs="宋体"/>
          <w:szCs w:val="21"/>
        </w:rPr>
        <w:t xml:space="preserve">    </w:t>
      </w:r>
      <w:r>
        <w:rPr>
          <w:rFonts w:hint="eastAsia" w:ascii="宋体" w:hAnsi="宋体" w:cs="宋体"/>
          <w:szCs w:val="21"/>
          <w:lang w:val="en-US" w:eastAsia="zh-CN"/>
        </w:rPr>
        <w:t xml:space="preserve">      </w:t>
      </w:r>
    </w:p>
    <w:p w14:paraId="7CE04E46">
      <w:pPr>
        <w:keepNext w:val="0"/>
        <w:keepLines w:val="0"/>
        <w:pageBreakBefore w:val="0"/>
        <w:widowControl w:val="0"/>
        <w:kinsoku/>
        <w:wordWrap/>
        <w:overflowPunct/>
        <w:topLinePunct w:val="0"/>
        <w:bidi w:val="0"/>
        <w:spacing w:line="360" w:lineRule="auto"/>
        <w:ind w:left="0" w:leftChars="0" w:firstLine="4830" w:firstLineChars="2300"/>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长沙市望城区白沙洲街道办事处</w:t>
      </w:r>
    </w:p>
    <w:p w14:paraId="33311C13">
      <w:pPr>
        <w:keepNext w:val="0"/>
        <w:keepLines w:val="0"/>
        <w:pageBreakBefore w:val="0"/>
        <w:widowControl w:val="0"/>
        <w:kinsoku/>
        <w:wordWrap/>
        <w:overflowPunct/>
        <w:topLinePunct w:val="0"/>
        <w:bidi w:val="0"/>
        <w:spacing w:line="360" w:lineRule="auto"/>
        <w:ind w:left="0" w:leftChars="0" w:firstLine="5250" w:firstLineChars="2500"/>
        <w:textAlignment w:val="auto"/>
        <w:rPr>
          <w:rFonts w:hint="default" w:ascii="宋体" w:hAnsi="宋体" w:eastAsia="宋体" w:cs="宋体"/>
          <w:szCs w:val="21"/>
          <w:lang w:val="en-US" w:eastAsia="zh-CN"/>
        </w:rPr>
      </w:pPr>
      <w:r>
        <w:rPr>
          <w:rFonts w:hint="eastAsia" w:ascii="宋体" w:hAnsi="宋体" w:eastAsia="宋体" w:cs="宋体"/>
          <w:szCs w:val="21"/>
          <w:lang w:val="en-US" w:eastAsia="zh-CN"/>
        </w:rPr>
        <w:t>2025年12月 2 日</w:t>
      </w:r>
    </w:p>
    <w:p w14:paraId="013B930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yNzRmYTdiZWMwMDEwODM2OWViODMwODk5OGM2YmUifQ=="/>
  </w:docVars>
  <w:rsids>
    <w:rsidRoot w:val="00000000"/>
    <w:rsid w:val="0DC03769"/>
    <w:rsid w:val="3E652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
    <w:qFormat/>
    <w:uiPriority w:val="0"/>
    <w:pPr>
      <w:keepNext/>
      <w:jc w:val="center"/>
      <w:outlineLvl w:val="0"/>
    </w:pPr>
    <w:rPr>
      <w:b/>
      <w:bCs/>
      <w:kern w:val="0"/>
      <w:sz w:val="24"/>
      <w:szCs w:val="20"/>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标题 1 Char1"/>
    <w:link w:val="2"/>
    <w:qFormat/>
    <w:uiPriority w:val="0"/>
    <w:rPr>
      <w:b/>
      <w:bCs/>
      <w:kern w:val="0"/>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2025-12-01T14:46:00Z</dcterms:created>
  <dc:creator>Administrator</dc:creator>
  <cp:lastModifiedBy>苏梦</cp:lastModifiedBy>
  <dcterms:modified xsi:type="dcterms:W3CDTF">2025-12-02T10:19:22Z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KSOTemplateDocerSaveRecord">
    <vt:lpwstr>eyJoZGlkIjoiNjdlZTE2NzkzYmE5NTNiODkwZWVmZDg0MDQwMDAxMTEiLCJ1c2VySWQiOiIyOTcxNzk0ODQifQ==</vt:lpwstr>
  </property>
  <property fmtid="{D5CDD505-2E9C-101B-9397-08002B2CF9AE}" pid="4" name="ICV">
    <vt:lpwstr>0164F89CEA51426A8D1A7FA5C0A6844B_12</vt:lpwstr>
  </property>
</Properties>
</file>