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AC9988">
      <w:pPr>
        <w:spacing w:line="600" w:lineRule="exact"/>
        <w:jc w:val="center"/>
        <w:rPr>
          <w:rFonts w:hint="eastAsia" w:ascii="仿宋_GB2312" w:eastAsia="仿宋_GB2312"/>
          <w:sz w:val="32"/>
          <w:szCs w:val="32"/>
        </w:rPr>
      </w:pPr>
    </w:p>
    <w:p w14:paraId="7D48D768">
      <w:pPr>
        <w:spacing w:line="600" w:lineRule="exact"/>
        <w:jc w:val="center"/>
        <w:rPr>
          <w:rFonts w:hint="eastAsia" w:ascii="仿宋_GB2312" w:eastAsia="仿宋_GB2312"/>
          <w:sz w:val="32"/>
          <w:szCs w:val="32"/>
        </w:rPr>
      </w:pPr>
    </w:p>
    <w:p w14:paraId="6599A368">
      <w:pPr>
        <w:spacing w:line="600" w:lineRule="exact"/>
        <w:jc w:val="center"/>
        <w:rPr>
          <w:rFonts w:hint="eastAsia" w:ascii="仿宋_GB2312" w:eastAsia="仿宋_GB2312"/>
          <w:sz w:val="32"/>
          <w:szCs w:val="32"/>
        </w:rPr>
      </w:pPr>
    </w:p>
    <w:p w14:paraId="6775938F">
      <w:pPr>
        <w:spacing w:line="600" w:lineRule="exact"/>
        <w:jc w:val="center"/>
        <w:rPr>
          <w:rFonts w:hint="eastAsia" w:ascii="仿宋_GB2312" w:eastAsia="仿宋_GB2312"/>
          <w:sz w:val="32"/>
          <w:szCs w:val="32"/>
        </w:rPr>
      </w:pPr>
    </w:p>
    <w:p w14:paraId="049DFFE9">
      <w:pPr>
        <w:spacing w:line="600" w:lineRule="exact"/>
        <w:jc w:val="center"/>
        <w:rPr>
          <w:rFonts w:hint="eastAsia" w:ascii="仿宋_GB2312" w:eastAsia="仿宋_GB2312"/>
          <w:sz w:val="32"/>
          <w:szCs w:val="32"/>
        </w:rPr>
      </w:pPr>
    </w:p>
    <w:p w14:paraId="6907DA1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eastAsia="仿宋_GB2312"/>
          <w:sz w:val="32"/>
          <w:szCs w:val="32"/>
        </w:rPr>
      </w:pPr>
    </w:p>
    <w:p w14:paraId="3B4EAA7C">
      <w:pPr>
        <w:spacing w:line="6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丁街发〔202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号</w:t>
      </w:r>
    </w:p>
    <w:p w14:paraId="4F6BDA46">
      <w:pPr>
        <w:spacing w:line="600" w:lineRule="exact"/>
        <w:jc w:val="center"/>
        <w:rPr>
          <w:rFonts w:hint="eastAsia" w:ascii="仿宋_GB2312" w:eastAsia="仿宋_GB2312"/>
          <w:sz w:val="32"/>
          <w:szCs w:val="32"/>
        </w:rPr>
      </w:pPr>
    </w:p>
    <w:p w14:paraId="0FA3F89C">
      <w:pPr>
        <w:keepNext w:val="0"/>
        <w:keepLines w:val="0"/>
        <w:pageBreakBefore w:val="0"/>
        <w:widowControl/>
        <w:kinsoku/>
        <w:wordWrap/>
        <w:overflowPunct/>
        <w:topLinePunct w:val="0"/>
        <w:autoSpaceDE/>
        <w:autoSpaceDN/>
        <w:bidi w:val="0"/>
        <w:adjustRightInd/>
        <w:spacing w:line="610" w:lineRule="exact"/>
        <w:jc w:val="center"/>
        <w:textAlignment w:val="baseline"/>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长沙市望城区</w:t>
      </w:r>
      <w:r>
        <w:rPr>
          <w:rFonts w:hint="eastAsia" w:ascii="方正小标宋简体" w:hAnsi="方正小标宋简体" w:eastAsia="方正小标宋简体" w:cs="方正小标宋简体"/>
          <w:spacing w:val="-20"/>
          <w:sz w:val="44"/>
          <w:szCs w:val="44"/>
        </w:rPr>
        <w:t>丁字湾</w:t>
      </w:r>
      <w:r>
        <w:rPr>
          <w:rFonts w:hint="eastAsia" w:ascii="方正小标宋简体" w:hAnsi="方正小标宋简体" w:eastAsia="方正小标宋简体" w:cs="方正小标宋简体"/>
          <w:sz w:val="44"/>
          <w:szCs w:val="44"/>
        </w:rPr>
        <w:t>街道办事处</w:t>
      </w:r>
    </w:p>
    <w:p w14:paraId="3582D9A3">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620" w:lineRule="exact"/>
        <w:ind w:left="0" w:leftChars="0" w:firstLine="0" w:firstLineChars="0"/>
        <w:jc w:val="center"/>
        <w:textAlignment w:val="center"/>
        <w:rPr>
          <w:rFonts w:hint="eastAsia" w:ascii="Times New Roman" w:hAnsi="Times New Roman" w:eastAsia="方正小标宋简体"/>
          <w:sz w:val="44"/>
          <w:szCs w:val="44"/>
          <w:shd w:val="clear" w:color="auto" w:fill="FFFFFF"/>
          <w:lang w:val="en-US" w:eastAsia="zh-CN"/>
        </w:rPr>
      </w:pPr>
      <w:r>
        <w:rPr>
          <w:rFonts w:hint="eastAsia" w:ascii="Times New Roman" w:hAnsi="Times New Roman" w:eastAsia="方正小标宋简体"/>
          <w:sz w:val="44"/>
          <w:szCs w:val="44"/>
          <w:shd w:val="clear" w:color="auto" w:fill="FFFFFF"/>
          <w:lang w:val="en-US" w:eastAsia="zh-CN"/>
        </w:rPr>
        <w:t>关于印发《丁字湾街道社会救助申请家庭</w:t>
      </w:r>
    </w:p>
    <w:p w14:paraId="65532C6B">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620" w:lineRule="exact"/>
        <w:ind w:left="0" w:leftChars="0" w:firstLine="0" w:firstLineChars="0"/>
        <w:jc w:val="center"/>
        <w:textAlignment w:val="center"/>
        <w:rPr>
          <w:rFonts w:hint="default" w:ascii="Times New Roman" w:hAnsi="Times New Roman" w:eastAsia="方正小标宋简体"/>
          <w:sz w:val="44"/>
          <w:szCs w:val="44"/>
          <w:shd w:val="clear" w:color="auto" w:fill="FFFFFF"/>
          <w:lang w:val="en-US" w:eastAsia="zh-CN"/>
        </w:rPr>
      </w:pPr>
      <w:r>
        <w:rPr>
          <w:rFonts w:hint="eastAsia" w:ascii="Times New Roman" w:hAnsi="Times New Roman" w:eastAsia="方正小标宋简体"/>
          <w:sz w:val="44"/>
          <w:szCs w:val="44"/>
          <w:shd w:val="clear" w:color="auto" w:fill="FFFFFF"/>
          <w:lang w:val="en-US" w:eastAsia="zh-CN"/>
        </w:rPr>
        <w:t>收入核算评估细则和行业细则》的通知</w:t>
      </w:r>
    </w:p>
    <w:p w14:paraId="17558146">
      <w:pPr>
        <w:keepNext w:val="0"/>
        <w:keepLines w:val="0"/>
        <w:pageBreakBefore w:val="0"/>
        <w:widowControl w:val="0"/>
        <w:kinsoku/>
        <w:wordWrap/>
        <w:overflowPunct/>
        <w:topLinePunct w:val="0"/>
        <w:autoSpaceDE/>
        <w:autoSpaceDN/>
        <w:bidi w:val="0"/>
        <w:spacing w:line="620" w:lineRule="exact"/>
        <w:ind w:left="0" w:leftChars="0" w:firstLine="0" w:firstLineChars="0"/>
        <w:jc w:val="center"/>
        <w:rPr>
          <w:rFonts w:hint="eastAsia"/>
          <w:color w:val="FF0000"/>
          <w:sz w:val="32"/>
          <w:szCs w:val="32"/>
          <w:lang w:val="en-US" w:eastAsia="zh-CN"/>
        </w:rPr>
      </w:pPr>
    </w:p>
    <w:p w14:paraId="6E1B12A3">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各村（社区）：</w:t>
      </w:r>
    </w:p>
    <w:p w14:paraId="27996D4F">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2025年9月5日丁字湾街道社会救助申请家庭收入核算综合评议小组召开专题会议，对《丁字湾街道2025年社会救助申请家庭收入核算评估细则、行业细则和单人户保核算评估细则、</w:t>
      </w:r>
      <w:r>
        <w:rPr>
          <w:rFonts w:hint="default" w:ascii="仿宋_GB2312" w:hAnsi="仿宋_GB2312" w:eastAsia="仿宋_GB2312" w:cs="仿宋_GB2312"/>
          <w:color w:val="auto"/>
          <w:sz w:val="32"/>
          <w:szCs w:val="32"/>
          <w:lang w:val="en-US" w:eastAsia="zh-CN"/>
        </w:rPr>
        <w:t>临时救助执行</w:t>
      </w:r>
      <w:r>
        <w:rPr>
          <w:rFonts w:hint="eastAsia" w:ascii="仿宋_GB2312" w:hAnsi="仿宋_GB2312" w:eastAsia="仿宋_GB2312" w:cs="仿宋_GB2312"/>
          <w:color w:val="auto"/>
          <w:sz w:val="32"/>
          <w:szCs w:val="32"/>
          <w:lang w:val="en-US" w:eastAsia="zh-CN"/>
        </w:rPr>
        <w:t>细则</w:t>
      </w:r>
      <w:r>
        <w:rPr>
          <w:rFonts w:hint="default"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城市特殊困难群体帮扶</w:t>
      </w:r>
      <w:r>
        <w:rPr>
          <w:rFonts w:hint="eastAsia" w:ascii="仿宋_GB2312" w:hAnsi="仿宋_GB2312" w:eastAsia="仿宋_GB2312" w:cs="仿宋_GB2312"/>
          <w:color w:val="auto"/>
          <w:sz w:val="32"/>
          <w:szCs w:val="32"/>
          <w:lang w:val="en-US" w:eastAsia="zh-CN"/>
        </w:rPr>
        <w:t>细则》仔细审核，结合丁字湾街道实际情况进行修改，并一致通过所有计算细则，现下发到各村（社区），请大家在</w:t>
      </w:r>
      <w:r>
        <w:rPr>
          <w:rFonts w:hint="default" w:ascii="仿宋_GB2312" w:hAnsi="仿宋_GB2312" w:eastAsia="仿宋_GB2312" w:cs="仿宋_GB2312"/>
          <w:color w:val="auto"/>
          <w:sz w:val="32"/>
          <w:szCs w:val="32"/>
          <w:lang w:val="en-US" w:eastAsia="zh-CN"/>
        </w:rPr>
        <w:t>城乡低保</w:t>
      </w:r>
      <w:r>
        <w:rPr>
          <w:rFonts w:hint="eastAsia" w:ascii="仿宋_GB2312" w:hAnsi="仿宋_GB2312" w:eastAsia="仿宋_GB2312" w:cs="仿宋_GB2312"/>
          <w:color w:val="auto"/>
          <w:sz w:val="32"/>
          <w:szCs w:val="32"/>
          <w:lang w:val="en-US" w:eastAsia="zh-CN"/>
        </w:rPr>
        <w:t>对象、低保边缘家庭和</w:t>
      </w:r>
      <w:r>
        <w:rPr>
          <w:rFonts w:hint="default" w:ascii="仿宋_GB2312" w:hAnsi="仿宋_GB2312" w:eastAsia="仿宋_GB2312" w:cs="仿宋_GB2312"/>
          <w:color w:val="auto"/>
          <w:sz w:val="32"/>
          <w:szCs w:val="32"/>
          <w:lang w:val="en-US" w:eastAsia="zh-CN"/>
        </w:rPr>
        <w:t>特困</w:t>
      </w:r>
      <w:r>
        <w:rPr>
          <w:rFonts w:hint="eastAsia" w:ascii="仿宋_GB2312" w:hAnsi="仿宋_GB2312" w:eastAsia="仿宋_GB2312" w:cs="仿宋_GB2312"/>
          <w:color w:val="auto"/>
          <w:sz w:val="32"/>
          <w:szCs w:val="32"/>
          <w:lang w:val="en-US" w:eastAsia="zh-CN"/>
        </w:rPr>
        <w:t>人员</w:t>
      </w:r>
      <w:r>
        <w:rPr>
          <w:rFonts w:hint="default" w:ascii="仿宋_GB2312" w:hAnsi="仿宋_GB2312" w:eastAsia="仿宋_GB2312" w:cs="仿宋_GB2312"/>
          <w:color w:val="auto"/>
          <w:sz w:val="32"/>
          <w:szCs w:val="32"/>
          <w:lang w:val="en-US" w:eastAsia="zh-CN"/>
        </w:rPr>
        <w:t>复核</w:t>
      </w:r>
      <w:r>
        <w:rPr>
          <w:rFonts w:hint="eastAsia" w:ascii="仿宋_GB2312" w:hAnsi="仿宋_GB2312" w:eastAsia="仿宋_GB2312" w:cs="仿宋_GB2312"/>
          <w:color w:val="auto"/>
          <w:sz w:val="32"/>
          <w:szCs w:val="32"/>
          <w:lang w:val="en-US" w:eastAsia="zh-CN"/>
        </w:rPr>
        <w:t>及动态变更工作中认真执行。</w:t>
      </w:r>
    </w:p>
    <w:p w14:paraId="3A68EE18">
      <w:pPr>
        <w:pStyle w:val="2"/>
        <w:keepNext w:val="0"/>
        <w:keepLines w:val="0"/>
        <w:pageBreakBefore w:val="0"/>
        <w:widowControl w:val="0"/>
        <w:kinsoku/>
        <w:overflowPunct/>
        <w:topLinePunct w:val="0"/>
        <w:autoSpaceDE/>
        <w:autoSpaceDN/>
        <w:bidi w:val="0"/>
        <w:adjustRightInd/>
        <w:snapToGrid/>
        <w:spacing w:after="0" w:line="540" w:lineRule="exact"/>
        <w:textAlignment w:val="auto"/>
        <w:rPr>
          <w:rFonts w:hint="eastAsia"/>
          <w:lang w:val="en-US" w:eastAsia="zh-CN"/>
        </w:rPr>
      </w:pPr>
    </w:p>
    <w:p w14:paraId="1B578C36">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附件：</w:t>
      </w:r>
    </w:p>
    <w:p w14:paraId="325BE96B">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1.望城区丁字湾街道2025年社会救助申请家庭收入核算评估行业细则</w:t>
      </w:r>
    </w:p>
    <w:p w14:paraId="557EE466">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2.望城区丁字湾街道2025年社会救助申请家庭收入核算评估细则</w:t>
      </w:r>
    </w:p>
    <w:p w14:paraId="798438B2">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kern w:val="2"/>
          <w:sz w:val="32"/>
          <w:szCs w:val="32"/>
          <w:lang w:val="en-US" w:eastAsia="zh-CN" w:bidi="ar-SA"/>
        </w:rPr>
        <w:t>3.</w:t>
      </w:r>
      <w:r>
        <w:rPr>
          <w:rFonts w:hint="eastAsia" w:ascii="仿宋_GB2312" w:hAnsi="仿宋_GB2312" w:eastAsia="仿宋_GB2312" w:cs="仿宋_GB2312"/>
          <w:color w:val="auto"/>
          <w:sz w:val="32"/>
          <w:szCs w:val="32"/>
          <w:lang w:val="en-US" w:eastAsia="zh-CN"/>
        </w:rPr>
        <w:t>望城区丁字湾街道2025年单人户保核算评估细则</w:t>
      </w:r>
    </w:p>
    <w:p w14:paraId="00F4D2EB">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4.望城区丁字湾街道2025年临时救助执行细则</w:t>
      </w:r>
    </w:p>
    <w:p w14:paraId="638FB0C9">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5.望城区丁字湾街道2025年城市特殊困难群体帮扶细则</w:t>
      </w:r>
    </w:p>
    <w:p w14:paraId="4ADB2464">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outlineLvl w:val="9"/>
        <w:rPr>
          <w:rFonts w:hint="default" w:ascii="仿宋_GB2312" w:hAnsi="仿宋_GB2312" w:eastAsia="仿宋_GB2312" w:cs="仿宋_GB2312"/>
          <w:color w:val="auto"/>
          <w:sz w:val="32"/>
          <w:szCs w:val="32"/>
          <w:lang w:val="en-US" w:eastAsia="zh-CN"/>
        </w:rPr>
      </w:pPr>
    </w:p>
    <w:p w14:paraId="6C308A6F">
      <w:pPr>
        <w:keepNext w:val="0"/>
        <w:keepLines w:val="0"/>
        <w:pageBreakBefore w:val="0"/>
        <w:widowControl w:val="0"/>
        <w:kinsoku/>
        <w:wordWrap w:val="0"/>
        <w:overflowPunct/>
        <w:topLinePunct w:val="0"/>
        <w:autoSpaceDE/>
        <w:autoSpaceDN/>
        <w:bidi w:val="0"/>
        <w:adjustRightInd/>
        <w:snapToGrid/>
        <w:spacing w:line="540" w:lineRule="exact"/>
        <w:ind w:left="0" w:leftChars="0" w:firstLine="0" w:firstLineChars="0"/>
        <w:jc w:val="both"/>
        <w:textAlignment w:val="auto"/>
        <w:rPr>
          <w:rFonts w:hint="eastAsia" w:ascii="仿宋_GB2312" w:hAnsi="仿宋_GB2312" w:eastAsia="仿宋_GB2312" w:cs="仿宋_GB2312"/>
          <w:color w:val="auto"/>
          <w:sz w:val="32"/>
          <w:szCs w:val="32"/>
          <w:lang w:val="en-US" w:eastAsia="zh-CN"/>
        </w:rPr>
      </w:pPr>
    </w:p>
    <w:p w14:paraId="38BB3C62">
      <w:pPr>
        <w:keepNext w:val="0"/>
        <w:keepLines w:val="0"/>
        <w:pageBreakBefore w:val="0"/>
        <w:widowControl w:val="0"/>
        <w:kinsoku/>
        <w:wordWrap w:val="0"/>
        <w:overflowPunct/>
        <w:topLinePunct w:val="0"/>
        <w:autoSpaceDE/>
        <w:autoSpaceDN/>
        <w:bidi w:val="0"/>
        <w:adjustRightInd/>
        <w:snapToGrid/>
        <w:spacing w:line="540" w:lineRule="exact"/>
        <w:ind w:left="0" w:leftChars="0" w:firstLine="0" w:firstLineChars="0"/>
        <w:jc w:val="righ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长沙市望城区丁字湾街道办事处 </w:t>
      </w:r>
    </w:p>
    <w:p w14:paraId="6DE86C8B">
      <w:pPr>
        <w:keepNext w:val="0"/>
        <w:keepLines w:val="0"/>
        <w:pageBreakBefore w:val="0"/>
        <w:widowControl w:val="0"/>
        <w:kinsoku/>
        <w:wordWrap w:val="0"/>
        <w:overflowPunct/>
        <w:topLinePunct w:val="0"/>
        <w:autoSpaceDE/>
        <w:autoSpaceDN/>
        <w:bidi w:val="0"/>
        <w:adjustRightInd/>
        <w:snapToGrid/>
        <w:spacing w:line="540" w:lineRule="exact"/>
        <w:ind w:left="0" w:leftChars="0" w:firstLine="0" w:firstLineChars="0"/>
        <w:jc w:val="righ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2025年9月5日       </w:t>
      </w:r>
    </w:p>
    <w:p w14:paraId="3D2ED281">
      <w:pPr>
        <w:keepNext w:val="0"/>
        <w:keepLines w:val="0"/>
        <w:pageBreakBefore w:val="0"/>
        <w:widowControl w:val="0"/>
        <w:kinsoku/>
        <w:overflowPunct/>
        <w:topLinePunct w:val="0"/>
        <w:autoSpaceDE/>
        <w:autoSpaceDN/>
        <w:bidi w:val="0"/>
        <w:adjustRightInd/>
        <w:snapToGrid/>
        <w:spacing w:line="540" w:lineRule="exact"/>
        <w:textAlignment w:val="auto"/>
        <w:rPr>
          <w:rFonts w:hint="eastAsia" w:ascii="仿宋_GB2312" w:hAnsi="仿宋" w:eastAsia="仿宋_GB2312"/>
          <w:sz w:val="32"/>
          <w:szCs w:val="32"/>
        </w:rPr>
      </w:pPr>
    </w:p>
    <w:p w14:paraId="6F7C1C66">
      <w:pPr>
        <w:pStyle w:val="2"/>
        <w:keepNext w:val="0"/>
        <w:keepLines w:val="0"/>
        <w:pageBreakBefore w:val="0"/>
        <w:widowControl w:val="0"/>
        <w:kinsoku/>
        <w:overflowPunct/>
        <w:topLinePunct w:val="0"/>
        <w:autoSpaceDE/>
        <w:autoSpaceDN/>
        <w:bidi w:val="0"/>
        <w:adjustRightInd/>
        <w:snapToGrid/>
        <w:spacing w:after="0" w:line="540" w:lineRule="exact"/>
        <w:textAlignment w:val="auto"/>
        <w:rPr>
          <w:rFonts w:hint="eastAsia" w:ascii="仿宋_GB2312" w:hAnsi="仿宋" w:eastAsia="仿宋_GB2312"/>
          <w:sz w:val="32"/>
          <w:szCs w:val="32"/>
        </w:rPr>
      </w:pPr>
    </w:p>
    <w:p w14:paraId="258C58DE">
      <w:pPr>
        <w:pStyle w:val="2"/>
        <w:keepNext w:val="0"/>
        <w:keepLines w:val="0"/>
        <w:pageBreakBefore w:val="0"/>
        <w:widowControl w:val="0"/>
        <w:kinsoku/>
        <w:overflowPunct/>
        <w:topLinePunct w:val="0"/>
        <w:autoSpaceDE/>
        <w:autoSpaceDN/>
        <w:bidi w:val="0"/>
        <w:adjustRightInd/>
        <w:snapToGrid/>
        <w:spacing w:after="0" w:line="540" w:lineRule="exact"/>
        <w:textAlignment w:val="auto"/>
        <w:rPr>
          <w:rFonts w:hint="eastAsia" w:ascii="仿宋_GB2312" w:hAnsi="仿宋" w:eastAsia="仿宋_GB2312"/>
          <w:sz w:val="32"/>
          <w:szCs w:val="32"/>
        </w:rPr>
      </w:pPr>
    </w:p>
    <w:p w14:paraId="7CB873AB">
      <w:pPr>
        <w:pStyle w:val="2"/>
        <w:keepNext w:val="0"/>
        <w:keepLines w:val="0"/>
        <w:pageBreakBefore w:val="0"/>
        <w:widowControl w:val="0"/>
        <w:kinsoku/>
        <w:overflowPunct/>
        <w:topLinePunct w:val="0"/>
        <w:autoSpaceDE/>
        <w:autoSpaceDN/>
        <w:bidi w:val="0"/>
        <w:adjustRightInd/>
        <w:snapToGrid/>
        <w:spacing w:after="0" w:line="540" w:lineRule="exact"/>
        <w:textAlignment w:val="auto"/>
        <w:rPr>
          <w:rFonts w:hint="eastAsia" w:ascii="仿宋_GB2312" w:hAnsi="仿宋" w:eastAsia="仿宋_GB2312"/>
          <w:sz w:val="32"/>
          <w:szCs w:val="32"/>
        </w:rPr>
      </w:pPr>
    </w:p>
    <w:p w14:paraId="7D0F211C">
      <w:pPr>
        <w:pStyle w:val="2"/>
        <w:keepNext w:val="0"/>
        <w:keepLines w:val="0"/>
        <w:pageBreakBefore w:val="0"/>
        <w:widowControl w:val="0"/>
        <w:kinsoku/>
        <w:overflowPunct/>
        <w:topLinePunct w:val="0"/>
        <w:autoSpaceDE/>
        <w:autoSpaceDN/>
        <w:bidi w:val="0"/>
        <w:adjustRightInd/>
        <w:snapToGrid/>
        <w:spacing w:line="540" w:lineRule="exact"/>
        <w:textAlignment w:val="auto"/>
        <w:rPr>
          <w:rFonts w:hint="eastAsia" w:ascii="仿宋_GB2312" w:hAnsi="仿宋" w:eastAsia="仿宋_GB2312"/>
          <w:sz w:val="32"/>
          <w:szCs w:val="32"/>
        </w:rPr>
      </w:pPr>
    </w:p>
    <w:p w14:paraId="24F614CF">
      <w:pPr>
        <w:pStyle w:val="2"/>
        <w:keepNext w:val="0"/>
        <w:keepLines w:val="0"/>
        <w:pageBreakBefore w:val="0"/>
        <w:widowControl w:val="0"/>
        <w:kinsoku/>
        <w:overflowPunct/>
        <w:topLinePunct w:val="0"/>
        <w:autoSpaceDE/>
        <w:autoSpaceDN/>
        <w:bidi w:val="0"/>
        <w:adjustRightInd/>
        <w:snapToGrid/>
        <w:spacing w:line="540" w:lineRule="exact"/>
        <w:textAlignment w:val="auto"/>
        <w:rPr>
          <w:rFonts w:hint="eastAsia" w:ascii="仿宋_GB2312" w:hAnsi="仿宋" w:eastAsia="仿宋_GB2312"/>
          <w:sz w:val="32"/>
          <w:szCs w:val="32"/>
        </w:rPr>
      </w:pPr>
    </w:p>
    <w:p w14:paraId="462A1D16">
      <w:pPr>
        <w:pStyle w:val="2"/>
        <w:keepNext w:val="0"/>
        <w:keepLines w:val="0"/>
        <w:pageBreakBefore w:val="0"/>
        <w:widowControl w:val="0"/>
        <w:kinsoku/>
        <w:overflowPunct/>
        <w:topLinePunct w:val="0"/>
        <w:autoSpaceDE/>
        <w:autoSpaceDN/>
        <w:bidi w:val="0"/>
        <w:adjustRightInd/>
        <w:snapToGrid/>
        <w:spacing w:line="540" w:lineRule="exact"/>
        <w:textAlignment w:val="auto"/>
        <w:rPr>
          <w:rFonts w:hint="eastAsia" w:ascii="仿宋_GB2312" w:hAnsi="仿宋" w:eastAsia="仿宋_GB2312"/>
          <w:sz w:val="32"/>
          <w:szCs w:val="32"/>
        </w:rPr>
      </w:pPr>
    </w:p>
    <w:p w14:paraId="310B7848">
      <w:pPr>
        <w:pStyle w:val="2"/>
        <w:keepNext w:val="0"/>
        <w:keepLines w:val="0"/>
        <w:pageBreakBefore w:val="0"/>
        <w:widowControl w:val="0"/>
        <w:kinsoku/>
        <w:overflowPunct/>
        <w:topLinePunct w:val="0"/>
        <w:autoSpaceDE/>
        <w:autoSpaceDN/>
        <w:bidi w:val="0"/>
        <w:adjustRightInd/>
        <w:snapToGrid/>
        <w:spacing w:line="540" w:lineRule="exact"/>
        <w:textAlignment w:val="auto"/>
        <w:rPr>
          <w:rFonts w:hint="eastAsia" w:ascii="仿宋_GB2312" w:hAnsi="仿宋" w:eastAsia="仿宋_GB2312"/>
          <w:sz w:val="32"/>
          <w:szCs w:val="32"/>
        </w:rPr>
      </w:pPr>
    </w:p>
    <w:p w14:paraId="56850246">
      <w:pPr>
        <w:pStyle w:val="2"/>
        <w:keepNext w:val="0"/>
        <w:keepLines w:val="0"/>
        <w:pageBreakBefore w:val="0"/>
        <w:widowControl w:val="0"/>
        <w:kinsoku/>
        <w:overflowPunct/>
        <w:topLinePunct w:val="0"/>
        <w:autoSpaceDE/>
        <w:autoSpaceDN/>
        <w:bidi w:val="0"/>
        <w:adjustRightInd/>
        <w:snapToGrid/>
        <w:spacing w:line="540" w:lineRule="exact"/>
        <w:textAlignment w:val="auto"/>
        <w:rPr>
          <w:rFonts w:hint="eastAsia" w:ascii="仿宋_GB2312" w:hAnsi="仿宋" w:eastAsia="仿宋_GB2312"/>
          <w:sz w:val="32"/>
          <w:szCs w:val="32"/>
        </w:rPr>
      </w:pPr>
    </w:p>
    <w:p w14:paraId="4114C61F">
      <w:pPr>
        <w:pStyle w:val="2"/>
        <w:keepNext w:val="0"/>
        <w:keepLines w:val="0"/>
        <w:pageBreakBefore w:val="0"/>
        <w:widowControl w:val="0"/>
        <w:kinsoku/>
        <w:overflowPunct/>
        <w:topLinePunct w:val="0"/>
        <w:autoSpaceDE/>
        <w:autoSpaceDN/>
        <w:bidi w:val="0"/>
        <w:adjustRightInd/>
        <w:snapToGrid/>
        <w:spacing w:line="540" w:lineRule="exact"/>
        <w:textAlignment w:val="auto"/>
        <w:rPr>
          <w:rFonts w:hint="eastAsia" w:ascii="仿宋_GB2312" w:hAnsi="仿宋" w:eastAsia="仿宋_GB2312"/>
          <w:sz w:val="32"/>
          <w:szCs w:val="32"/>
        </w:rPr>
      </w:pPr>
    </w:p>
    <w:p w14:paraId="5CB7C083">
      <w:pPr>
        <w:pStyle w:val="2"/>
        <w:rPr>
          <w:rFonts w:hint="eastAsia" w:ascii="仿宋_GB2312" w:hAnsi="仿宋" w:eastAsia="仿宋_GB2312"/>
          <w:sz w:val="32"/>
          <w:szCs w:val="32"/>
        </w:rPr>
      </w:pPr>
    </w:p>
    <w:p w14:paraId="25ED2DF2">
      <w:pPr>
        <w:pStyle w:val="2"/>
        <w:rPr>
          <w:rFonts w:hint="eastAsia" w:ascii="仿宋_GB2312" w:hAnsi="仿宋" w:eastAsia="仿宋_GB2312"/>
          <w:sz w:val="32"/>
          <w:szCs w:val="32"/>
        </w:rPr>
      </w:pPr>
    </w:p>
    <w:p w14:paraId="6709A244">
      <w:pPr>
        <w:pStyle w:val="2"/>
        <w:rPr>
          <w:rFonts w:hint="eastAsia" w:ascii="仿宋_GB2312" w:hAnsi="仿宋" w:eastAsia="仿宋_GB2312"/>
          <w:sz w:val="32"/>
          <w:szCs w:val="32"/>
        </w:rPr>
      </w:pPr>
    </w:p>
    <w:p w14:paraId="2FADB94A">
      <w:pPr>
        <w:keepNext w:val="0"/>
        <w:keepLines w:val="0"/>
        <w:pageBreakBefore w:val="0"/>
        <w:widowControl w:val="0"/>
        <w:numPr>
          <w:ilvl w:val="0"/>
          <w:numId w:val="0"/>
        </w:numPr>
        <w:suppressLineNumbers w:val="0"/>
        <w:kinsoku/>
        <w:wordWrap/>
        <w:overflowPunct w:val="0"/>
        <w:topLinePunct w:val="0"/>
        <w:autoSpaceDE/>
        <w:autoSpaceDN/>
        <w:bidi w:val="0"/>
        <w:adjustRightInd/>
        <w:snapToGrid/>
        <w:spacing w:line="540" w:lineRule="exact"/>
        <w:jc w:val="both"/>
        <w:textAlignment w:val="auto"/>
        <w:outlineLvl w:val="9"/>
        <w:rPr>
          <w:rFonts w:hint="eastAsia" w:ascii="黑体" w:hAnsi="黑体" w:eastAsia="黑体" w:cs="黑体"/>
          <w:sz w:val="32"/>
          <w:szCs w:val="32"/>
          <w:lang w:val="en-US" w:eastAsia="zh-CN"/>
        </w:rPr>
      </w:pPr>
      <w:bookmarkStart w:id="0" w:name="OLE_LINK1"/>
      <w:r>
        <w:rPr>
          <w:rFonts w:hint="eastAsia" w:ascii="黑体" w:hAnsi="黑体" w:eastAsia="黑体" w:cs="黑体"/>
          <w:sz w:val="32"/>
          <w:szCs w:val="32"/>
          <w:lang w:val="en-US" w:eastAsia="zh-CN"/>
        </w:rPr>
        <w:t>附件1</w:t>
      </w:r>
    </w:p>
    <w:bookmarkEnd w:id="0"/>
    <w:p w14:paraId="2963B83F">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sz w:val="44"/>
          <w:szCs w:val="44"/>
          <w:lang w:val="en-US" w:eastAsia="zh-CN"/>
        </w:rPr>
      </w:pPr>
      <w:bookmarkStart w:id="1" w:name="OLE_LINK3"/>
      <w:r>
        <w:rPr>
          <w:rFonts w:hint="eastAsia" w:ascii="方正小标宋简体" w:hAnsi="方正小标宋简体" w:eastAsia="方正小标宋简体" w:cs="方正小标宋简体"/>
          <w:sz w:val="44"/>
          <w:szCs w:val="44"/>
          <w:lang w:val="en-US" w:eastAsia="zh-CN"/>
        </w:rPr>
        <w:t>望城区丁字湾街道2025年社会救助申请家庭</w:t>
      </w:r>
    </w:p>
    <w:p w14:paraId="48AA1E15">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收入核算评估行业</w:t>
      </w:r>
      <w:bookmarkEnd w:id="1"/>
      <w:r>
        <w:rPr>
          <w:rFonts w:hint="eastAsia" w:ascii="方正小标宋简体" w:hAnsi="方正小标宋简体" w:eastAsia="方正小标宋简体" w:cs="方正小标宋简体"/>
          <w:sz w:val="44"/>
          <w:szCs w:val="44"/>
          <w:lang w:val="en-US" w:eastAsia="zh-CN"/>
        </w:rPr>
        <w:t>细则</w:t>
      </w:r>
    </w:p>
    <w:p w14:paraId="3B9E094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小标宋简体" w:cs="Times New Roman"/>
          <w:sz w:val="36"/>
          <w:szCs w:val="36"/>
          <w:lang w:val="en-US" w:eastAsia="zh-CN"/>
        </w:rPr>
      </w:pPr>
    </w:p>
    <w:tbl>
      <w:tblPr>
        <w:tblStyle w:val="7"/>
        <w:tblW w:w="900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18"/>
        <w:gridCol w:w="2898"/>
        <w:gridCol w:w="2416"/>
        <w:gridCol w:w="2872"/>
      </w:tblGrid>
      <w:tr w14:paraId="0D8D8C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1" w:hRule="atLeast"/>
          <w:tblHeader/>
        </w:trPr>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1541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类别</w:t>
            </w: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F775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项目名称</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6535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收入参考标准（元/月）</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0388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备注</w:t>
            </w:r>
          </w:p>
        </w:tc>
      </w:tr>
      <w:tr w14:paraId="20DCAC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8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51C85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b/>
                <w:bCs/>
                <w:i w:val="0"/>
                <w:iCs w:val="0"/>
                <w:color w:val="000000"/>
                <w:kern w:val="0"/>
                <w:sz w:val="21"/>
                <w:szCs w:val="21"/>
                <w:u w:val="none"/>
                <w:lang w:val="en-US" w:eastAsia="zh-CN" w:bidi="ar"/>
              </w:rPr>
            </w:pPr>
            <w:r>
              <w:rPr>
                <w:rFonts w:hint="default" w:ascii="Times New Roman" w:hAnsi="Times New Roman" w:cs="Times New Roman" w:eastAsiaTheme="minorEastAsia"/>
                <w:b/>
                <w:bCs/>
                <w:i w:val="0"/>
                <w:iCs w:val="0"/>
                <w:color w:val="000000"/>
                <w:kern w:val="0"/>
                <w:sz w:val="21"/>
                <w:szCs w:val="21"/>
                <w:u w:val="none"/>
                <w:lang w:val="en-US" w:eastAsia="zh-CN" w:bidi="ar"/>
              </w:rPr>
              <w:t>工</w:t>
            </w:r>
            <w:r>
              <w:rPr>
                <w:rFonts w:hint="default" w:ascii="Times New Roman" w:hAnsi="Times New Roman" w:cs="Times New Roman" w:eastAsiaTheme="minorEastAsia"/>
                <w:b/>
                <w:bCs/>
                <w:i w:val="0"/>
                <w:iCs w:val="0"/>
                <w:color w:val="000000"/>
                <w:kern w:val="0"/>
                <w:sz w:val="21"/>
                <w:szCs w:val="21"/>
                <w:u w:val="none"/>
                <w:lang w:val="en-US" w:eastAsia="zh-CN" w:bidi="ar"/>
              </w:rPr>
              <w:br w:type="textWrapping"/>
            </w:r>
            <w:r>
              <w:rPr>
                <w:rFonts w:hint="default" w:ascii="Times New Roman" w:hAnsi="Times New Roman" w:cs="Times New Roman"/>
                <w:b/>
                <w:bCs/>
                <w:i w:val="0"/>
                <w:iCs w:val="0"/>
                <w:color w:val="000000"/>
                <w:kern w:val="0"/>
                <w:sz w:val="21"/>
                <w:szCs w:val="21"/>
                <w:u w:val="none"/>
                <w:lang w:val="en-US" w:eastAsia="zh-CN" w:bidi="ar"/>
              </w:rPr>
              <w:t>资</w:t>
            </w:r>
            <w:r>
              <w:rPr>
                <w:rFonts w:hint="default" w:ascii="Times New Roman" w:hAnsi="Times New Roman" w:cs="Times New Roman" w:eastAsiaTheme="minorEastAsia"/>
                <w:b/>
                <w:bCs/>
                <w:i w:val="0"/>
                <w:iCs w:val="0"/>
                <w:color w:val="000000"/>
                <w:kern w:val="0"/>
                <w:sz w:val="21"/>
                <w:szCs w:val="21"/>
                <w:u w:val="none"/>
                <w:lang w:val="en-US" w:eastAsia="zh-CN" w:bidi="ar"/>
              </w:rPr>
              <w:br w:type="textWrapping"/>
            </w:r>
            <w:r>
              <w:rPr>
                <w:rFonts w:hint="default" w:ascii="Times New Roman" w:hAnsi="Times New Roman" w:cs="Times New Roman" w:eastAsiaTheme="minorEastAsia"/>
                <w:b/>
                <w:bCs/>
                <w:i w:val="0"/>
                <w:iCs w:val="0"/>
                <w:color w:val="000000"/>
                <w:kern w:val="0"/>
                <w:sz w:val="21"/>
                <w:szCs w:val="21"/>
                <w:u w:val="none"/>
                <w:lang w:val="en-US" w:eastAsia="zh-CN" w:bidi="ar"/>
              </w:rPr>
              <w:t>性</w:t>
            </w:r>
            <w:r>
              <w:rPr>
                <w:rFonts w:hint="default" w:ascii="Times New Roman" w:hAnsi="Times New Roman" w:cs="Times New Roman" w:eastAsiaTheme="minorEastAsia"/>
                <w:b/>
                <w:bCs/>
                <w:i w:val="0"/>
                <w:iCs w:val="0"/>
                <w:color w:val="000000"/>
                <w:kern w:val="0"/>
                <w:sz w:val="21"/>
                <w:szCs w:val="21"/>
                <w:u w:val="none"/>
                <w:lang w:val="en-US" w:eastAsia="zh-CN" w:bidi="ar"/>
              </w:rPr>
              <w:br w:type="textWrapping"/>
            </w:r>
            <w:r>
              <w:rPr>
                <w:rFonts w:hint="default" w:ascii="Times New Roman" w:hAnsi="Times New Roman" w:cs="Times New Roman" w:eastAsiaTheme="minorEastAsia"/>
                <w:b/>
                <w:bCs/>
                <w:i w:val="0"/>
                <w:iCs w:val="0"/>
                <w:color w:val="000000"/>
                <w:kern w:val="0"/>
                <w:sz w:val="21"/>
                <w:szCs w:val="21"/>
                <w:u w:val="none"/>
                <w:lang w:val="en-US" w:eastAsia="zh-CN" w:bidi="ar"/>
              </w:rPr>
              <w:t>收</w:t>
            </w:r>
            <w:r>
              <w:rPr>
                <w:rFonts w:hint="default" w:ascii="Times New Roman" w:hAnsi="Times New Roman" w:cs="Times New Roman" w:eastAsiaTheme="minorEastAsia"/>
                <w:b/>
                <w:bCs/>
                <w:i w:val="0"/>
                <w:iCs w:val="0"/>
                <w:color w:val="000000"/>
                <w:kern w:val="0"/>
                <w:sz w:val="21"/>
                <w:szCs w:val="21"/>
                <w:u w:val="none"/>
                <w:lang w:val="en-US" w:eastAsia="zh-CN" w:bidi="ar"/>
              </w:rPr>
              <w:br w:type="textWrapping"/>
            </w:r>
            <w:r>
              <w:rPr>
                <w:rFonts w:hint="default" w:ascii="Times New Roman" w:hAnsi="Times New Roman" w:cs="Times New Roman" w:eastAsiaTheme="minorEastAsia"/>
                <w:b/>
                <w:bCs/>
                <w:i w:val="0"/>
                <w:iCs w:val="0"/>
                <w:color w:val="000000"/>
                <w:kern w:val="0"/>
                <w:sz w:val="21"/>
                <w:szCs w:val="21"/>
                <w:u w:val="none"/>
                <w:lang w:val="en-US" w:eastAsia="zh-CN" w:bidi="ar"/>
              </w:rPr>
              <w:t>入</w:t>
            </w:r>
            <w:r>
              <w:rPr>
                <w:rFonts w:hint="default" w:ascii="Times New Roman" w:hAnsi="Times New Roman" w:cs="Times New Roman" w:eastAsiaTheme="minorEastAsia"/>
                <w:b/>
                <w:bCs/>
                <w:i w:val="0"/>
                <w:iCs w:val="0"/>
                <w:color w:val="000000"/>
                <w:kern w:val="0"/>
                <w:sz w:val="21"/>
                <w:szCs w:val="21"/>
                <w:u w:val="none"/>
                <w:lang w:val="en-US" w:eastAsia="zh-CN" w:bidi="ar"/>
              </w:rPr>
              <w:br w:type="textWrapping"/>
            </w:r>
            <w:r>
              <w:rPr>
                <w:rFonts w:hint="default" w:ascii="Times New Roman" w:hAnsi="Times New Roman" w:cs="Times New Roman" w:eastAsiaTheme="minorEastAsia"/>
                <w:b/>
                <w:bCs/>
                <w:i w:val="0"/>
                <w:iCs w:val="0"/>
                <w:color w:val="000000"/>
                <w:kern w:val="0"/>
                <w:sz w:val="21"/>
                <w:szCs w:val="21"/>
                <w:u w:val="none"/>
                <w:lang w:val="en-US" w:eastAsia="zh-CN" w:bidi="ar"/>
              </w:rPr>
              <w:t>评</w:t>
            </w:r>
            <w:r>
              <w:rPr>
                <w:rFonts w:hint="default" w:ascii="Times New Roman" w:hAnsi="Times New Roman" w:cs="Times New Roman" w:eastAsiaTheme="minorEastAsia"/>
                <w:b/>
                <w:bCs/>
                <w:i w:val="0"/>
                <w:iCs w:val="0"/>
                <w:color w:val="000000"/>
                <w:kern w:val="0"/>
                <w:sz w:val="21"/>
                <w:szCs w:val="21"/>
                <w:u w:val="none"/>
                <w:lang w:val="en-US" w:eastAsia="zh-CN" w:bidi="ar"/>
              </w:rPr>
              <w:br w:type="textWrapping"/>
            </w:r>
            <w:r>
              <w:rPr>
                <w:rFonts w:hint="default" w:ascii="Times New Roman" w:hAnsi="Times New Roman" w:cs="Times New Roman" w:eastAsiaTheme="minorEastAsia"/>
                <w:b/>
                <w:bCs/>
                <w:i w:val="0"/>
                <w:iCs w:val="0"/>
                <w:color w:val="000000"/>
                <w:kern w:val="0"/>
                <w:sz w:val="21"/>
                <w:szCs w:val="21"/>
                <w:u w:val="none"/>
                <w:lang w:val="en-US" w:eastAsia="zh-CN" w:bidi="ar"/>
              </w:rPr>
              <w:t>估</w:t>
            </w:r>
          </w:p>
          <w:p w14:paraId="47B0656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b/>
                <w:bCs/>
                <w:i w:val="0"/>
                <w:iCs w:val="0"/>
                <w:color w:val="000000"/>
                <w:kern w:val="0"/>
                <w:sz w:val="21"/>
                <w:szCs w:val="21"/>
                <w:u w:val="none"/>
                <w:lang w:val="en-US" w:eastAsia="zh-CN" w:bidi="ar"/>
              </w:rPr>
            </w:pPr>
            <w:r>
              <w:rPr>
                <w:rFonts w:hint="default" w:ascii="Times New Roman" w:hAnsi="Times New Roman" w:cs="Times New Roman"/>
                <w:b/>
                <w:bCs/>
                <w:i w:val="0"/>
                <w:iCs w:val="0"/>
                <w:color w:val="000000"/>
                <w:kern w:val="0"/>
                <w:sz w:val="21"/>
                <w:szCs w:val="21"/>
                <w:u w:val="none"/>
                <w:lang w:val="en-US" w:eastAsia="zh-CN" w:bidi="ar"/>
              </w:rPr>
              <w:t>标</w:t>
            </w:r>
          </w:p>
          <w:p w14:paraId="76213F1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b/>
                <w:bCs/>
                <w:i w:val="0"/>
                <w:iCs w:val="0"/>
                <w:color w:val="000000"/>
                <w:kern w:val="0"/>
                <w:sz w:val="21"/>
                <w:szCs w:val="21"/>
                <w:u w:val="none"/>
                <w:lang w:val="en-US" w:eastAsia="zh-CN" w:bidi="ar"/>
              </w:rPr>
            </w:pPr>
            <w:r>
              <w:rPr>
                <w:rFonts w:hint="default" w:ascii="Times New Roman" w:hAnsi="Times New Roman" w:cs="Times New Roman"/>
                <w:b/>
                <w:bCs/>
                <w:i w:val="0"/>
                <w:iCs w:val="0"/>
                <w:color w:val="000000"/>
                <w:kern w:val="0"/>
                <w:sz w:val="21"/>
                <w:szCs w:val="21"/>
                <w:u w:val="none"/>
                <w:lang w:val="en-US" w:eastAsia="zh-CN" w:bidi="ar"/>
              </w:rPr>
              <w:t>准</w:t>
            </w:r>
          </w:p>
          <w:p w14:paraId="6457179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宋体" w:cs="Times New Roman"/>
                <w:b/>
                <w:bCs/>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t>︵</w:t>
            </w:r>
          </w:p>
          <w:p w14:paraId="1E46328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b/>
                <w:bCs/>
                <w:i w:val="0"/>
                <w:iCs w:val="0"/>
                <w:color w:val="000000"/>
                <w:kern w:val="0"/>
                <w:sz w:val="21"/>
                <w:szCs w:val="21"/>
                <w:u w:val="none"/>
                <w:lang w:val="en-US" w:eastAsia="zh-CN" w:bidi="ar"/>
              </w:rPr>
            </w:pPr>
            <w:r>
              <w:rPr>
                <w:rFonts w:hint="default" w:ascii="Times New Roman" w:hAnsi="Times New Roman" w:cs="Times New Roman"/>
                <w:b/>
                <w:bCs/>
                <w:i w:val="0"/>
                <w:iCs w:val="0"/>
                <w:color w:val="000000"/>
                <w:kern w:val="0"/>
                <w:sz w:val="21"/>
                <w:szCs w:val="21"/>
                <w:u w:val="none"/>
                <w:lang w:val="en-US" w:eastAsia="zh-CN" w:bidi="ar"/>
              </w:rPr>
              <w:t>非</w:t>
            </w:r>
          </w:p>
          <w:p w14:paraId="7587582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b/>
                <w:bCs/>
                <w:i w:val="0"/>
                <w:iCs w:val="0"/>
                <w:color w:val="000000"/>
                <w:kern w:val="0"/>
                <w:sz w:val="21"/>
                <w:szCs w:val="21"/>
                <w:u w:val="none"/>
                <w:lang w:val="en-US" w:eastAsia="zh-CN" w:bidi="ar"/>
              </w:rPr>
            </w:pPr>
            <w:r>
              <w:rPr>
                <w:rFonts w:hint="default" w:ascii="Times New Roman" w:hAnsi="Times New Roman" w:cs="Times New Roman"/>
                <w:b/>
                <w:bCs/>
                <w:i w:val="0"/>
                <w:iCs w:val="0"/>
                <w:color w:val="000000"/>
                <w:kern w:val="0"/>
                <w:sz w:val="21"/>
                <w:szCs w:val="21"/>
                <w:u w:val="none"/>
                <w:lang w:val="en-US" w:eastAsia="zh-CN" w:bidi="ar"/>
              </w:rPr>
              <w:t>稳</w:t>
            </w:r>
          </w:p>
          <w:p w14:paraId="3CFF482F">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b/>
                <w:bCs/>
                <w:i w:val="0"/>
                <w:iCs w:val="0"/>
                <w:color w:val="000000"/>
                <w:kern w:val="0"/>
                <w:sz w:val="21"/>
                <w:szCs w:val="21"/>
                <w:u w:val="none"/>
                <w:lang w:val="en-US" w:eastAsia="zh-CN" w:bidi="ar"/>
              </w:rPr>
            </w:pPr>
            <w:r>
              <w:rPr>
                <w:rFonts w:hint="default" w:ascii="Times New Roman" w:hAnsi="Times New Roman" w:cs="Times New Roman"/>
                <w:b/>
                <w:bCs/>
                <w:i w:val="0"/>
                <w:iCs w:val="0"/>
                <w:color w:val="000000"/>
                <w:kern w:val="0"/>
                <w:sz w:val="21"/>
                <w:szCs w:val="21"/>
                <w:u w:val="none"/>
                <w:lang w:val="en-US" w:eastAsia="zh-CN" w:bidi="ar"/>
              </w:rPr>
              <w:t>定</w:t>
            </w:r>
          </w:p>
          <w:p w14:paraId="5C5662F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b/>
                <w:bCs/>
                <w:i w:val="0"/>
                <w:iCs w:val="0"/>
                <w:color w:val="000000"/>
                <w:kern w:val="0"/>
                <w:sz w:val="21"/>
                <w:szCs w:val="21"/>
                <w:u w:val="none"/>
                <w:lang w:val="en-US" w:eastAsia="zh-CN" w:bidi="ar"/>
              </w:rPr>
            </w:pPr>
            <w:r>
              <w:rPr>
                <w:rFonts w:hint="default" w:ascii="Times New Roman" w:hAnsi="Times New Roman" w:cs="Times New Roman"/>
                <w:b/>
                <w:bCs/>
                <w:i w:val="0"/>
                <w:iCs w:val="0"/>
                <w:color w:val="000000"/>
                <w:kern w:val="0"/>
                <w:sz w:val="21"/>
                <w:szCs w:val="21"/>
                <w:u w:val="none"/>
                <w:lang w:val="en-US" w:eastAsia="zh-CN" w:bidi="ar"/>
              </w:rPr>
              <w:t>就</w:t>
            </w:r>
          </w:p>
          <w:p w14:paraId="420AD5B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b/>
                <w:bCs/>
                <w:i w:val="0"/>
                <w:iCs w:val="0"/>
                <w:color w:val="000000"/>
                <w:kern w:val="0"/>
                <w:sz w:val="21"/>
                <w:szCs w:val="21"/>
                <w:u w:val="none"/>
                <w:lang w:val="en-US" w:eastAsia="zh-CN" w:bidi="ar"/>
              </w:rPr>
            </w:pPr>
            <w:r>
              <w:rPr>
                <w:rFonts w:hint="default" w:ascii="Times New Roman" w:hAnsi="Times New Roman" w:cs="Times New Roman"/>
                <w:b/>
                <w:bCs/>
                <w:i w:val="0"/>
                <w:iCs w:val="0"/>
                <w:color w:val="000000"/>
                <w:kern w:val="0"/>
                <w:sz w:val="21"/>
                <w:szCs w:val="21"/>
                <w:u w:val="none"/>
                <w:lang w:val="en-US" w:eastAsia="zh-CN" w:bidi="ar"/>
              </w:rPr>
              <w:t>业</w:t>
            </w:r>
          </w:p>
          <w:p w14:paraId="46E98E0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b/>
                <w:bCs/>
                <w:i w:val="0"/>
                <w:iCs w:val="0"/>
                <w:color w:val="000000"/>
                <w:kern w:val="0"/>
                <w:sz w:val="21"/>
                <w:szCs w:val="21"/>
                <w:u w:val="none"/>
                <w:lang w:val="en-US" w:eastAsia="zh-CN" w:bidi="ar"/>
              </w:rPr>
            </w:pPr>
            <w:r>
              <w:rPr>
                <w:rFonts w:hint="default" w:ascii="Times New Roman" w:hAnsi="Times New Roman" w:cs="Times New Roman"/>
                <w:b/>
                <w:bCs/>
                <w:i w:val="0"/>
                <w:iCs w:val="0"/>
                <w:color w:val="000000"/>
                <w:kern w:val="0"/>
                <w:sz w:val="21"/>
                <w:szCs w:val="21"/>
                <w:u w:val="none"/>
                <w:lang w:val="en-US" w:eastAsia="zh-CN" w:bidi="ar"/>
              </w:rPr>
              <w:t>人</w:t>
            </w:r>
          </w:p>
          <w:p w14:paraId="4268641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b/>
                <w:bCs/>
                <w:i w:val="0"/>
                <w:iCs w:val="0"/>
                <w:color w:val="000000"/>
                <w:kern w:val="0"/>
                <w:sz w:val="21"/>
                <w:szCs w:val="21"/>
                <w:u w:val="none"/>
                <w:lang w:val="en-US" w:eastAsia="zh-CN" w:bidi="ar"/>
              </w:rPr>
            </w:pPr>
            <w:r>
              <w:rPr>
                <w:rFonts w:hint="default" w:ascii="Times New Roman" w:hAnsi="Times New Roman" w:cs="Times New Roman"/>
                <w:b/>
                <w:bCs/>
                <w:i w:val="0"/>
                <w:iCs w:val="0"/>
                <w:color w:val="000000"/>
                <w:kern w:val="0"/>
                <w:sz w:val="21"/>
                <w:szCs w:val="21"/>
                <w:u w:val="none"/>
                <w:lang w:val="en-US" w:eastAsia="zh-CN" w:bidi="ar"/>
              </w:rPr>
              <w:t>员</w:t>
            </w:r>
          </w:p>
          <w:p w14:paraId="11A6488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w:t>
            </w: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C352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驾驶员（客运）</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E459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3000-4000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2859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435509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44A033">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C4DD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驾驶员（货运）</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99DD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3000-4000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1376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1530E1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1611A9">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E455F">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汽车修理工</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F0F5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3000-4000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08C9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1DD102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C8EEE8">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A976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家电安装工</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8733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3000-4000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268F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0BB9D2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BCDAD2">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F741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家电修理工</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6D29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00-3000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7A93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01298B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8473AA">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23D0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厨师</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6A11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00-3000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98C2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2A93ED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958141">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FF44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客运服务员</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C3D1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00-3000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1802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7EFB2E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48A795">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95C8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货运业务员</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CC8C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00-3000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FC9F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3F8FB4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C59106">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F0E5F">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装卸搬运工</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ABBC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00-3000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0D3E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0FC117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23C61A">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0812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仓储物流服务人员</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81D8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00-3000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EBA4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3A31E1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990F57">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3600F">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邮政和快递服务人员</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7D30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00-3000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51C8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27BB3C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5BFBCA">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B7A9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导游</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08EB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00-3000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293D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17CB37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A1F44F">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B738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养老护理员</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6DA5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00-3000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C0A7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35451A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9FB1A8">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C03D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电工</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37FD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00-3000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E4FB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793AA9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32EAF3">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1ED9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房屋建筑施工人员</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CA94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00-3000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57B1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1BA741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0C5295">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4015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建筑安装施工人员</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4558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00-3000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7A79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3B5B06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03E698">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B54F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建筑装饰施工人员</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0ACE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00-3000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B224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055C60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64C233">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18D1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其它建筑施工人员</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5CC8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00-3000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B121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7395C2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DB0787">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7EDE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营销员</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236A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00-3000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052B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269288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5266FC">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0982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二手车经纪人</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4F56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00-3000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7096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3AE5CF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D8BC10">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585B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i w:val="0"/>
                <w:iCs w:val="0"/>
                <w:color w:val="000000"/>
                <w:kern w:val="0"/>
                <w:sz w:val="21"/>
                <w:szCs w:val="21"/>
                <w:u w:val="none"/>
                <w:lang w:val="en-US" w:eastAsia="zh-CN" w:bidi="ar"/>
              </w:rPr>
              <w:t>种植</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A027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lang w:val="en-US"/>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2D9E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4A3244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7"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B37D94">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73CD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i w:val="0"/>
                <w:iCs w:val="0"/>
                <w:color w:val="000000"/>
                <w:kern w:val="0"/>
                <w:sz w:val="21"/>
                <w:szCs w:val="21"/>
                <w:u w:val="none"/>
                <w:lang w:val="en-US" w:eastAsia="zh-CN" w:bidi="ar"/>
              </w:rPr>
              <w:t>养殖</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2088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991D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58DBD7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311DFE">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2ED3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服务员</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6D4D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AB74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6CD320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99D6D2">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B209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保安员</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7E8D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5F07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60DAA9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7EAE0F">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36C5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安检员</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D73B9">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2F7E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1615C9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B7D772">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2328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营业员</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3A32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AE7D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6A32C4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8"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1C2A5D">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4569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收银员</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F5D6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74BF9">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0DE872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A22A5F">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E66B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生活垃圾处理工</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81F6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3D70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01155B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1"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4740EE">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C629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生活垃圾清运工</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0A6F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1A42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0AC96C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0702F7">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A725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保洁员</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79C9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CC44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6F532A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4271C2">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D09B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污水处理工</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BBEA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E52A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64D00E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F37D35">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2FF9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保育师</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2E8C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9171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6B4F15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E1C9EA">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FDB3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家政服务员</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1AC3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302B9">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007C62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8"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FFDC83">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E2D7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物业管理员</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A930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7056F">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32A9D7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8"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6DBCE3">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8217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洗车工</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8DCA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AEC09">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0D3633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9"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B7CA3E">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88AB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摩的</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2F0D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9A8D9">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2BFF2B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8"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C734EA">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8061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打零工</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0538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5487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7D230C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7"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5838D5">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7490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网络直播</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9331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5A62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20ADDA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DB155E">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right w:val="single" w:color="000000" w:sz="4" w:space="0"/>
            </w:tcBorders>
            <w:shd w:val="clear" w:color="auto" w:fill="auto"/>
            <w:vAlign w:val="center"/>
          </w:tcPr>
          <w:p w14:paraId="66BBAEB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幼师</w:t>
            </w:r>
          </w:p>
        </w:tc>
        <w:tc>
          <w:tcPr>
            <w:tcW w:w="2416" w:type="dxa"/>
            <w:tcBorders>
              <w:top w:val="single" w:color="000000" w:sz="4" w:space="0"/>
              <w:left w:val="single" w:color="000000" w:sz="4" w:space="0"/>
              <w:right w:val="single" w:color="000000" w:sz="4" w:space="0"/>
            </w:tcBorders>
            <w:shd w:val="clear" w:color="auto" w:fill="auto"/>
            <w:vAlign w:val="center"/>
          </w:tcPr>
          <w:p w14:paraId="662137B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83D9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319BF9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8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CDA59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b/>
                <w:bCs/>
                <w:i w:val="0"/>
                <w:iCs w:val="0"/>
                <w:color w:val="000000"/>
                <w:kern w:val="0"/>
                <w:sz w:val="21"/>
                <w:szCs w:val="21"/>
                <w:u w:val="none"/>
                <w:lang w:val="en-US" w:eastAsia="zh-CN" w:bidi="ar"/>
              </w:rPr>
            </w:pPr>
            <w:r>
              <w:rPr>
                <w:rFonts w:hint="default" w:ascii="Times New Roman" w:hAnsi="Times New Roman" w:cs="Times New Roman" w:eastAsiaTheme="minorEastAsia"/>
                <w:b/>
                <w:bCs/>
                <w:i w:val="0"/>
                <w:iCs w:val="0"/>
                <w:color w:val="000000"/>
                <w:kern w:val="0"/>
                <w:sz w:val="21"/>
                <w:szCs w:val="21"/>
                <w:u w:val="none"/>
                <w:lang w:val="en-US" w:eastAsia="zh-CN" w:bidi="ar"/>
              </w:rPr>
              <w:t>经</w:t>
            </w:r>
            <w:r>
              <w:rPr>
                <w:rFonts w:hint="default" w:ascii="Times New Roman" w:hAnsi="Times New Roman" w:cs="Times New Roman" w:eastAsiaTheme="minorEastAsia"/>
                <w:b/>
                <w:bCs/>
                <w:i w:val="0"/>
                <w:iCs w:val="0"/>
                <w:color w:val="000000"/>
                <w:kern w:val="0"/>
                <w:sz w:val="21"/>
                <w:szCs w:val="21"/>
                <w:u w:val="none"/>
                <w:lang w:val="en-US" w:eastAsia="zh-CN" w:bidi="ar"/>
              </w:rPr>
              <w:br w:type="textWrapping"/>
            </w:r>
            <w:r>
              <w:rPr>
                <w:rFonts w:hint="default" w:ascii="Times New Roman" w:hAnsi="Times New Roman" w:cs="Times New Roman" w:eastAsiaTheme="minorEastAsia"/>
                <w:b/>
                <w:bCs/>
                <w:i w:val="0"/>
                <w:iCs w:val="0"/>
                <w:color w:val="000000"/>
                <w:kern w:val="0"/>
                <w:sz w:val="21"/>
                <w:szCs w:val="21"/>
                <w:u w:val="none"/>
                <w:lang w:val="en-US" w:eastAsia="zh-CN" w:bidi="ar"/>
              </w:rPr>
              <w:t>营</w:t>
            </w:r>
            <w:r>
              <w:rPr>
                <w:rFonts w:hint="default" w:ascii="Times New Roman" w:hAnsi="Times New Roman" w:cs="Times New Roman" w:eastAsiaTheme="minorEastAsia"/>
                <w:b/>
                <w:bCs/>
                <w:i w:val="0"/>
                <w:iCs w:val="0"/>
                <w:color w:val="000000"/>
                <w:kern w:val="0"/>
                <w:sz w:val="21"/>
                <w:szCs w:val="21"/>
                <w:u w:val="none"/>
                <w:lang w:val="en-US" w:eastAsia="zh-CN" w:bidi="ar"/>
              </w:rPr>
              <w:br w:type="textWrapping"/>
            </w:r>
            <w:r>
              <w:rPr>
                <w:rFonts w:hint="default" w:ascii="Times New Roman" w:hAnsi="Times New Roman" w:cs="Times New Roman" w:eastAsiaTheme="minorEastAsia"/>
                <w:b/>
                <w:bCs/>
                <w:i w:val="0"/>
                <w:iCs w:val="0"/>
                <w:color w:val="000000"/>
                <w:kern w:val="0"/>
                <w:sz w:val="21"/>
                <w:szCs w:val="21"/>
                <w:u w:val="none"/>
                <w:lang w:val="en-US" w:eastAsia="zh-CN" w:bidi="ar"/>
              </w:rPr>
              <w:t>性</w:t>
            </w:r>
            <w:r>
              <w:rPr>
                <w:rFonts w:hint="default" w:ascii="Times New Roman" w:hAnsi="Times New Roman" w:cs="Times New Roman" w:eastAsiaTheme="minorEastAsia"/>
                <w:b/>
                <w:bCs/>
                <w:i w:val="0"/>
                <w:iCs w:val="0"/>
                <w:color w:val="000000"/>
                <w:kern w:val="0"/>
                <w:sz w:val="21"/>
                <w:szCs w:val="21"/>
                <w:u w:val="none"/>
                <w:lang w:val="en-US" w:eastAsia="zh-CN" w:bidi="ar"/>
              </w:rPr>
              <w:br w:type="textWrapping"/>
            </w:r>
            <w:r>
              <w:rPr>
                <w:rFonts w:hint="default" w:ascii="Times New Roman" w:hAnsi="Times New Roman" w:cs="Times New Roman" w:eastAsiaTheme="minorEastAsia"/>
                <w:b/>
                <w:bCs/>
                <w:i w:val="0"/>
                <w:iCs w:val="0"/>
                <w:color w:val="000000"/>
                <w:kern w:val="0"/>
                <w:sz w:val="21"/>
                <w:szCs w:val="21"/>
                <w:u w:val="none"/>
                <w:lang w:val="en-US" w:eastAsia="zh-CN" w:bidi="ar"/>
              </w:rPr>
              <w:t>收</w:t>
            </w:r>
            <w:r>
              <w:rPr>
                <w:rFonts w:hint="default" w:ascii="Times New Roman" w:hAnsi="Times New Roman" w:cs="Times New Roman" w:eastAsiaTheme="minorEastAsia"/>
                <w:b/>
                <w:bCs/>
                <w:i w:val="0"/>
                <w:iCs w:val="0"/>
                <w:color w:val="000000"/>
                <w:kern w:val="0"/>
                <w:sz w:val="21"/>
                <w:szCs w:val="21"/>
                <w:u w:val="none"/>
                <w:lang w:val="en-US" w:eastAsia="zh-CN" w:bidi="ar"/>
              </w:rPr>
              <w:br w:type="textWrapping"/>
            </w:r>
            <w:r>
              <w:rPr>
                <w:rFonts w:hint="default" w:ascii="Times New Roman" w:hAnsi="Times New Roman" w:cs="Times New Roman" w:eastAsiaTheme="minorEastAsia"/>
                <w:b/>
                <w:bCs/>
                <w:i w:val="0"/>
                <w:iCs w:val="0"/>
                <w:color w:val="000000"/>
                <w:kern w:val="0"/>
                <w:sz w:val="21"/>
                <w:szCs w:val="21"/>
                <w:u w:val="none"/>
                <w:lang w:val="en-US" w:eastAsia="zh-CN" w:bidi="ar"/>
              </w:rPr>
              <w:t>入</w:t>
            </w:r>
            <w:r>
              <w:rPr>
                <w:rFonts w:hint="default" w:ascii="Times New Roman" w:hAnsi="Times New Roman" w:cs="Times New Roman" w:eastAsiaTheme="minorEastAsia"/>
                <w:b/>
                <w:bCs/>
                <w:i w:val="0"/>
                <w:iCs w:val="0"/>
                <w:color w:val="000000"/>
                <w:kern w:val="0"/>
                <w:sz w:val="21"/>
                <w:szCs w:val="21"/>
                <w:u w:val="none"/>
                <w:lang w:val="en-US" w:eastAsia="zh-CN" w:bidi="ar"/>
              </w:rPr>
              <w:br w:type="textWrapping"/>
            </w:r>
            <w:r>
              <w:rPr>
                <w:rFonts w:hint="default" w:ascii="Times New Roman" w:hAnsi="Times New Roman" w:cs="Times New Roman" w:eastAsiaTheme="minorEastAsia"/>
                <w:b/>
                <w:bCs/>
                <w:i w:val="0"/>
                <w:iCs w:val="0"/>
                <w:color w:val="000000"/>
                <w:kern w:val="0"/>
                <w:sz w:val="21"/>
                <w:szCs w:val="21"/>
                <w:u w:val="none"/>
                <w:lang w:val="en-US" w:eastAsia="zh-CN" w:bidi="ar"/>
              </w:rPr>
              <w:t>评</w:t>
            </w:r>
            <w:r>
              <w:rPr>
                <w:rFonts w:hint="default" w:ascii="Times New Roman" w:hAnsi="Times New Roman" w:cs="Times New Roman" w:eastAsiaTheme="minorEastAsia"/>
                <w:b/>
                <w:bCs/>
                <w:i w:val="0"/>
                <w:iCs w:val="0"/>
                <w:color w:val="000000"/>
                <w:kern w:val="0"/>
                <w:sz w:val="21"/>
                <w:szCs w:val="21"/>
                <w:u w:val="none"/>
                <w:lang w:val="en-US" w:eastAsia="zh-CN" w:bidi="ar"/>
              </w:rPr>
              <w:br w:type="textWrapping"/>
            </w:r>
            <w:r>
              <w:rPr>
                <w:rFonts w:hint="default" w:ascii="Times New Roman" w:hAnsi="Times New Roman" w:cs="Times New Roman" w:eastAsiaTheme="minorEastAsia"/>
                <w:b/>
                <w:bCs/>
                <w:i w:val="0"/>
                <w:iCs w:val="0"/>
                <w:color w:val="000000"/>
                <w:kern w:val="0"/>
                <w:sz w:val="21"/>
                <w:szCs w:val="21"/>
                <w:u w:val="none"/>
                <w:lang w:val="en-US" w:eastAsia="zh-CN" w:bidi="ar"/>
              </w:rPr>
              <w:t>估</w:t>
            </w:r>
          </w:p>
          <w:p w14:paraId="6FC6609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b/>
                <w:bCs/>
                <w:i w:val="0"/>
                <w:iCs w:val="0"/>
                <w:color w:val="000000"/>
                <w:kern w:val="0"/>
                <w:sz w:val="21"/>
                <w:szCs w:val="21"/>
                <w:u w:val="none"/>
                <w:lang w:val="en-US" w:eastAsia="zh-CN" w:bidi="ar"/>
              </w:rPr>
            </w:pPr>
            <w:r>
              <w:rPr>
                <w:rFonts w:hint="default" w:ascii="Times New Roman" w:hAnsi="Times New Roman" w:cs="Times New Roman"/>
                <w:b/>
                <w:bCs/>
                <w:i w:val="0"/>
                <w:iCs w:val="0"/>
                <w:color w:val="000000"/>
                <w:kern w:val="0"/>
                <w:sz w:val="21"/>
                <w:szCs w:val="21"/>
                <w:u w:val="none"/>
                <w:lang w:val="en-US" w:eastAsia="zh-CN" w:bidi="ar"/>
              </w:rPr>
              <w:t>项</w:t>
            </w:r>
          </w:p>
          <w:p w14:paraId="4DD00A8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b/>
                <w:bCs/>
                <w:i w:val="0"/>
                <w:iCs w:val="0"/>
                <w:color w:val="000000"/>
                <w:kern w:val="0"/>
                <w:sz w:val="21"/>
                <w:szCs w:val="21"/>
                <w:u w:val="none"/>
                <w:lang w:val="en-US" w:eastAsia="zh-CN" w:bidi="ar"/>
              </w:rPr>
              <w:t>目</w:t>
            </w:r>
            <w:r>
              <w:rPr>
                <w:rFonts w:hint="default" w:ascii="Times New Roman" w:hAnsi="Times New Roman" w:cs="Times New Roman" w:eastAsiaTheme="minorEastAsia"/>
                <w:b/>
                <w:bCs/>
                <w:i w:val="0"/>
                <w:iCs w:val="0"/>
                <w:color w:val="000000"/>
                <w:kern w:val="0"/>
                <w:sz w:val="21"/>
                <w:szCs w:val="21"/>
                <w:u w:val="none"/>
                <w:lang w:val="en-US" w:eastAsia="zh-CN" w:bidi="ar"/>
              </w:rPr>
              <w:br w:type="textWrapping"/>
            </w:r>
            <w:r>
              <w:rPr>
                <w:rFonts w:hint="default" w:ascii="Times New Roman" w:hAnsi="Times New Roman" w:cs="Times New Roman" w:eastAsiaTheme="minorEastAsia"/>
                <w:b/>
                <w:bCs/>
                <w:i w:val="0"/>
                <w:iCs w:val="0"/>
                <w:color w:val="000000"/>
                <w:kern w:val="0"/>
                <w:sz w:val="21"/>
                <w:szCs w:val="21"/>
                <w:u w:val="none"/>
                <w:lang w:val="en-US" w:eastAsia="zh-CN" w:bidi="ar"/>
              </w:rPr>
              <w:t>标</w:t>
            </w:r>
            <w:r>
              <w:rPr>
                <w:rFonts w:hint="default" w:ascii="Times New Roman" w:hAnsi="Times New Roman" w:cs="Times New Roman" w:eastAsiaTheme="minorEastAsia"/>
                <w:b/>
                <w:bCs/>
                <w:i w:val="0"/>
                <w:iCs w:val="0"/>
                <w:color w:val="000000"/>
                <w:kern w:val="0"/>
                <w:sz w:val="21"/>
                <w:szCs w:val="21"/>
                <w:u w:val="none"/>
                <w:lang w:val="en-US" w:eastAsia="zh-CN" w:bidi="ar"/>
              </w:rPr>
              <w:br w:type="textWrapping"/>
            </w:r>
            <w:r>
              <w:rPr>
                <w:rFonts w:hint="default" w:ascii="Times New Roman" w:hAnsi="Times New Roman" w:cs="Times New Roman" w:eastAsiaTheme="minorEastAsia"/>
                <w:b/>
                <w:bCs/>
                <w:i w:val="0"/>
                <w:iCs w:val="0"/>
                <w:color w:val="000000"/>
                <w:kern w:val="0"/>
                <w:sz w:val="21"/>
                <w:szCs w:val="21"/>
                <w:u w:val="none"/>
                <w:lang w:val="en-US" w:eastAsia="zh-CN" w:bidi="ar"/>
              </w:rPr>
              <w:t>准</w:t>
            </w:r>
          </w:p>
        </w:tc>
        <w:tc>
          <w:tcPr>
            <w:tcW w:w="2898" w:type="dxa"/>
            <w:tcBorders>
              <w:top w:val="single" w:color="000000" w:sz="4" w:space="0"/>
              <w:left w:val="single" w:color="000000" w:sz="4" w:space="0"/>
              <w:right w:val="single" w:color="000000" w:sz="4" w:space="0"/>
            </w:tcBorders>
            <w:shd w:val="clear" w:color="auto" w:fill="auto"/>
            <w:vAlign w:val="center"/>
          </w:tcPr>
          <w:p w14:paraId="73F50B1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南食店、小卖部</w:t>
            </w:r>
          </w:p>
        </w:tc>
        <w:tc>
          <w:tcPr>
            <w:tcW w:w="2416" w:type="dxa"/>
            <w:tcBorders>
              <w:top w:val="single" w:color="000000" w:sz="4" w:space="0"/>
              <w:left w:val="single" w:color="000000" w:sz="4" w:space="0"/>
              <w:right w:val="single" w:color="000000" w:sz="4" w:space="0"/>
            </w:tcBorders>
            <w:shd w:val="clear" w:color="auto" w:fill="auto"/>
            <w:vAlign w:val="center"/>
          </w:tcPr>
          <w:p w14:paraId="5AF0B7D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3224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344D5C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2"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C60CCB">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3E68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摩托修配</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3E98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2A86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3D66DC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6988D1">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2F12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自行车修理</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57519">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10DE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16B3ED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3"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9581D4">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3160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手机维修</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DD98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3F16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519806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9"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BC286F">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B392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麻将馆（3台以下</w:t>
            </w:r>
            <w:r>
              <w:rPr>
                <w:rFonts w:hint="default" w:ascii="Times New Roman" w:hAnsi="Times New Roman" w:cs="Times New Roman"/>
                <w:i w:val="0"/>
                <w:iCs w:val="0"/>
                <w:color w:val="000000"/>
                <w:kern w:val="0"/>
                <w:sz w:val="21"/>
                <w:szCs w:val="21"/>
                <w:u w:val="none"/>
                <w:lang w:val="en-US" w:eastAsia="zh-CN" w:bidi="ar"/>
              </w:rPr>
              <w:t>，含3台</w:t>
            </w:r>
            <w:r>
              <w:rPr>
                <w:rFonts w:hint="default" w:ascii="Times New Roman" w:hAnsi="Times New Roman" w:cs="Times New Roman" w:eastAsiaTheme="minorEastAsia"/>
                <w:i w:val="0"/>
                <w:iCs w:val="0"/>
                <w:color w:val="000000"/>
                <w:kern w:val="0"/>
                <w:sz w:val="21"/>
                <w:szCs w:val="21"/>
                <w:u w:val="none"/>
                <w:lang w:val="en-US" w:eastAsia="zh-CN" w:bidi="ar"/>
              </w:rPr>
              <w:t>）</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F51B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59D1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lang w:eastAsia="zh-CN"/>
              </w:rPr>
            </w:pPr>
            <w:r>
              <w:rPr>
                <w:rFonts w:hint="default" w:ascii="Times New Roman" w:hAnsi="Times New Roman" w:cs="Times New Roman"/>
                <w:i w:val="0"/>
                <w:iCs w:val="0"/>
                <w:color w:val="000000"/>
                <w:sz w:val="21"/>
                <w:szCs w:val="21"/>
                <w:u w:val="none"/>
                <w:lang w:eastAsia="zh-CN"/>
              </w:rPr>
              <w:t>三台以上据实核算</w:t>
            </w:r>
          </w:p>
        </w:tc>
      </w:tr>
      <w:tr w14:paraId="6CFD35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E56E85">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6D60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流动摊点</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9B88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90DE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7CFC81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B41383">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right w:val="single" w:color="000000" w:sz="4" w:space="0"/>
            </w:tcBorders>
            <w:shd w:val="clear" w:color="auto" w:fill="auto"/>
            <w:vAlign w:val="center"/>
          </w:tcPr>
          <w:p w14:paraId="7037A76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零售业</w:t>
            </w:r>
          </w:p>
        </w:tc>
        <w:tc>
          <w:tcPr>
            <w:tcW w:w="2416" w:type="dxa"/>
            <w:tcBorders>
              <w:top w:val="single" w:color="000000" w:sz="4" w:space="0"/>
              <w:left w:val="single" w:color="000000" w:sz="4" w:space="0"/>
              <w:right w:val="single" w:color="000000" w:sz="4" w:space="0"/>
            </w:tcBorders>
            <w:shd w:val="clear" w:color="auto" w:fill="auto"/>
            <w:vAlign w:val="center"/>
          </w:tcPr>
          <w:p w14:paraId="533F3FF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7199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6F530C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2"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ED4B93">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EE81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理发店</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1F9B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E6C6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0E5995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7" w:hRule="atLeast"/>
        </w:trPr>
        <w:tc>
          <w:tcPr>
            <w:tcW w:w="818"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14:paraId="11867AD9">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auto" w:sz="4" w:space="0"/>
              <w:right w:val="single" w:color="000000" w:sz="4" w:space="0"/>
            </w:tcBorders>
            <w:shd w:val="clear" w:color="auto" w:fill="auto"/>
            <w:vAlign w:val="center"/>
          </w:tcPr>
          <w:p w14:paraId="362885A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废品回收点</w:t>
            </w:r>
          </w:p>
        </w:tc>
        <w:tc>
          <w:tcPr>
            <w:tcW w:w="2416" w:type="dxa"/>
            <w:tcBorders>
              <w:top w:val="single" w:color="000000" w:sz="4" w:space="0"/>
              <w:left w:val="single" w:color="000000" w:sz="4" w:space="0"/>
              <w:bottom w:val="single" w:color="auto" w:sz="4" w:space="0"/>
              <w:right w:val="single" w:color="000000" w:sz="4" w:space="0"/>
            </w:tcBorders>
            <w:shd w:val="clear" w:color="auto" w:fill="auto"/>
            <w:vAlign w:val="center"/>
          </w:tcPr>
          <w:p w14:paraId="7D6ED87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auto" w:sz="4" w:space="0"/>
              <w:right w:val="single" w:color="000000" w:sz="4" w:space="0"/>
            </w:tcBorders>
            <w:shd w:val="clear" w:color="auto" w:fill="auto"/>
            <w:vAlign w:val="center"/>
          </w:tcPr>
          <w:p w14:paraId="30975A4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4D5745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 w:hRule="atLeast"/>
        </w:trPr>
        <w:tc>
          <w:tcPr>
            <w:tcW w:w="81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191225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财产性收入评估</w:t>
            </w:r>
            <w:r>
              <w:rPr>
                <w:rFonts w:hint="default" w:ascii="Times New Roman" w:hAnsi="Times New Roman" w:cs="Times New Roman"/>
                <w:b/>
                <w:bCs/>
                <w:i w:val="0"/>
                <w:iCs w:val="0"/>
                <w:color w:val="000000"/>
                <w:kern w:val="0"/>
                <w:sz w:val="21"/>
                <w:szCs w:val="21"/>
                <w:u w:val="none"/>
                <w:lang w:val="en-US" w:eastAsia="zh-CN" w:bidi="ar"/>
              </w:rPr>
              <w:t>项目</w:t>
            </w:r>
            <w:r>
              <w:rPr>
                <w:rFonts w:hint="default" w:ascii="Times New Roman" w:hAnsi="Times New Roman" w:cs="Times New Roman" w:eastAsiaTheme="minorEastAsia"/>
                <w:b/>
                <w:bCs/>
                <w:i w:val="0"/>
                <w:iCs w:val="0"/>
                <w:color w:val="000000"/>
                <w:kern w:val="0"/>
                <w:sz w:val="21"/>
                <w:szCs w:val="21"/>
                <w:u w:val="none"/>
                <w:lang w:val="en-US" w:eastAsia="zh-CN" w:bidi="ar"/>
              </w:rPr>
              <w:t>标准</w:t>
            </w:r>
          </w:p>
        </w:tc>
        <w:tc>
          <w:tcPr>
            <w:tcW w:w="2898" w:type="dxa"/>
            <w:tcBorders>
              <w:top w:val="single" w:color="auto" w:sz="4" w:space="0"/>
              <w:left w:val="single" w:color="auto" w:sz="4" w:space="0"/>
              <w:bottom w:val="single" w:color="auto" w:sz="4" w:space="0"/>
              <w:right w:val="single" w:color="auto" w:sz="4" w:space="0"/>
            </w:tcBorders>
            <w:shd w:val="clear" w:color="auto" w:fill="auto"/>
            <w:vAlign w:val="center"/>
          </w:tcPr>
          <w:p w14:paraId="6384D37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房屋出租（门面）</w:t>
            </w:r>
          </w:p>
        </w:tc>
        <w:tc>
          <w:tcPr>
            <w:tcW w:w="2416" w:type="dxa"/>
            <w:tcBorders>
              <w:top w:val="single" w:color="auto" w:sz="4" w:space="0"/>
              <w:left w:val="single" w:color="auto" w:sz="4" w:space="0"/>
              <w:bottom w:val="single" w:color="auto" w:sz="4" w:space="0"/>
              <w:right w:val="single" w:color="auto" w:sz="4" w:space="0"/>
            </w:tcBorders>
            <w:shd w:val="clear" w:color="auto" w:fill="auto"/>
            <w:vAlign w:val="center"/>
          </w:tcPr>
          <w:p w14:paraId="270796F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按实际出租价格计算</w:t>
            </w:r>
          </w:p>
        </w:tc>
        <w:tc>
          <w:tcPr>
            <w:tcW w:w="287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F5DC71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未提供合同的参照当地区域</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出租价格计算</w:t>
            </w:r>
          </w:p>
        </w:tc>
      </w:tr>
      <w:tr w14:paraId="1AD836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3" w:hRule="atLeast"/>
        </w:trPr>
        <w:tc>
          <w:tcPr>
            <w:tcW w:w="81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504D3B2">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auto" w:sz="4" w:space="0"/>
              <w:left w:val="single" w:color="auto" w:sz="4" w:space="0"/>
              <w:bottom w:val="single" w:color="auto" w:sz="4" w:space="0"/>
              <w:right w:val="single" w:color="auto" w:sz="4" w:space="0"/>
            </w:tcBorders>
            <w:shd w:val="clear" w:color="auto" w:fill="auto"/>
            <w:vAlign w:val="center"/>
          </w:tcPr>
          <w:p w14:paraId="58D0923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房屋出租（住房）</w:t>
            </w:r>
          </w:p>
        </w:tc>
        <w:tc>
          <w:tcPr>
            <w:tcW w:w="2416" w:type="dxa"/>
            <w:tcBorders>
              <w:top w:val="single" w:color="auto" w:sz="4" w:space="0"/>
              <w:left w:val="single" w:color="auto" w:sz="4" w:space="0"/>
              <w:bottom w:val="single" w:color="auto" w:sz="4" w:space="0"/>
              <w:right w:val="single" w:color="auto" w:sz="4" w:space="0"/>
            </w:tcBorders>
            <w:shd w:val="clear" w:color="auto" w:fill="auto"/>
            <w:vAlign w:val="center"/>
          </w:tcPr>
          <w:p w14:paraId="55DEF10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按实际出租价格计算</w:t>
            </w:r>
          </w:p>
        </w:tc>
        <w:tc>
          <w:tcPr>
            <w:tcW w:w="287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A1C4BC3">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i w:val="0"/>
                <w:iCs w:val="0"/>
                <w:color w:val="000000"/>
                <w:sz w:val="21"/>
                <w:szCs w:val="21"/>
                <w:u w:val="none"/>
              </w:rPr>
            </w:pPr>
          </w:p>
        </w:tc>
      </w:tr>
      <w:tr w14:paraId="37AE9D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 w:hRule="atLeast"/>
        </w:trPr>
        <w:tc>
          <w:tcPr>
            <w:tcW w:w="81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5C0B69F">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auto" w:sz="4" w:space="0"/>
              <w:left w:val="single" w:color="auto" w:sz="4" w:space="0"/>
              <w:bottom w:val="single" w:color="auto" w:sz="4" w:space="0"/>
              <w:right w:val="single" w:color="auto" w:sz="4" w:space="0"/>
            </w:tcBorders>
            <w:shd w:val="clear" w:color="auto" w:fill="auto"/>
            <w:vAlign w:val="center"/>
          </w:tcPr>
          <w:p w14:paraId="1E420DF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集体经济组织分配所得</w:t>
            </w:r>
          </w:p>
        </w:tc>
        <w:tc>
          <w:tcPr>
            <w:tcW w:w="2416" w:type="dxa"/>
            <w:tcBorders>
              <w:top w:val="single" w:color="auto" w:sz="4" w:space="0"/>
              <w:left w:val="single" w:color="auto" w:sz="4" w:space="0"/>
              <w:bottom w:val="single" w:color="auto" w:sz="4" w:space="0"/>
              <w:right w:val="single" w:color="auto" w:sz="4" w:space="0"/>
            </w:tcBorders>
            <w:shd w:val="clear" w:color="auto" w:fill="auto"/>
            <w:vAlign w:val="center"/>
          </w:tcPr>
          <w:p w14:paraId="10584C6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按实际分红计算</w:t>
            </w:r>
          </w:p>
        </w:tc>
        <w:tc>
          <w:tcPr>
            <w:tcW w:w="2872" w:type="dxa"/>
            <w:tcBorders>
              <w:top w:val="single" w:color="auto" w:sz="4" w:space="0"/>
              <w:left w:val="single" w:color="auto" w:sz="4" w:space="0"/>
              <w:bottom w:val="single" w:color="auto" w:sz="4" w:space="0"/>
              <w:right w:val="single" w:color="auto" w:sz="4" w:space="0"/>
            </w:tcBorders>
            <w:shd w:val="clear" w:color="auto" w:fill="auto"/>
            <w:vAlign w:val="center"/>
          </w:tcPr>
          <w:p w14:paraId="6FF00B5D">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i w:val="0"/>
                <w:iCs w:val="0"/>
                <w:color w:val="000000"/>
                <w:sz w:val="21"/>
                <w:szCs w:val="21"/>
                <w:u w:val="none"/>
              </w:rPr>
            </w:pPr>
          </w:p>
        </w:tc>
      </w:tr>
      <w:tr w14:paraId="66B470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6" w:hRule="atLeast"/>
        </w:trPr>
        <w:tc>
          <w:tcPr>
            <w:tcW w:w="81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830D576">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auto" w:sz="4" w:space="0"/>
              <w:left w:val="single" w:color="auto" w:sz="4" w:space="0"/>
              <w:bottom w:val="single" w:color="auto" w:sz="4" w:space="0"/>
              <w:right w:val="single" w:color="auto" w:sz="4" w:space="0"/>
            </w:tcBorders>
            <w:shd w:val="clear" w:color="auto" w:fill="auto"/>
            <w:vAlign w:val="center"/>
          </w:tcPr>
          <w:p w14:paraId="145A5CB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征地拆迁安置补偿所得</w:t>
            </w:r>
          </w:p>
        </w:tc>
        <w:tc>
          <w:tcPr>
            <w:tcW w:w="2416" w:type="dxa"/>
            <w:tcBorders>
              <w:top w:val="single" w:color="auto" w:sz="4" w:space="0"/>
              <w:left w:val="single" w:color="auto" w:sz="4" w:space="0"/>
              <w:bottom w:val="single" w:color="auto" w:sz="4" w:space="0"/>
              <w:right w:val="single" w:color="auto" w:sz="4" w:space="0"/>
            </w:tcBorders>
            <w:shd w:val="clear" w:color="auto" w:fill="auto"/>
            <w:vAlign w:val="center"/>
          </w:tcPr>
          <w:p w14:paraId="60E7B64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征拆安置资金在剔除应缴纳保险费和购买商品房后，结余资金分摊12个月据实核算</w:t>
            </w:r>
          </w:p>
        </w:tc>
        <w:tc>
          <w:tcPr>
            <w:tcW w:w="2872" w:type="dxa"/>
            <w:tcBorders>
              <w:top w:val="single" w:color="auto" w:sz="4" w:space="0"/>
              <w:left w:val="single" w:color="auto" w:sz="4" w:space="0"/>
              <w:bottom w:val="single" w:color="auto" w:sz="4" w:space="0"/>
              <w:right w:val="single" w:color="auto" w:sz="4" w:space="0"/>
            </w:tcBorders>
            <w:shd w:val="clear" w:color="auto" w:fill="auto"/>
            <w:vAlign w:val="center"/>
          </w:tcPr>
          <w:p w14:paraId="7AB74CA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结余资金直接用完或摊算完，可不计算收入</w:t>
            </w:r>
          </w:p>
        </w:tc>
      </w:tr>
    </w:tbl>
    <w:p w14:paraId="149EAA6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小标宋简体" w:cs="Times New Roman"/>
          <w:sz w:val="40"/>
          <w:szCs w:val="40"/>
          <w:lang w:val="en-US" w:eastAsia="zh-CN"/>
        </w:rPr>
      </w:pPr>
    </w:p>
    <w:p w14:paraId="42A64FD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小标宋简体" w:cs="Times New Roman"/>
          <w:sz w:val="40"/>
          <w:szCs w:val="40"/>
          <w:lang w:val="en-US" w:eastAsia="zh-CN"/>
        </w:rPr>
      </w:pPr>
    </w:p>
    <w:p w14:paraId="1F1AB82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小标宋简体" w:cs="Times New Roman"/>
          <w:sz w:val="40"/>
          <w:szCs w:val="40"/>
          <w:lang w:val="en-US" w:eastAsia="zh-CN"/>
        </w:rPr>
      </w:pPr>
    </w:p>
    <w:p w14:paraId="1D673EE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小标宋简体" w:cs="Times New Roman"/>
          <w:sz w:val="40"/>
          <w:szCs w:val="40"/>
          <w:lang w:val="en-US" w:eastAsia="zh-CN"/>
        </w:rPr>
      </w:pPr>
    </w:p>
    <w:p w14:paraId="01F3F17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小标宋简体" w:cs="Times New Roman"/>
          <w:sz w:val="40"/>
          <w:szCs w:val="40"/>
          <w:lang w:val="en-US" w:eastAsia="zh-CN"/>
        </w:rPr>
      </w:pPr>
    </w:p>
    <w:p w14:paraId="733F14F3">
      <w:pPr>
        <w:keepNext w:val="0"/>
        <w:keepLines w:val="0"/>
        <w:pageBreakBefore w:val="0"/>
        <w:widowControl w:val="0"/>
        <w:numPr>
          <w:ilvl w:val="0"/>
          <w:numId w:val="0"/>
        </w:numPr>
        <w:suppressLineNumbers w:val="0"/>
        <w:kinsoku/>
        <w:wordWrap/>
        <w:overflowPunct w:val="0"/>
        <w:topLinePunct w:val="0"/>
        <w:autoSpaceDE/>
        <w:autoSpaceDN/>
        <w:bidi w:val="0"/>
        <w:adjustRightInd/>
        <w:snapToGrid/>
        <w:spacing w:line="540" w:lineRule="exact"/>
        <w:jc w:val="both"/>
        <w:textAlignment w:val="auto"/>
        <w:outlineLvl w:val="9"/>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附件2</w:t>
      </w:r>
    </w:p>
    <w:p w14:paraId="43B7CB6F">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sz w:val="44"/>
          <w:szCs w:val="44"/>
          <w:lang w:val="en-US" w:eastAsia="zh-CN"/>
        </w:rPr>
      </w:pPr>
      <w:bookmarkStart w:id="2" w:name="OLE_LINK4"/>
      <w:r>
        <w:rPr>
          <w:rFonts w:hint="eastAsia" w:ascii="方正小标宋简体" w:hAnsi="方正小标宋简体" w:eastAsia="方正小标宋简体" w:cs="方正小标宋简体"/>
          <w:sz w:val="44"/>
          <w:szCs w:val="44"/>
          <w:lang w:val="en-US" w:eastAsia="zh-CN"/>
        </w:rPr>
        <w:t>望城区丁字湾街道2025年</w:t>
      </w:r>
      <w:bookmarkEnd w:id="2"/>
      <w:r>
        <w:rPr>
          <w:rFonts w:hint="eastAsia" w:ascii="方正小标宋简体" w:hAnsi="方正小标宋简体" w:eastAsia="方正小标宋简体" w:cs="方正小标宋简体"/>
          <w:sz w:val="44"/>
          <w:szCs w:val="44"/>
          <w:lang w:val="en-US" w:eastAsia="zh-CN"/>
        </w:rPr>
        <w:t>社会救助申请家庭</w:t>
      </w:r>
    </w:p>
    <w:p w14:paraId="19A5ABBD">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收入核算评估细则</w:t>
      </w:r>
    </w:p>
    <w:p w14:paraId="60B844C8">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楷体_GB2312" w:cs="Times New Roman"/>
          <w:sz w:val="32"/>
          <w:szCs w:val="32"/>
        </w:rPr>
      </w:pPr>
    </w:p>
    <w:tbl>
      <w:tblPr>
        <w:tblStyle w:val="7"/>
        <w:tblW w:w="9960" w:type="dxa"/>
        <w:tblInd w:w="-6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27"/>
        <w:gridCol w:w="1647"/>
        <w:gridCol w:w="2046"/>
        <w:gridCol w:w="5340"/>
      </w:tblGrid>
      <w:tr w14:paraId="17B476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8" w:hRule="atLeast"/>
          <w:tblHeader/>
        </w:trPr>
        <w:tc>
          <w:tcPr>
            <w:tcW w:w="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93DD1">
            <w:pPr>
              <w:keepNext w:val="0"/>
              <w:keepLines w:val="0"/>
              <w:pageBreakBefore w:val="0"/>
              <w:widowControl/>
              <w:suppressLineNumbers w:val="0"/>
              <w:kinsoku/>
              <w:wordWrap/>
              <w:overflowPunct/>
              <w:topLinePunct w:val="0"/>
              <w:autoSpaceDE/>
              <w:autoSpaceDN/>
              <w:bidi w:val="0"/>
              <w:adjustRightInd/>
              <w:snapToGrid/>
              <w:spacing w:line="278" w:lineRule="exact"/>
              <w:jc w:val="center"/>
              <w:textAlignment w:val="center"/>
              <w:outlineLvl w:val="9"/>
              <w:rPr>
                <w:rFonts w:hint="default" w:ascii="Times New Roman" w:hAnsi="Times New Roman" w:eastAsia="黑体" w:cs="Times New Roman"/>
                <w:b w:val="0"/>
                <w:bCs w:val="0"/>
                <w:i w:val="0"/>
                <w:iCs w:val="0"/>
                <w:color w:val="000000"/>
                <w:sz w:val="20"/>
                <w:szCs w:val="20"/>
                <w:u w:val="none"/>
              </w:rPr>
            </w:pPr>
            <w:r>
              <w:rPr>
                <w:rFonts w:hint="default" w:ascii="Times New Roman" w:hAnsi="Times New Roman" w:eastAsia="黑体" w:cs="Times New Roman"/>
                <w:b w:val="0"/>
                <w:bCs w:val="0"/>
                <w:i w:val="0"/>
                <w:iCs w:val="0"/>
                <w:color w:val="000000"/>
                <w:kern w:val="0"/>
                <w:sz w:val="20"/>
                <w:szCs w:val="20"/>
                <w:u w:val="none"/>
                <w:lang w:val="en-US" w:eastAsia="zh-CN" w:bidi="ar"/>
              </w:rPr>
              <w:t>收入</w:t>
            </w:r>
            <w:r>
              <w:rPr>
                <w:rFonts w:hint="default" w:ascii="Times New Roman" w:hAnsi="Times New Roman" w:eastAsia="黑体" w:cs="Times New Roman"/>
                <w:b w:val="0"/>
                <w:bCs w:val="0"/>
                <w:i w:val="0"/>
                <w:iCs w:val="0"/>
                <w:color w:val="000000"/>
                <w:kern w:val="0"/>
                <w:sz w:val="20"/>
                <w:szCs w:val="20"/>
                <w:u w:val="none"/>
                <w:lang w:val="en-US" w:eastAsia="zh-CN" w:bidi="ar"/>
              </w:rPr>
              <w:br w:type="textWrapping"/>
            </w:r>
            <w:r>
              <w:rPr>
                <w:rFonts w:hint="default" w:ascii="Times New Roman" w:hAnsi="Times New Roman" w:eastAsia="黑体" w:cs="Times New Roman"/>
                <w:b w:val="0"/>
                <w:bCs w:val="0"/>
                <w:i w:val="0"/>
                <w:iCs w:val="0"/>
                <w:color w:val="000000"/>
                <w:kern w:val="0"/>
                <w:sz w:val="20"/>
                <w:szCs w:val="20"/>
                <w:u w:val="none"/>
                <w:lang w:val="en-US" w:eastAsia="zh-CN" w:bidi="ar"/>
              </w:rPr>
              <w:t>类别</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59DFF">
            <w:pPr>
              <w:keepNext w:val="0"/>
              <w:keepLines w:val="0"/>
              <w:pageBreakBefore w:val="0"/>
              <w:widowControl/>
              <w:suppressLineNumbers w:val="0"/>
              <w:kinsoku/>
              <w:wordWrap/>
              <w:overflowPunct/>
              <w:topLinePunct w:val="0"/>
              <w:autoSpaceDE/>
              <w:autoSpaceDN/>
              <w:bidi w:val="0"/>
              <w:adjustRightInd/>
              <w:snapToGrid/>
              <w:spacing w:line="278" w:lineRule="exact"/>
              <w:jc w:val="center"/>
              <w:textAlignment w:val="center"/>
              <w:outlineLvl w:val="9"/>
              <w:rPr>
                <w:rFonts w:hint="default" w:ascii="Times New Roman" w:hAnsi="Times New Roman" w:eastAsia="黑体" w:cs="Times New Roman"/>
                <w:b w:val="0"/>
                <w:bCs w:val="0"/>
                <w:i w:val="0"/>
                <w:iCs w:val="0"/>
                <w:color w:val="000000"/>
                <w:sz w:val="20"/>
                <w:szCs w:val="20"/>
                <w:u w:val="none"/>
              </w:rPr>
            </w:pPr>
            <w:r>
              <w:rPr>
                <w:rFonts w:hint="default" w:ascii="Times New Roman" w:hAnsi="Times New Roman" w:eastAsia="黑体" w:cs="Times New Roman"/>
                <w:b w:val="0"/>
                <w:bCs w:val="0"/>
                <w:i w:val="0"/>
                <w:iCs w:val="0"/>
                <w:color w:val="000000"/>
                <w:kern w:val="0"/>
                <w:sz w:val="20"/>
                <w:szCs w:val="20"/>
                <w:u w:val="none"/>
                <w:lang w:val="en-US" w:eastAsia="zh-CN" w:bidi="ar"/>
              </w:rPr>
              <w:t>项   目</w:t>
            </w: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98E51">
            <w:pPr>
              <w:keepNext w:val="0"/>
              <w:keepLines w:val="0"/>
              <w:pageBreakBefore w:val="0"/>
              <w:widowControl/>
              <w:suppressLineNumbers w:val="0"/>
              <w:kinsoku/>
              <w:wordWrap/>
              <w:overflowPunct/>
              <w:topLinePunct w:val="0"/>
              <w:autoSpaceDE/>
              <w:autoSpaceDN/>
              <w:bidi w:val="0"/>
              <w:adjustRightInd/>
              <w:snapToGrid/>
              <w:spacing w:line="278" w:lineRule="exact"/>
              <w:jc w:val="center"/>
              <w:textAlignment w:val="center"/>
              <w:outlineLvl w:val="9"/>
              <w:rPr>
                <w:rFonts w:hint="default" w:ascii="Times New Roman" w:hAnsi="Times New Roman" w:eastAsia="黑体" w:cs="Times New Roman"/>
                <w:b w:val="0"/>
                <w:bCs w:val="0"/>
                <w:i w:val="0"/>
                <w:iCs w:val="0"/>
                <w:color w:val="000000"/>
                <w:sz w:val="20"/>
                <w:szCs w:val="20"/>
                <w:u w:val="none"/>
              </w:rPr>
            </w:pPr>
            <w:r>
              <w:rPr>
                <w:rFonts w:hint="default" w:ascii="Times New Roman" w:hAnsi="Times New Roman" w:eastAsia="黑体" w:cs="Times New Roman"/>
                <w:b w:val="0"/>
                <w:bCs w:val="0"/>
                <w:i w:val="0"/>
                <w:iCs w:val="0"/>
                <w:color w:val="000000"/>
                <w:kern w:val="0"/>
                <w:sz w:val="20"/>
                <w:szCs w:val="20"/>
                <w:u w:val="none"/>
                <w:lang w:val="en-US" w:eastAsia="zh-CN" w:bidi="ar"/>
              </w:rPr>
              <w:t>情  形</w:t>
            </w:r>
          </w:p>
        </w:tc>
        <w:tc>
          <w:tcPr>
            <w:tcW w:w="5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75E23">
            <w:pPr>
              <w:keepNext w:val="0"/>
              <w:keepLines w:val="0"/>
              <w:pageBreakBefore w:val="0"/>
              <w:widowControl/>
              <w:suppressLineNumbers w:val="0"/>
              <w:kinsoku/>
              <w:wordWrap/>
              <w:overflowPunct/>
              <w:topLinePunct w:val="0"/>
              <w:autoSpaceDE/>
              <w:autoSpaceDN/>
              <w:bidi w:val="0"/>
              <w:adjustRightInd/>
              <w:snapToGrid/>
              <w:spacing w:line="278" w:lineRule="exact"/>
              <w:jc w:val="center"/>
              <w:textAlignment w:val="center"/>
              <w:outlineLvl w:val="9"/>
              <w:rPr>
                <w:rFonts w:hint="default" w:ascii="Times New Roman" w:hAnsi="Times New Roman" w:eastAsia="黑体" w:cs="Times New Roman"/>
                <w:b w:val="0"/>
                <w:bCs w:val="0"/>
                <w:i w:val="0"/>
                <w:iCs w:val="0"/>
                <w:color w:val="000000"/>
                <w:sz w:val="20"/>
                <w:szCs w:val="20"/>
                <w:u w:val="none"/>
              </w:rPr>
            </w:pPr>
            <w:r>
              <w:rPr>
                <w:rFonts w:hint="default" w:ascii="Times New Roman" w:hAnsi="Times New Roman" w:eastAsia="黑体" w:cs="Times New Roman"/>
                <w:b w:val="0"/>
                <w:bCs w:val="0"/>
                <w:i w:val="0"/>
                <w:iCs w:val="0"/>
                <w:color w:val="000000"/>
                <w:kern w:val="0"/>
                <w:sz w:val="20"/>
                <w:szCs w:val="20"/>
                <w:u w:val="none"/>
                <w:lang w:val="en-US" w:eastAsia="zh-CN" w:bidi="ar"/>
              </w:rPr>
              <w:t>具体核算标准</w:t>
            </w:r>
          </w:p>
        </w:tc>
      </w:tr>
      <w:tr w14:paraId="76C997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7" w:hRule="atLeast"/>
        </w:trPr>
        <w:tc>
          <w:tcPr>
            <w:tcW w:w="927" w:type="dxa"/>
            <w:vMerge w:val="restart"/>
            <w:tcBorders>
              <w:top w:val="single" w:color="000000" w:sz="4" w:space="0"/>
              <w:left w:val="single" w:color="000000" w:sz="4" w:space="0"/>
              <w:bottom w:val="nil"/>
              <w:right w:val="single" w:color="000000" w:sz="4" w:space="0"/>
            </w:tcBorders>
            <w:shd w:val="clear" w:color="auto" w:fill="auto"/>
            <w:vAlign w:val="center"/>
          </w:tcPr>
          <w:p w14:paraId="1D9A5021">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工资性</w:t>
            </w:r>
            <w:r>
              <w:rPr>
                <w:rFonts w:hint="default" w:ascii="Times New Roman" w:hAnsi="Times New Roman" w:eastAsia="宋体" w:cs="Times New Roman"/>
                <w:i w:val="0"/>
                <w:iCs w:val="0"/>
                <w:color w:val="000000"/>
                <w:kern w:val="0"/>
                <w:sz w:val="20"/>
                <w:szCs w:val="20"/>
                <w:u w:val="none"/>
                <w:lang w:val="en-US" w:eastAsia="zh-CN" w:bidi="ar"/>
              </w:rPr>
              <w:br w:type="textWrapping"/>
            </w:r>
            <w:r>
              <w:rPr>
                <w:rFonts w:hint="default" w:ascii="Times New Roman" w:hAnsi="Times New Roman" w:eastAsia="宋体" w:cs="Times New Roman"/>
                <w:i w:val="0"/>
                <w:iCs w:val="0"/>
                <w:color w:val="000000"/>
                <w:kern w:val="0"/>
                <w:sz w:val="20"/>
                <w:szCs w:val="20"/>
                <w:u w:val="none"/>
                <w:lang w:val="en-US" w:eastAsia="zh-CN" w:bidi="ar"/>
              </w:rPr>
              <w:t>收入</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E9BA9">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有稳定收入人员</w:t>
            </w: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AED4F">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lang w:eastAsia="zh-CN"/>
              </w:rPr>
            </w:pPr>
          </w:p>
        </w:tc>
        <w:tc>
          <w:tcPr>
            <w:tcW w:w="5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B7D15">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按用人单位或人社部门提供的相关月工资收入证明据实核算；无收入证明或实际工资收入低于务工地人社部门公布的行业收入标准的按行业收入标准核算（一般不低于最低工资标准2</w:t>
            </w:r>
            <w:r>
              <w:rPr>
                <w:rFonts w:hint="eastAsia" w:ascii="Times New Roman" w:hAnsi="Times New Roman" w:eastAsia="宋体" w:cs="Times New Roman"/>
                <w:i w:val="0"/>
                <w:iCs w:val="0"/>
                <w:color w:val="000000"/>
                <w:kern w:val="0"/>
                <w:sz w:val="20"/>
                <w:szCs w:val="20"/>
                <w:u w:val="none"/>
                <w:lang w:val="en-US" w:eastAsia="zh-CN" w:bidi="ar"/>
              </w:rPr>
              <w:t>2</w:t>
            </w:r>
            <w:r>
              <w:rPr>
                <w:rFonts w:hint="default" w:ascii="Times New Roman" w:hAnsi="Times New Roman" w:eastAsia="宋体" w:cs="Times New Roman"/>
                <w:i w:val="0"/>
                <w:iCs w:val="0"/>
                <w:color w:val="000000"/>
                <w:kern w:val="0"/>
                <w:sz w:val="20"/>
                <w:szCs w:val="20"/>
                <w:u w:val="none"/>
                <w:lang w:val="en-US" w:eastAsia="zh-CN" w:bidi="ar"/>
              </w:rPr>
              <w:t>00元核算）。</w:t>
            </w:r>
          </w:p>
        </w:tc>
      </w:tr>
      <w:tr w14:paraId="73D6E2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7" w:hRule="atLeast"/>
        </w:trPr>
        <w:tc>
          <w:tcPr>
            <w:tcW w:w="927" w:type="dxa"/>
            <w:vMerge w:val="continue"/>
            <w:tcBorders>
              <w:top w:val="single" w:color="000000" w:sz="4" w:space="0"/>
              <w:left w:val="single" w:color="000000" w:sz="4" w:space="0"/>
              <w:bottom w:val="nil"/>
              <w:right w:val="single" w:color="000000" w:sz="4" w:space="0"/>
            </w:tcBorders>
            <w:shd w:val="clear" w:color="auto" w:fill="auto"/>
            <w:vAlign w:val="center"/>
          </w:tcPr>
          <w:p w14:paraId="0C2F6C41">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default" w:ascii="Times New Roman" w:hAnsi="Times New Roman" w:eastAsia="宋体" w:cs="Times New Roman"/>
                <w:i w:val="0"/>
                <w:iCs w:val="0"/>
                <w:color w:val="000000"/>
                <w:sz w:val="20"/>
                <w:szCs w:val="20"/>
                <w:u w:val="none"/>
              </w:rPr>
            </w:pPr>
          </w:p>
        </w:tc>
        <w:tc>
          <w:tcPr>
            <w:tcW w:w="1647" w:type="dxa"/>
            <w:vMerge w:val="restart"/>
            <w:tcBorders>
              <w:top w:val="single" w:color="000000" w:sz="4" w:space="0"/>
              <w:left w:val="single" w:color="000000" w:sz="4" w:space="0"/>
              <w:bottom w:val="nil"/>
              <w:right w:val="single" w:color="000000" w:sz="4" w:space="0"/>
            </w:tcBorders>
            <w:shd w:val="clear" w:color="auto" w:fill="auto"/>
            <w:vAlign w:val="center"/>
          </w:tcPr>
          <w:p w14:paraId="4B6F86E0">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非稳定就业人员和法定劳动年龄内未就业人员</w:t>
            </w: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066D5">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0-16周岁以下</w:t>
            </w:r>
          </w:p>
        </w:tc>
        <w:tc>
          <w:tcPr>
            <w:tcW w:w="5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DBAC2">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不核算收入。</w:t>
            </w:r>
          </w:p>
        </w:tc>
      </w:tr>
      <w:tr w14:paraId="1BFD00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8" w:hRule="atLeast"/>
        </w:trPr>
        <w:tc>
          <w:tcPr>
            <w:tcW w:w="927" w:type="dxa"/>
            <w:vMerge w:val="continue"/>
            <w:tcBorders>
              <w:top w:val="single" w:color="000000" w:sz="4" w:space="0"/>
              <w:left w:val="single" w:color="000000" w:sz="4" w:space="0"/>
              <w:bottom w:val="nil"/>
              <w:right w:val="single" w:color="000000" w:sz="4" w:space="0"/>
            </w:tcBorders>
            <w:shd w:val="clear" w:color="auto" w:fill="auto"/>
            <w:vAlign w:val="center"/>
          </w:tcPr>
          <w:p w14:paraId="36D40299">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default" w:ascii="Times New Roman" w:hAnsi="Times New Roman" w:eastAsia="宋体" w:cs="Times New Roman"/>
                <w:i w:val="0"/>
                <w:iCs w:val="0"/>
                <w:color w:val="000000"/>
                <w:sz w:val="20"/>
                <w:szCs w:val="20"/>
                <w:u w:val="none"/>
              </w:rPr>
            </w:pPr>
          </w:p>
        </w:tc>
        <w:tc>
          <w:tcPr>
            <w:tcW w:w="1647" w:type="dxa"/>
            <w:vMerge w:val="continue"/>
            <w:tcBorders>
              <w:top w:val="single" w:color="000000" w:sz="4" w:space="0"/>
              <w:left w:val="single" w:color="000000" w:sz="4" w:space="0"/>
              <w:bottom w:val="nil"/>
              <w:right w:val="single" w:color="000000" w:sz="4" w:space="0"/>
            </w:tcBorders>
            <w:shd w:val="clear" w:color="auto" w:fill="auto"/>
            <w:vAlign w:val="center"/>
          </w:tcPr>
          <w:p w14:paraId="090DD9FC">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rPr>
            </w:pP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4B3EF">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16周岁以上—18周岁以下</w:t>
            </w:r>
          </w:p>
        </w:tc>
        <w:tc>
          <w:tcPr>
            <w:tcW w:w="5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9815A">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辍失学对象可不核算收入，实际参加工作的据实核算。</w:t>
            </w:r>
          </w:p>
        </w:tc>
      </w:tr>
      <w:tr w14:paraId="01A669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8" w:hRule="atLeast"/>
        </w:trPr>
        <w:tc>
          <w:tcPr>
            <w:tcW w:w="927" w:type="dxa"/>
            <w:vMerge w:val="continue"/>
            <w:tcBorders>
              <w:top w:val="single" w:color="000000" w:sz="4" w:space="0"/>
              <w:left w:val="single" w:color="000000" w:sz="4" w:space="0"/>
              <w:bottom w:val="nil"/>
              <w:right w:val="single" w:color="000000" w:sz="4" w:space="0"/>
            </w:tcBorders>
            <w:shd w:val="clear" w:color="auto" w:fill="auto"/>
            <w:vAlign w:val="center"/>
          </w:tcPr>
          <w:p w14:paraId="11D902C6">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default" w:ascii="Times New Roman" w:hAnsi="Times New Roman" w:eastAsia="宋体" w:cs="Times New Roman"/>
                <w:i w:val="0"/>
                <w:iCs w:val="0"/>
                <w:color w:val="000000"/>
                <w:sz w:val="20"/>
                <w:szCs w:val="20"/>
                <w:u w:val="none"/>
              </w:rPr>
            </w:pPr>
          </w:p>
        </w:tc>
        <w:tc>
          <w:tcPr>
            <w:tcW w:w="1647" w:type="dxa"/>
            <w:vMerge w:val="continue"/>
            <w:tcBorders>
              <w:top w:val="single" w:color="000000" w:sz="4" w:space="0"/>
              <w:left w:val="single" w:color="000000" w:sz="4" w:space="0"/>
              <w:bottom w:val="nil"/>
              <w:right w:val="single" w:color="000000" w:sz="4" w:space="0"/>
            </w:tcBorders>
            <w:shd w:val="clear" w:color="auto" w:fill="auto"/>
            <w:vAlign w:val="center"/>
          </w:tcPr>
          <w:p w14:paraId="129927E6">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rPr>
            </w:pP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E3DCF">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18周岁以上—55周岁以下</w:t>
            </w:r>
          </w:p>
        </w:tc>
        <w:tc>
          <w:tcPr>
            <w:tcW w:w="5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54B8C">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原则上按不低于当地最低工资标准核算（2</w:t>
            </w:r>
            <w:r>
              <w:rPr>
                <w:rFonts w:hint="eastAsia" w:ascii="Times New Roman" w:hAnsi="Times New Roman" w:eastAsia="宋体" w:cs="Times New Roman"/>
                <w:i w:val="0"/>
                <w:iCs w:val="0"/>
                <w:color w:val="000000"/>
                <w:kern w:val="0"/>
                <w:sz w:val="20"/>
                <w:szCs w:val="20"/>
                <w:u w:val="none"/>
                <w:lang w:val="en-US" w:eastAsia="zh-CN" w:bidi="ar"/>
              </w:rPr>
              <w:t>2</w:t>
            </w:r>
            <w:r>
              <w:rPr>
                <w:rFonts w:hint="default" w:ascii="Times New Roman" w:hAnsi="Times New Roman" w:eastAsia="宋体" w:cs="Times New Roman"/>
                <w:i w:val="0"/>
                <w:iCs w:val="0"/>
                <w:color w:val="000000"/>
                <w:kern w:val="0"/>
                <w:sz w:val="20"/>
                <w:szCs w:val="20"/>
                <w:u w:val="none"/>
                <w:lang w:val="en-US" w:eastAsia="zh-CN" w:bidi="ar"/>
              </w:rPr>
              <w:t>00元）。</w:t>
            </w:r>
          </w:p>
        </w:tc>
      </w:tr>
      <w:tr w14:paraId="768363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8" w:hRule="atLeast"/>
        </w:trPr>
        <w:tc>
          <w:tcPr>
            <w:tcW w:w="927" w:type="dxa"/>
            <w:vMerge w:val="continue"/>
            <w:tcBorders>
              <w:top w:val="single" w:color="000000" w:sz="4" w:space="0"/>
              <w:left w:val="single" w:color="000000" w:sz="4" w:space="0"/>
              <w:bottom w:val="nil"/>
              <w:right w:val="single" w:color="000000" w:sz="4" w:space="0"/>
            </w:tcBorders>
            <w:shd w:val="clear" w:color="auto" w:fill="auto"/>
            <w:vAlign w:val="center"/>
          </w:tcPr>
          <w:p w14:paraId="23679AA9">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default" w:ascii="Times New Roman" w:hAnsi="Times New Roman" w:eastAsia="宋体" w:cs="Times New Roman"/>
                <w:i w:val="0"/>
                <w:iCs w:val="0"/>
                <w:color w:val="000000"/>
                <w:sz w:val="20"/>
                <w:szCs w:val="20"/>
                <w:u w:val="none"/>
              </w:rPr>
            </w:pPr>
          </w:p>
        </w:tc>
        <w:tc>
          <w:tcPr>
            <w:tcW w:w="1647" w:type="dxa"/>
            <w:vMerge w:val="continue"/>
            <w:tcBorders>
              <w:top w:val="single" w:color="000000" w:sz="4" w:space="0"/>
              <w:left w:val="single" w:color="000000" w:sz="4" w:space="0"/>
              <w:bottom w:val="nil"/>
              <w:right w:val="single" w:color="000000" w:sz="4" w:space="0"/>
            </w:tcBorders>
            <w:shd w:val="clear" w:color="auto" w:fill="auto"/>
            <w:vAlign w:val="center"/>
          </w:tcPr>
          <w:p w14:paraId="11F188A2">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rPr>
            </w:pPr>
          </w:p>
        </w:tc>
        <w:tc>
          <w:tcPr>
            <w:tcW w:w="2046" w:type="dxa"/>
            <w:tcBorders>
              <w:top w:val="nil"/>
              <w:left w:val="single" w:color="000000" w:sz="4" w:space="0"/>
              <w:bottom w:val="single" w:color="000000" w:sz="4" w:space="0"/>
              <w:right w:val="single" w:color="000000" w:sz="4" w:space="0"/>
            </w:tcBorders>
            <w:shd w:val="clear" w:color="auto" w:fill="auto"/>
            <w:vAlign w:val="center"/>
          </w:tcPr>
          <w:p w14:paraId="68C7CB58">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55周岁-59周岁人员</w:t>
            </w:r>
          </w:p>
        </w:tc>
        <w:tc>
          <w:tcPr>
            <w:tcW w:w="5340" w:type="dxa"/>
            <w:tcBorders>
              <w:top w:val="nil"/>
              <w:left w:val="single" w:color="000000" w:sz="4" w:space="0"/>
              <w:bottom w:val="single" w:color="000000" w:sz="4" w:space="0"/>
              <w:right w:val="single" w:color="000000" w:sz="4" w:space="0"/>
            </w:tcBorders>
            <w:shd w:val="clear" w:color="auto" w:fill="auto"/>
            <w:vAlign w:val="center"/>
          </w:tcPr>
          <w:p w14:paraId="5AEF2F7F">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原则上按10%-50%最低工资标准核算。</w:t>
            </w:r>
          </w:p>
        </w:tc>
      </w:tr>
      <w:tr w14:paraId="7BB013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8" w:hRule="atLeast"/>
        </w:trPr>
        <w:tc>
          <w:tcPr>
            <w:tcW w:w="927" w:type="dxa"/>
            <w:vMerge w:val="continue"/>
            <w:tcBorders>
              <w:top w:val="single" w:color="000000" w:sz="4" w:space="0"/>
              <w:left w:val="single" w:color="000000" w:sz="4" w:space="0"/>
              <w:bottom w:val="nil"/>
              <w:right w:val="single" w:color="000000" w:sz="4" w:space="0"/>
            </w:tcBorders>
            <w:shd w:val="clear" w:color="auto" w:fill="auto"/>
            <w:vAlign w:val="center"/>
          </w:tcPr>
          <w:p w14:paraId="2DEFB582">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default" w:ascii="Times New Roman" w:hAnsi="Times New Roman" w:eastAsia="宋体" w:cs="Times New Roman"/>
                <w:i w:val="0"/>
                <w:iCs w:val="0"/>
                <w:color w:val="000000"/>
                <w:sz w:val="20"/>
                <w:szCs w:val="20"/>
                <w:u w:val="none"/>
              </w:rPr>
            </w:pPr>
          </w:p>
        </w:tc>
        <w:tc>
          <w:tcPr>
            <w:tcW w:w="1647" w:type="dxa"/>
            <w:vMerge w:val="continue"/>
            <w:tcBorders>
              <w:top w:val="single" w:color="000000" w:sz="4" w:space="0"/>
              <w:left w:val="single" w:color="000000" w:sz="4" w:space="0"/>
              <w:bottom w:val="nil"/>
              <w:right w:val="single" w:color="000000" w:sz="4" w:space="0"/>
            </w:tcBorders>
            <w:shd w:val="clear" w:color="auto" w:fill="auto"/>
            <w:vAlign w:val="center"/>
          </w:tcPr>
          <w:p w14:paraId="58CDDC77">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rPr>
            </w:pPr>
          </w:p>
        </w:tc>
        <w:tc>
          <w:tcPr>
            <w:tcW w:w="2046" w:type="dxa"/>
            <w:tcBorders>
              <w:top w:val="nil"/>
              <w:left w:val="single" w:color="000000" w:sz="4" w:space="0"/>
              <w:bottom w:val="single" w:color="000000" w:sz="4" w:space="0"/>
              <w:right w:val="single" w:color="000000" w:sz="4" w:space="0"/>
            </w:tcBorders>
            <w:shd w:val="clear" w:color="auto" w:fill="auto"/>
            <w:vAlign w:val="center"/>
          </w:tcPr>
          <w:p w14:paraId="7F359151">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60周岁-69周岁人员</w:t>
            </w:r>
          </w:p>
        </w:tc>
        <w:tc>
          <w:tcPr>
            <w:tcW w:w="5340" w:type="dxa"/>
            <w:tcBorders>
              <w:top w:val="nil"/>
              <w:left w:val="single" w:color="000000" w:sz="4" w:space="0"/>
              <w:bottom w:val="single" w:color="000000" w:sz="4" w:space="0"/>
              <w:right w:val="single" w:color="000000" w:sz="4" w:space="0"/>
            </w:tcBorders>
            <w:shd w:val="clear" w:color="auto" w:fill="auto"/>
            <w:vAlign w:val="center"/>
          </w:tcPr>
          <w:p w14:paraId="6F34380B">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按不超过50%最低工资标准核算。</w:t>
            </w:r>
          </w:p>
        </w:tc>
      </w:tr>
      <w:tr w14:paraId="5FA4D4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6" w:hRule="atLeast"/>
        </w:trPr>
        <w:tc>
          <w:tcPr>
            <w:tcW w:w="927" w:type="dxa"/>
            <w:vMerge w:val="continue"/>
            <w:tcBorders>
              <w:top w:val="single" w:color="000000" w:sz="4" w:space="0"/>
              <w:left w:val="single" w:color="000000" w:sz="4" w:space="0"/>
              <w:bottom w:val="nil"/>
              <w:right w:val="single" w:color="000000" w:sz="4" w:space="0"/>
            </w:tcBorders>
            <w:shd w:val="clear" w:color="auto" w:fill="auto"/>
            <w:vAlign w:val="center"/>
          </w:tcPr>
          <w:p w14:paraId="72A1CAE7">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default" w:ascii="Times New Roman" w:hAnsi="Times New Roman" w:eastAsia="宋体" w:cs="Times New Roman"/>
                <w:i w:val="0"/>
                <w:iCs w:val="0"/>
                <w:color w:val="000000"/>
                <w:sz w:val="20"/>
                <w:szCs w:val="20"/>
                <w:u w:val="none"/>
              </w:rPr>
            </w:pPr>
          </w:p>
        </w:tc>
        <w:tc>
          <w:tcPr>
            <w:tcW w:w="1647" w:type="dxa"/>
            <w:vMerge w:val="continue"/>
            <w:tcBorders>
              <w:top w:val="single" w:color="000000" w:sz="4" w:space="0"/>
              <w:left w:val="single" w:color="000000" w:sz="4" w:space="0"/>
              <w:bottom w:val="nil"/>
              <w:right w:val="single" w:color="000000" w:sz="4" w:space="0"/>
            </w:tcBorders>
            <w:shd w:val="clear" w:color="auto" w:fill="auto"/>
            <w:vAlign w:val="center"/>
          </w:tcPr>
          <w:p w14:paraId="4FB98FAB">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rPr>
            </w:pP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07779">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70周岁以上</w:t>
            </w:r>
          </w:p>
        </w:tc>
        <w:tc>
          <w:tcPr>
            <w:tcW w:w="5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ECF7B">
            <w:pPr>
              <w:keepNext w:val="0"/>
              <w:keepLines w:val="0"/>
              <w:pageBreakBefore w:val="0"/>
              <w:widowControl/>
              <w:numPr>
                <w:ilvl w:val="0"/>
                <w:numId w:val="0"/>
              </w:numPr>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无离退休金、养老金和仅领取城乡居民养老金的，可不核算收入。</w:t>
            </w:r>
          </w:p>
        </w:tc>
      </w:tr>
      <w:tr w14:paraId="66FF1A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5" w:hRule="atLeast"/>
        </w:trPr>
        <w:tc>
          <w:tcPr>
            <w:tcW w:w="927" w:type="dxa"/>
            <w:vMerge w:val="restart"/>
            <w:tcBorders>
              <w:top w:val="single" w:color="000000" w:sz="4" w:space="0"/>
              <w:left w:val="single" w:color="000000" w:sz="4" w:space="0"/>
              <w:bottom w:val="nil"/>
              <w:right w:val="single" w:color="000000" w:sz="4" w:space="0"/>
            </w:tcBorders>
            <w:shd w:val="clear" w:color="auto" w:fill="auto"/>
            <w:vAlign w:val="center"/>
          </w:tcPr>
          <w:p w14:paraId="68FB2CF4">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经营净</w:t>
            </w:r>
            <w:r>
              <w:rPr>
                <w:rFonts w:hint="default" w:ascii="Times New Roman" w:hAnsi="Times New Roman" w:eastAsia="宋体" w:cs="Times New Roman"/>
                <w:i w:val="0"/>
                <w:iCs w:val="0"/>
                <w:color w:val="000000"/>
                <w:kern w:val="0"/>
                <w:sz w:val="20"/>
                <w:szCs w:val="20"/>
                <w:u w:val="none"/>
                <w:lang w:val="en-US" w:eastAsia="zh-CN" w:bidi="ar"/>
              </w:rPr>
              <w:br w:type="textWrapping"/>
            </w:r>
            <w:r>
              <w:rPr>
                <w:rFonts w:hint="default" w:ascii="Times New Roman" w:hAnsi="Times New Roman" w:eastAsia="宋体" w:cs="Times New Roman"/>
                <w:i w:val="0"/>
                <w:iCs w:val="0"/>
                <w:color w:val="000000"/>
                <w:kern w:val="0"/>
                <w:sz w:val="20"/>
                <w:szCs w:val="20"/>
                <w:u w:val="none"/>
                <w:lang w:val="en-US" w:eastAsia="zh-CN" w:bidi="ar"/>
              </w:rPr>
              <w:t>收入</w:t>
            </w:r>
          </w:p>
        </w:tc>
        <w:tc>
          <w:tcPr>
            <w:tcW w:w="16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09C5FFB">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山田水土</w:t>
            </w: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93AFA">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C2CEA">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粮食和蔬菜自耕自种自给的，田土一般按低保标准20%-25%核算（低保标准×核算比例×家庭人数），家庭成员中有患重病</w:t>
            </w:r>
            <w:r>
              <w:rPr>
                <w:rFonts w:hint="default" w:ascii="Times New Roman" w:hAnsi="Times New Roman" w:cs="Times New Roman"/>
                <w:i w:val="0"/>
                <w:iCs w:val="0"/>
                <w:color w:val="000000"/>
                <w:kern w:val="0"/>
                <w:sz w:val="20"/>
                <w:szCs w:val="20"/>
                <w:u w:val="none"/>
                <w:lang w:val="en-US" w:eastAsia="zh-CN" w:bidi="ar"/>
              </w:rPr>
              <w:t>、重残</w:t>
            </w:r>
            <w:r>
              <w:rPr>
                <w:rFonts w:hint="default" w:ascii="Times New Roman" w:hAnsi="Times New Roman" w:eastAsia="宋体" w:cs="Times New Roman"/>
                <w:i w:val="0"/>
                <w:iCs w:val="0"/>
                <w:color w:val="000000"/>
                <w:kern w:val="0"/>
                <w:sz w:val="20"/>
                <w:szCs w:val="20"/>
                <w:u w:val="none"/>
                <w:lang w:val="en-US" w:eastAsia="zh-CN" w:bidi="ar"/>
              </w:rPr>
              <w:t>对象，按家庭种植养殖总收入的80%核算（低保标准×核算比例×家庭人数×0.8）。</w:t>
            </w:r>
          </w:p>
        </w:tc>
      </w:tr>
      <w:tr w14:paraId="77372B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927" w:type="dxa"/>
            <w:vMerge w:val="continue"/>
            <w:tcBorders>
              <w:top w:val="single" w:color="000000" w:sz="4" w:space="0"/>
              <w:left w:val="single" w:color="000000" w:sz="4" w:space="0"/>
              <w:bottom w:val="nil"/>
              <w:right w:val="single" w:color="000000" w:sz="4" w:space="0"/>
            </w:tcBorders>
            <w:shd w:val="clear" w:color="auto" w:fill="auto"/>
            <w:vAlign w:val="center"/>
          </w:tcPr>
          <w:p w14:paraId="45AA4A75">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default" w:ascii="Times New Roman" w:hAnsi="Times New Roman" w:eastAsia="宋体" w:cs="Times New Roman"/>
                <w:i w:val="0"/>
                <w:iCs w:val="0"/>
                <w:color w:val="000000"/>
                <w:sz w:val="20"/>
                <w:szCs w:val="20"/>
                <w:u w:val="none"/>
              </w:rPr>
            </w:pPr>
          </w:p>
        </w:tc>
        <w:tc>
          <w:tcPr>
            <w:tcW w:w="16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422722">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rPr>
            </w:pP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57128">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01E7B">
            <w:pPr>
              <w:keepNext w:val="0"/>
              <w:keepLines w:val="0"/>
              <w:pageBreakBefore w:val="0"/>
              <w:widowControl/>
              <w:numPr>
                <w:ilvl w:val="0"/>
                <w:numId w:val="0"/>
              </w:numPr>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整户无劳动能力，经调查核实未耕种的不核算田土收入。</w:t>
            </w:r>
          </w:p>
        </w:tc>
      </w:tr>
      <w:tr w14:paraId="058D84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5" w:hRule="atLeast"/>
        </w:trPr>
        <w:tc>
          <w:tcPr>
            <w:tcW w:w="927" w:type="dxa"/>
            <w:vMerge w:val="continue"/>
            <w:tcBorders>
              <w:top w:val="single" w:color="000000" w:sz="4" w:space="0"/>
              <w:left w:val="single" w:color="000000" w:sz="4" w:space="0"/>
              <w:bottom w:val="nil"/>
              <w:right w:val="single" w:color="000000" w:sz="4" w:space="0"/>
            </w:tcBorders>
            <w:shd w:val="clear" w:color="auto" w:fill="auto"/>
            <w:vAlign w:val="center"/>
          </w:tcPr>
          <w:p w14:paraId="5E3A0163">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default" w:ascii="Times New Roman" w:hAnsi="Times New Roman" w:eastAsia="宋体" w:cs="Times New Roman"/>
                <w:i w:val="0"/>
                <w:iCs w:val="0"/>
                <w:color w:val="000000"/>
                <w:sz w:val="20"/>
                <w:szCs w:val="20"/>
                <w:u w:val="none"/>
              </w:rPr>
            </w:pPr>
          </w:p>
        </w:tc>
        <w:tc>
          <w:tcPr>
            <w:tcW w:w="16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6B4112">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rPr>
            </w:pP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869AC">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51F75">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土地流转或承包，按田土流转或承包的合同价格分摊至月核算；未提供合同的参照当地土流转或承包价格核算。</w:t>
            </w:r>
          </w:p>
        </w:tc>
      </w:tr>
      <w:tr w14:paraId="1142E1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9" w:hRule="atLeast"/>
        </w:trPr>
        <w:tc>
          <w:tcPr>
            <w:tcW w:w="9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131B7A">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财产净</w:t>
            </w:r>
            <w:r>
              <w:rPr>
                <w:rFonts w:hint="default" w:ascii="Times New Roman" w:hAnsi="Times New Roman" w:eastAsia="宋体" w:cs="Times New Roman"/>
                <w:i w:val="0"/>
                <w:iCs w:val="0"/>
                <w:color w:val="000000"/>
                <w:kern w:val="0"/>
                <w:sz w:val="20"/>
                <w:szCs w:val="20"/>
                <w:u w:val="none"/>
                <w:lang w:val="en-US" w:eastAsia="zh-CN" w:bidi="ar"/>
              </w:rPr>
              <w:br w:type="textWrapping"/>
            </w:r>
            <w:r>
              <w:rPr>
                <w:rFonts w:hint="default" w:ascii="Times New Roman" w:hAnsi="Times New Roman" w:eastAsia="宋体" w:cs="Times New Roman"/>
                <w:i w:val="0"/>
                <w:iCs w:val="0"/>
                <w:color w:val="000000"/>
                <w:kern w:val="0"/>
                <w:sz w:val="20"/>
                <w:szCs w:val="20"/>
                <w:u w:val="none"/>
                <w:lang w:val="en-US" w:eastAsia="zh-CN" w:bidi="ar"/>
              </w:rPr>
              <w:t>收入</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BC542">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财产租赁分红等</w:t>
            </w: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092E3">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CC35B">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按实际签订合同、协议等据实核算；未提供合同的参照当地同类资产的实际价格核算。</w:t>
            </w:r>
          </w:p>
        </w:tc>
      </w:tr>
      <w:tr w14:paraId="23BB6A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5" w:hRule="atLeast"/>
        </w:trPr>
        <w:tc>
          <w:tcPr>
            <w:tcW w:w="9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D318A6">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default" w:ascii="Times New Roman" w:hAnsi="Times New Roman" w:eastAsia="宋体" w:cs="Times New Roman"/>
                <w:i w:val="0"/>
                <w:iCs w:val="0"/>
                <w:color w:val="000000"/>
                <w:sz w:val="20"/>
                <w:szCs w:val="20"/>
                <w:u w:val="none"/>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D252C">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房屋征拆安置</w:t>
            </w: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B4114">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67540">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征拆安置资金除自建房、购买商品房（含装修、购置家电）外，结余资金参照征收之日起3年内人均收入均摊核算；结余资金直接用完或摊算完，可不核算收入。</w:t>
            </w:r>
          </w:p>
        </w:tc>
      </w:tr>
      <w:tr w14:paraId="09361C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6" w:hRule="atLeast"/>
        </w:trPr>
        <w:tc>
          <w:tcPr>
            <w:tcW w:w="9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D637878">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转移净</w:t>
            </w:r>
            <w:r>
              <w:rPr>
                <w:rFonts w:hint="default" w:ascii="Times New Roman" w:hAnsi="Times New Roman" w:eastAsia="宋体" w:cs="Times New Roman"/>
                <w:i w:val="0"/>
                <w:iCs w:val="0"/>
                <w:color w:val="000000"/>
                <w:kern w:val="0"/>
                <w:sz w:val="20"/>
                <w:szCs w:val="20"/>
                <w:u w:val="none"/>
                <w:lang w:val="en-US" w:eastAsia="zh-CN" w:bidi="ar"/>
              </w:rPr>
              <w:br w:type="textWrapping"/>
            </w:r>
            <w:r>
              <w:rPr>
                <w:rFonts w:hint="default" w:ascii="Times New Roman" w:hAnsi="Times New Roman" w:eastAsia="宋体" w:cs="Times New Roman"/>
                <w:i w:val="0"/>
                <w:iCs w:val="0"/>
                <w:color w:val="000000"/>
                <w:kern w:val="0"/>
                <w:sz w:val="20"/>
                <w:szCs w:val="20"/>
                <w:u w:val="none"/>
                <w:lang w:val="en-US" w:eastAsia="zh-CN" w:bidi="ar"/>
              </w:rPr>
              <w:t>收入</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FC347">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离退休金等</w:t>
            </w: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B7829">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CC22D">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以银行发放记录按实核算；</w:t>
            </w:r>
            <w:r>
              <w:rPr>
                <w:rFonts w:hint="default" w:ascii="Times New Roman" w:hAnsi="Times New Roman" w:eastAsia="宋体" w:cs="Times New Roman"/>
                <w:b/>
                <w:bCs/>
                <w:i w:val="0"/>
                <w:iCs w:val="0"/>
                <w:color w:val="000000"/>
                <w:kern w:val="0"/>
                <w:sz w:val="20"/>
                <w:szCs w:val="20"/>
                <w:u w:val="none"/>
                <w:lang w:val="en-US" w:eastAsia="zh-CN" w:bidi="ar"/>
              </w:rPr>
              <w:t>基本养老保险基础养老金、残疾人“两项补贴”、高龄津贴、计生奖扶、护理费、丧葬费及优抚补助金和其它临时性补贴、一次性救助金等不核算收入。</w:t>
            </w:r>
          </w:p>
        </w:tc>
      </w:tr>
      <w:tr w14:paraId="2C29F5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1" w:hRule="atLeast"/>
        </w:trPr>
        <w:tc>
          <w:tcPr>
            <w:tcW w:w="9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ECC642">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default" w:ascii="Times New Roman" w:hAnsi="Times New Roman" w:eastAsia="宋体" w:cs="Times New Roman"/>
                <w:i w:val="0"/>
                <w:iCs w:val="0"/>
                <w:color w:val="000000"/>
                <w:sz w:val="20"/>
                <w:szCs w:val="20"/>
                <w:u w:val="none"/>
              </w:rPr>
            </w:pPr>
          </w:p>
        </w:tc>
        <w:tc>
          <w:tcPr>
            <w:tcW w:w="16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9906EF7">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赡（抚、扶）养费</w:t>
            </w:r>
          </w:p>
        </w:tc>
        <w:tc>
          <w:tcPr>
            <w:tcW w:w="73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7A0B20">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一般参照长政办发〔2023〕3号文核算，核算公式：</w:t>
            </w:r>
          </w:p>
          <w:p w14:paraId="0A9B7B60">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b w:val="0"/>
                <w:i w:val="0"/>
                <w:iCs w:val="0"/>
                <w:color w:val="000000"/>
                <w:kern w:val="0"/>
                <w:sz w:val="21"/>
                <w:szCs w:val="21"/>
                <w:u w:val="none"/>
                <w:lang w:val="en-US" w:eastAsia="zh-CN" w:bidi="ar"/>
              </w:rPr>
            </w:pPr>
          </w:p>
          <w:p w14:paraId="7C217764">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default" w:ascii="Times New Roman" w:hAnsi="Times New Roman" w:eastAsia="宋体" w:cs="Times New Roman"/>
                <w:i w:val="0"/>
                <w:iCs w:val="0"/>
                <w:color w:val="000000"/>
                <w:kern w:val="0"/>
                <w:sz w:val="18"/>
                <w:szCs w:val="18"/>
                <w:u w:val="none"/>
                <w:lang w:val="en-US" w:eastAsia="zh-CN" w:bidi="ar"/>
              </w:rPr>
            </w:pPr>
            <m:oMathPara>
              <m:oMath>
                <w:bookmarkStart w:id="3" w:name="OLE_LINK5"/>
                <m:r>
                  <m:rPr>
                    <m:sty m:val="p"/>
                  </m:rPr>
                  <w:rPr>
                    <w:rFonts w:hint="default" w:ascii="Cambria Math" w:hAnsi="Cambria Math" w:cs="Times New Roman"/>
                    <w:color w:val="000000"/>
                    <w:kern w:val="0"/>
                    <w:sz w:val="18"/>
                    <w:szCs w:val="18"/>
                    <w:u w:val="none"/>
                    <w:lang w:val="en-US" w:eastAsia="zh-CN" w:bidi="ar"/>
                  </w:rPr>
                  <m:t>赡养费</m:t>
                </m:r>
                <m:r>
                  <m:rPr>
                    <m:sty m:val="p"/>
                  </m:rPr>
                  <w:rPr>
                    <w:rFonts w:hint="default" w:ascii="Cambria Math" w:hAnsi="Cambria Math" w:cs="Times New Roman"/>
                    <w:color w:val="000000"/>
                    <w:kern w:val="0"/>
                    <w:sz w:val="18"/>
                    <w:szCs w:val="18"/>
                    <w:u w:val="none"/>
                    <w:lang w:val="en-US" w:bidi="ar"/>
                  </w:rPr>
                  <m:t>=</m:t>
                </m:r>
                <m:f>
                  <m:fPr>
                    <m:ctrlPr>
                      <w:rPr>
                        <w:rFonts w:hint="default" w:ascii="Cambria Math" w:hAnsi="Cambria Math" w:cs="Times New Roman"/>
                        <w:i w:val="0"/>
                        <w:iCs/>
                        <w:color w:val="000000"/>
                        <w:kern w:val="0"/>
                        <w:sz w:val="18"/>
                        <w:szCs w:val="18"/>
                        <w:u w:val="none"/>
                        <w:lang w:val="en-US" w:bidi="ar"/>
                      </w:rPr>
                    </m:ctrlPr>
                  </m:fPr>
                  <m:num>
                    <m:r>
                      <m:rPr>
                        <m:sty m:val="p"/>
                      </m:rPr>
                      <w:rPr>
                        <w:rFonts w:hint="default" w:ascii="Cambria Math" w:hAnsi="Cambria Math" w:cs="Times New Roman"/>
                        <w:color w:val="000000"/>
                        <w:kern w:val="0"/>
                        <w:sz w:val="18"/>
                        <w:szCs w:val="18"/>
                        <w:u w:val="none"/>
                        <w:lang w:val="en-US" w:eastAsia="zh-CN" w:bidi="ar"/>
                      </w:rPr>
                      <m:t>（赡养人家庭月人均收—低保标准</m:t>
                    </m:r>
                    <m:r>
                      <m:rPr>
                        <m:sty m:val="p"/>
                      </m:rPr>
                      <w:rPr>
                        <w:rFonts w:hint="default" w:ascii="Cambria Math" w:hAnsi="Cambria Math" w:cs="Times New Roman"/>
                        <w:color w:val="000000"/>
                        <w:kern w:val="0"/>
                        <w:sz w:val="18"/>
                        <w:szCs w:val="18"/>
                        <w:u w:val="none"/>
                        <w:lang w:val="en-US" w:bidi="ar"/>
                      </w:rPr>
                      <m:t>×</m:t>
                    </m:r>
                    <m:r>
                      <m:rPr>
                        <m:sty m:val="p"/>
                      </m:rPr>
                      <w:rPr>
                        <w:rFonts w:hint="default" w:ascii="Cambria Math" w:hAnsi="Cambria Math" w:cs="Times New Roman"/>
                        <w:color w:val="000000"/>
                        <w:kern w:val="0"/>
                        <w:sz w:val="18"/>
                        <w:szCs w:val="18"/>
                        <w:u w:val="none"/>
                        <w:lang w:val="en-US" w:eastAsia="zh-CN" w:bidi="ar"/>
                      </w:rPr>
                      <m:t>1.5）</m:t>
                    </m:r>
                    <m:r>
                      <m:rPr>
                        <m:sty m:val="p"/>
                      </m:rPr>
                      <w:rPr>
                        <w:rFonts w:hint="default" w:ascii="Cambria Math" w:hAnsi="Cambria Math" w:cs="Times New Roman"/>
                        <w:color w:val="000000"/>
                        <w:kern w:val="0"/>
                        <w:sz w:val="18"/>
                        <w:szCs w:val="18"/>
                        <w:u w:val="none"/>
                        <w:lang w:val="en-US" w:bidi="ar"/>
                      </w:rPr>
                      <m:t>×</m:t>
                    </m:r>
                    <m:r>
                      <m:rPr>
                        <m:sty m:val="p"/>
                      </m:rPr>
                      <w:rPr>
                        <w:rFonts w:hint="default" w:ascii="Cambria Math" w:hAnsi="Cambria Math" w:cs="Times New Roman"/>
                        <w:color w:val="000000"/>
                        <w:kern w:val="0"/>
                        <w:sz w:val="18"/>
                        <w:szCs w:val="18"/>
                        <w:u w:val="none"/>
                        <w:lang w:val="en-US" w:eastAsia="zh-CN" w:bidi="ar"/>
                      </w:rPr>
                      <m:t>赡养人共同生活家庭成员</m:t>
                    </m:r>
                    <m:ctrlPr>
                      <w:rPr>
                        <w:rFonts w:hint="default" w:ascii="Cambria Math" w:hAnsi="Cambria Math" w:cs="Times New Roman"/>
                        <w:i w:val="0"/>
                        <w:iCs/>
                        <w:color w:val="000000"/>
                        <w:kern w:val="0"/>
                        <w:sz w:val="18"/>
                        <w:szCs w:val="18"/>
                        <w:u w:val="none"/>
                        <w:lang w:val="en-US" w:bidi="ar"/>
                      </w:rPr>
                    </m:ctrlPr>
                  </m:num>
                  <m:den>
                    <m:r>
                      <m:rPr>
                        <m:sty m:val="p"/>
                      </m:rPr>
                      <w:rPr>
                        <w:rFonts w:hint="default" w:ascii="Cambria Math" w:hAnsi="Cambria Math" w:cs="Times New Roman"/>
                        <w:color w:val="000000"/>
                        <w:kern w:val="0"/>
                        <w:sz w:val="18"/>
                        <w:szCs w:val="18"/>
                        <w:u w:val="none"/>
                        <w:lang w:val="en-US" w:eastAsia="zh-CN" w:bidi="ar"/>
                      </w:rPr>
                      <m:t>应赡养人数</m:t>
                    </m:r>
                    <m:ctrlPr>
                      <w:rPr>
                        <w:rFonts w:hint="default" w:ascii="Cambria Math" w:hAnsi="Cambria Math" w:cs="Times New Roman"/>
                        <w:i w:val="0"/>
                        <w:iCs/>
                        <w:color w:val="000000"/>
                        <w:kern w:val="0"/>
                        <w:sz w:val="18"/>
                        <w:szCs w:val="18"/>
                        <w:u w:val="none"/>
                        <w:lang w:val="en-US" w:bidi="ar"/>
                      </w:rPr>
                    </m:ctrlPr>
                  </m:den>
                </m:f>
              </m:oMath>
            </m:oMathPara>
          </w:p>
          <w:bookmarkEnd w:id="3"/>
          <w:p w14:paraId="6B1A9B52">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outlineLvl w:val="9"/>
              <w:rPr>
                <w:rFonts w:hint="default" w:ascii="Times New Roman" w:hAnsi="Times New Roman" w:eastAsia="宋体" w:cs="Times New Roman"/>
                <w:b w:val="0"/>
                <w:bCs/>
                <w:i w:val="0"/>
                <w:color w:val="000000"/>
                <w:kern w:val="0"/>
                <w:sz w:val="15"/>
                <w:szCs w:val="15"/>
                <w:u w:val="none"/>
                <w:lang w:val="en-US" w:eastAsia="zh-CN" w:bidi="ar"/>
              </w:rPr>
            </w:pPr>
          </w:p>
          <w:p w14:paraId="275F73FE">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备注：赡抚扶养人开具收入证明材料，无固定工作的按街镇收入评估细则计算收入。</w:t>
            </w:r>
          </w:p>
        </w:tc>
      </w:tr>
      <w:tr w14:paraId="37520E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7" w:hRule="atLeast"/>
        </w:trPr>
        <w:tc>
          <w:tcPr>
            <w:tcW w:w="9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E1CE66">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default" w:ascii="Times New Roman" w:hAnsi="Times New Roman" w:eastAsia="宋体" w:cs="Times New Roman"/>
                <w:i w:val="0"/>
                <w:iCs w:val="0"/>
                <w:color w:val="000000"/>
                <w:sz w:val="20"/>
                <w:szCs w:val="20"/>
                <w:u w:val="none"/>
              </w:rPr>
            </w:pPr>
          </w:p>
        </w:tc>
        <w:tc>
          <w:tcPr>
            <w:tcW w:w="16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749A11">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rPr>
            </w:pP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F8C23">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家庭无机动车无商品房</w:t>
            </w:r>
          </w:p>
        </w:tc>
        <w:tc>
          <w:tcPr>
            <w:tcW w:w="5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5E945">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可按100-300元/月标准核算。</w:t>
            </w:r>
          </w:p>
        </w:tc>
      </w:tr>
      <w:tr w14:paraId="65AA0B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2" w:hRule="atLeast"/>
        </w:trPr>
        <w:tc>
          <w:tcPr>
            <w:tcW w:w="9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F07169">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default" w:ascii="Times New Roman" w:hAnsi="Times New Roman" w:eastAsia="宋体" w:cs="Times New Roman"/>
                <w:i w:val="0"/>
                <w:iCs w:val="0"/>
                <w:color w:val="000000"/>
                <w:sz w:val="20"/>
                <w:szCs w:val="20"/>
                <w:u w:val="none"/>
              </w:rPr>
            </w:pPr>
          </w:p>
        </w:tc>
        <w:tc>
          <w:tcPr>
            <w:tcW w:w="16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BF0559">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rPr>
            </w:pP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10E60">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家庭拥有一辆机动车或一套商品房</w:t>
            </w:r>
          </w:p>
        </w:tc>
        <w:tc>
          <w:tcPr>
            <w:tcW w:w="5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DC7ED">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可按300-600元/月标准核算。</w:t>
            </w:r>
          </w:p>
        </w:tc>
      </w:tr>
      <w:tr w14:paraId="437AE1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9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A643FE">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default" w:ascii="Times New Roman" w:hAnsi="Times New Roman" w:eastAsia="宋体" w:cs="Times New Roman"/>
                <w:i w:val="0"/>
                <w:iCs w:val="0"/>
                <w:color w:val="000000"/>
                <w:sz w:val="20"/>
                <w:szCs w:val="20"/>
                <w:u w:val="none"/>
              </w:rPr>
            </w:pPr>
          </w:p>
        </w:tc>
        <w:tc>
          <w:tcPr>
            <w:tcW w:w="16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993391">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rPr>
            </w:pP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636D5">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家庭拥有一辆机动车和一套商品房</w:t>
            </w:r>
          </w:p>
        </w:tc>
        <w:tc>
          <w:tcPr>
            <w:tcW w:w="5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28DBC">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可按600-800元/月标准核算。</w:t>
            </w:r>
          </w:p>
        </w:tc>
      </w:tr>
      <w:tr w14:paraId="479157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3" w:hRule="atLeast"/>
        </w:trPr>
        <w:tc>
          <w:tcPr>
            <w:tcW w:w="9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CC4F50">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default" w:ascii="Times New Roman" w:hAnsi="Times New Roman" w:eastAsia="宋体" w:cs="Times New Roman"/>
                <w:i w:val="0"/>
                <w:iCs w:val="0"/>
                <w:color w:val="000000"/>
                <w:sz w:val="20"/>
                <w:szCs w:val="20"/>
                <w:u w:val="none"/>
              </w:rPr>
            </w:pPr>
          </w:p>
        </w:tc>
        <w:tc>
          <w:tcPr>
            <w:tcW w:w="16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A29EA1">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rPr>
            </w:pP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3770A">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1</w:t>
            </w:r>
            <w:r>
              <w:rPr>
                <w:rFonts w:hint="default" w:ascii="Times New Roman" w:hAnsi="Times New Roman" w:cs="Times New Roman"/>
                <w:i w:val="0"/>
                <w:iCs w:val="0"/>
                <w:color w:val="000000"/>
                <w:kern w:val="0"/>
                <w:sz w:val="20"/>
                <w:szCs w:val="20"/>
                <w:u w:val="none"/>
                <w:lang w:val="en-US" w:eastAsia="zh-CN" w:bidi="ar"/>
              </w:rPr>
              <w:t>.</w:t>
            </w:r>
            <w:r>
              <w:rPr>
                <w:rFonts w:hint="default" w:ascii="Times New Roman" w:hAnsi="Times New Roman" w:eastAsia="宋体" w:cs="Times New Roman"/>
                <w:i w:val="0"/>
                <w:iCs w:val="0"/>
                <w:color w:val="000000"/>
                <w:kern w:val="0"/>
                <w:sz w:val="20"/>
                <w:szCs w:val="20"/>
                <w:u w:val="none"/>
                <w:lang w:val="en-US" w:eastAsia="zh-CN" w:bidi="ar"/>
              </w:rPr>
              <w:t>家庭拥有两辆机动车及以上</w:t>
            </w:r>
          </w:p>
          <w:p w14:paraId="14268DEB">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2.两套商品房及以上</w:t>
            </w:r>
          </w:p>
          <w:p w14:paraId="61FB5764">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3.财政供养人员</w:t>
            </w:r>
          </w:p>
        </w:tc>
        <w:tc>
          <w:tcPr>
            <w:tcW w:w="5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07653">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视同有完全赡养能力。特殊情况经民主评议后原则上按1000-1500元/月标准核算。</w:t>
            </w:r>
          </w:p>
        </w:tc>
      </w:tr>
      <w:tr w14:paraId="21D2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6" w:hRule="atLeast"/>
        </w:trPr>
        <w:tc>
          <w:tcPr>
            <w:tcW w:w="9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8D2DBD">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default" w:ascii="Times New Roman" w:hAnsi="Times New Roman" w:eastAsia="宋体" w:cs="Times New Roman"/>
                <w:i w:val="0"/>
                <w:iCs w:val="0"/>
                <w:color w:val="000000"/>
                <w:sz w:val="20"/>
                <w:szCs w:val="20"/>
                <w:u w:val="none"/>
              </w:rPr>
            </w:pPr>
          </w:p>
        </w:tc>
        <w:tc>
          <w:tcPr>
            <w:tcW w:w="16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651EDD">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rPr>
            </w:pP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8837C">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73F37">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sz w:val="20"/>
                <w:szCs w:val="20"/>
                <w:u w:val="none"/>
              </w:rPr>
              <w:t>民政部门认定的低收入对象（特困、低保、低边）和重病重残对象可不计算赡养费；有法院判决</w:t>
            </w:r>
            <w:r>
              <w:rPr>
                <w:rFonts w:hint="default" w:ascii="Times New Roman" w:hAnsi="Times New Roman" w:eastAsia="宋体" w:cs="Times New Roman"/>
                <w:i w:val="0"/>
                <w:iCs w:val="0"/>
                <w:color w:val="000000"/>
                <w:sz w:val="20"/>
                <w:szCs w:val="20"/>
                <w:u w:val="none"/>
                <w:lang w:eastAsia="zh-CN"/>
              </w:rPr>
              <w:t>（协议）</w:t>
            </w:r>
            <w:r>
              <w:rPr>
                <w:rFonts w:hint="default" w:ascii="Times New Roman" w:hAnsi="Times New Roman" w:eastAsia="宋体" w:cs="Times New Roman"/>
                <w:i w:val="0"/>
                <w:iCs w:val="0"/>
                <w:color w:val="000000"/>
                <w:sz w:val="20"/>
                <w:szCs w:val="20"/>
                <w:u w:val="none"/>
              </w:rPr>
              <w:t>的，按判决</w:t>
            </w:r>
            <w:r>
              <w:rPr>
                <w:rFonts w:hint="default" w:ascii="Times New Roman" w:hAnsi="Times New Roman" w:eastAsia="宋体" w:cs="Times New Roman"/>
                <w:i w:val="0"/>
                <w:iCs w:val="0"/>
                <w:color w:val="000000"/>
                <w:sz w:val="20"/>
                <w:szCs w:val="20"/>
                <w:u w:val="none"/>
                <w:lang w:eastAsia="zh-CN"/>
              </w:rPr>
              <w:t>（协议）</w:t>
            </w:r>
            <w:r>
              <w:rPr>
                <w:rFonts w:hint="default" w:ascii="Times New Roman" w:hAnsi="Times New Roman" w:eastAsia="宋体" w:cs="Times New Roman"/>
                <w:i w:val="0"/>
                <w:iCs w:val="0"/>
                <w:color w:val="000000"/>
                <w:sz w:val="20"/>
                <w:szCs w:val="20"/>
                <w:u w:val="none"/>
              </w:rPr>
              <w:t>计算；义务人长期未联系、未尽义务的，经调查核实，情况属实的经民主评议后可按100-300元/月标准核算。</w:t>
            </w:r>
          </w:p>
        </w:tc>
      </w:tr>
      <w:tr w14:paraId="0C7D22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0" w:hRule="atLeast"/>
        </w:trPr>
        <w:tc>
          <w:tcPr>
            <w:tcW w:w="9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A59398C">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特殊家庭收入分类核算办法</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BE0F8">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重病重残等家庭</w:t>
            </w: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D0F00">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共同生活成员中在家照料护理重病重残等成员的正常劳动力</w:t>
            </w:r>
          </w:p>
        </w:tc>
        <w:tc>
          <w:tcPr>
            <w:tcW w:w="5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5D050">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哺乳期、护理病人（残疾人）等特殊原因的人员据实计算其个人工资性收入，但按最高不超过50%纳入家庭收入核算（照料护理每户限1人）。</w:t>
            </w:r>
          </w:p>
        </w:tc>
      </w:tr>
      <w:tr w14:paraId="19A0BF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9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8C16F4">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default" w:ascii="Times New Roman" w:hAnsi="Times New Roman" w:eastAsia="宋体" w:cs="Times New Roman"/>
                <w:i w:val="0"/>
                <w:iCs w:val="0"/>
                <w:color w:val="000000"/>
                <w:sz w:val="20"/>
                <w:szCs w:val="20"/>
                <w:u w:val="none"/>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9602B">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单亲家庭</w:t>
            </w: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A8FE6">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E709D">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丧偶单亲家庭中，子女在托、在学的（义务教育），共同生活成员中一名务工人员的收入，按照其评估收入的50%核算。</w:t>
            </w:r>
          </w:p>
        </w:tc>
      </w:tr>
      <w:tr w14:paraId="11F365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9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6CD032">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default" w:ascii="Times New Roman" w:hAnsi="Times New Roman" w:eastAsia="宋体" w:cs="Times New Roman"/>
                <w:i w:val="0"/>
                <w:iCs w:val="0"/>
                <w:color w:val="000000"/>
                <w:sz w:val="20"/>
                <w:szCs w:val="20"/>
                <w:u w:val="none"/>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A7E81">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离退休金家庭</w:t>
            </w: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D8AA4">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6606F">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与子女、孙子女、外孙子女共同生活的离退休老年人所领取离退休金剔除2倍低保标准后计算。</w:t>
            </w:r>
          </w:p>
        </w:tc>
      </w:tr>
      <w:tr w14:paraId="30D4FA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8" w:hRule="atLeast"/>
        </w:trPr>
        <w:tc>
          <w:tcPr>
            <w:tcW w:w="9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02D599">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default" w:ascii="Times New Roman" w:hAnsi="Times New Roman" w:eastAsia="宋体" w:cs="Times New Roman"/>
                <w:i w:val="0"/>
                <w:iCs w:val="0"/>
                <w:color w:val="000000"/>
                <w:sz w:val="20"/>
                <w:szCs w:val="20"/>
                <w:u w:val="none"/>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D2108">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重病、重残人员</w:t>
            </w: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DEC92">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EDAE1">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据实计算其个人工资性收入，但按最高不超过50%纳入家庭收入核算；无就业能力或未就业可不核算收入。</w:t>
            </w:r>
          </w:p>
        </w:tc>
      </w:tr>
      <w:tr w14:paraId="1A07D2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9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F9F9FE">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default" w:ascii="Times New Roman" w:hAnsi="Times New Roman" w:eastAsia="宋体" w:cs="Times New Roman"/>
                <w:i w:val="0"/>
                <w:iCs w:val="0"/>
                <w:color w:val="000000"/>
                <w:sz w:val="20"/>
                <w:szCs w:val="20"/>
                <w:u w:val="none"/>
              </w:rPr>
            </w:pPr>
          </w:p>
        </w:tc>
        <w:tc>
          <w:tcPr>
            <w:tcW w:w="1647" w:type="dxa"/>
            <w:tcBorders>
              <w:top w:val="single" w:color="000000" w:sz="4" w:space="0"/>
              <w:left w:val="single" w:color="000000" w:sz="4" w:space="0"/>
              <w:bottom w:val="single" w:color="000000" w:sz="4" w:space="0"/>
              <w:right w:val="nil"/>
            </w:tcBorders>
            <w:shd w:val="clear" w:color="auto" w:fill="auto"/>
            <w:vAlign w:val="center"/>
          </w:tcPr>
          <w:p w14:paraId="03BDE4C3">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其它残疾（非重残）人员</w:t>
            </w: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9A75D">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BEFE7">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据实计算其个人工资性收入，但按最高不超过50%纳入家庭收入核算。</w:t>
            </w:r>
          </w:p>
        </w:tc>
      </w:tr>
      <w:tr w14:paraId="332307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9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5204CF">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default" w:ascii="Times New Roman" w:hAnsi="Times New Roman" w:eastAsia="宋体" w:cs="Times New Roman"/>
                <w:i w:val="0"/>
                <w:iCs w:val="0"/>
                <w:color w:val="000000"/>
                <w:sz w:val="20"/>
                <w:szCs w:val="20"/>
                <w:u w:val="none"/>
              </w:rPr>
            </w:pPr>
          </w:p>
        </w:tc>
        <w:tc>
          <w:tcPr>
            <w:tcW w:w="1647" w:type="dxa"/>
            <w:tcBorders>
              <w:top w:val="single" w:color="000000" w:sz="4" w:space="0"/>
              <w:left w:val="single" w:color="000000" w:sz="4" w:space="0"/>
              <w:bottom w:val="single" w:color="000000" w:sz="4" w:space="0"/>
              <w:right w:val="nil"/>
            </w:tcBorders>
            <w:shd w:val="clear" w:color="auto" w:fill="auto"/>
            <w:vAlign w:val="center"/>
          </w:tcPr>
          <w:p w14:paraId="12B87EEE">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患有慢特病、罕见病人员，需长期服药人员。</w:t>
            </w: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E4DCB">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8E48C">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据实计算其个人工资性收入，但按最高不超过50%纳入家庭收入核算。</w:t>
            </w:r>
          </w:p>
        </w:tc>
      </w:tr>
      <w:tr w14:paraId="350B15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2" w:hRule="atLeast"/>
        </w:trPr>
        <w:tc>
          <w:tcPr>
            <w:tcW w:w="927"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14:paraId="7EFD6406">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default" w:ascii="Times New Roman" w:hAnsi="Times New Roman" w:eastAsia="宋体" w:cs="Times New Roman"/>
                <w:i w:val="0"/>
                <w:iCs w:val="0"/>
                <w:color w:val="000000"/>
                <w:sz w:val="20"/>
                <w:szCs w:val="20"/>
                <w:u w:val="none"/>
              </w:rPr>
            </w:pPr>
          </w:p>
        </w:tc>
        <w:tc>
          <w:tcPr>
            <w:tcW w:w="1647" w:type="dxa"/>
            <w:tcBorders>
              <w:top w:val="single" w:color="000000" w:sz="4" w:space="0"/>
              <w:left w:val="single" w:color="000000" w:sz="4" w:space="0"/>
              <w:bottom w:val="single" w:color="auto" w:sz="4" w:space="0"/>
              <w:right w:val="nil"/>
            </w:tcBorders>
            <w:shd w:val="clear" w:color="auto" w:fill="auto"/>
            <w:vAlign w:val="center"/>
          </w:tcPr>
          <w:p w14:paraId="01CB1E3F">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因个人特殊原因，导致就业困难的人员</w:t>
            </w:r>
          </w:p>
        </w:tc>
        <w:tc>
          <w:tcPr>
            <w:tcW w:w="2046" w:type="dxa"/>
            <w:tcBorders>
              <w:top w:val="single" w:color="000000" w:sz="4" w:space="0"/>
              <w:left w:val="single" w:color="000000" w:sz="4" w:space="0"/>
              <w:bottom w:val="single" w:color="auto" w:sz="4" w:space="0"/>
              <w:right w:val="single" w:color="000000" w:sz="4" w:space="0"/>
            </w:tcBorders>
            <w:shd w:val="clear" w:color="auto" w:fill="auto"/>
            <w:vAlign w:val="center"/>
          </w:tcPr>
          <w:p w14:paraId="6D73D678">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rPr>
            </w:pPr>
          </w:p>
        </w:tc>
        <w:tc>
          <w:tcPr>
            <w:tcW w:w="5340" w:type="dxa"/>
            <w:tcBorders>
              <w:top w:val="single" w:color="000000" w:sz="4" w:space="0"/>
              <w:left w:val="single" w:color="000000" w:sz="4" w:space="0"/>
              <w:bottom w:val="single" w:color="auto" w:sz="4" w:space="0"/>
              <w:right w:val="single" w:color="000000" w:sz="4" w:space="0"/>
            </w:tcBorders>
            <w:shd w:val="clear" w:color="auto" w:fill="auto"/>
            <w:vAlign w:val="center"/>
          </w:tcPr>
          <w:p w14:paraId="4DB556D2">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特殊情况经民主评议后按不超过50%最低工资标准核算。</w:t>
            </w:r>
          </w:p>
        </w:tc>
      </w:tr>
      <w:tr w14:paraId="4160A8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8" w:hRule="atLeast"/>
        </w:trPr>
        <w:tc>
          <w:tcPr>
            <w:tcW w:w="92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56E08C9">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必须的非生活性固定性支出核减核算办法</w:t>
            </w:r>
          </w:p>
        </w:tc>
        <w:tc>
          <w:tcPr>
            <w:tcW w:w="1647" w:type="dxa"/>
            <w:tcBorders>
              <w:top w:val="single" w:color="auto" w:sz="4" w:space="0"/>
              <w:left w:val="single" w:color="auto" w:sz="4" w:space="0"/>
              <w:bottom w:val="single" w:color="auto" w:sz="4" w:space="0"/>
              <w:right w:val="single" w:color="auto" w:sz="4" w:space="0"/>
            </w:tcBorders>
            <w:shd w:val="clear" w:color="auto" w:fill="auto"/>
            <w:vAlign w:val="center"/>
          </w:tcPr>
          <w:p w14:paraId="4C9E03F0">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医疗支出</w:t>
            </w:r>
          </w:p>
        </w:tc>
        <w:tc>
          <w:tcPr>
            <w:tcW w:w="2046" w:type="dxa"/>
            <w:tcBorders>
              <w:top w:val="single" w:color="auto" w:sz="4" w:space="0"/>
              <w:left w:val="single" w:color="auto" w:sz="4" w:space="0"/>
              <w:bottom w:val="single" w:color="auto" w:sz="4" w:space="0"/>
              <w:right w:val="single" w:color="auto" w:sz="4" w:space="0"/>
            </w:tcBorders>
            <w:shd w:val="clear" w:color="auto" w:fill="auto"/>
            <w:vAlign w:val="center"/>
          </w:tcPr>
          <w:p w14:paraId="11A6C73C">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自申请日起或复核当月起前12个月个人自负的医疗费用</w:t>
            </w:r>
          </w:p>
        </w:tc>
        <w:tc>
          <w:tcPr>
            <w:tcW w:w="5340" w:type="dxa"/>
            <w:tcBorders>
              <w:top w:val="single" w:color="auto" w:sz="4" w:space="0"/>
              <w:left w:val="single" w:color="auto" w:sz="4" w:space="0"/>
              <w:bottom w:val="single" w:color="auto" w:sz="4" w:space="0"/>
              <w:right w:val="single" w:color="auto" w:sz="4" w:space="0"/>
            </w:tcBorders>
            <w:shd w:val="clear" w:color="auto" w:fill="auto"/>
            <w:vAlign w:val="center"/>
          </w:tcPr>
          <w:p w14:paraId="0F2D8BEE">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据实扣减但最高扣减金额不超过5万元（扣减费用≤家庭收入）。备注：医保部门报销、医疗救助、大病保险、责任主体赔偿、临时救助、城市困难帮扶等救助之后3个月内需重新复核进行动态调整。</w:t>
            </w:r>
          </w:p>
        </w:tc>
      </w:tr>
      <w:tr w14:paraId="59D604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8" w:hRule="atLeast"/>
        </w:trPr>
        <w:tc>
          <w:tcPr>
            <w:tcW w:w="92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6967BE9">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outlineLvl w:val="9"/>
              <w:rPr>
                <w:rFonts w:hint="default" w:ascii="Times New Roman" w:hAnsi="Times New Roman" w:eastAsia="宋体" w:cs="Times New Roman"/>
                <w:i w:val="0"/>
                <w:iCs w:val="0"/>
                <w:color w:val="000000"/>
                <w:kern w:val="0"/>
                <w:sz w:val="20"/>
                <w:szCs w:val="20"/>
                <w:u w:val="none"/>
                <w:lang w:val="en-US" w:eastAsia="zh-CN" w:bidi="ar"/>
              </w:rPr>
            </w:pPr>
          </w:p>
        </w:tc>
        <w:tc>
          <w:tcPr>
            <w:tcW w:w="1647" w:type="dxa"/>
            <w:tcBorders>
              <w:top w:val="single" w:color="auto" w:sz="4" w:space="0"/>
              <w:left w:val="single" w:color="auto" w:sz="4" w:space="0"/>
              <w:bottom w:val="single" w:color="auto" w:sz="4" w:space="0"/>
              <w:right w:val="single" w:color="auto" w:sz="4" w:space="0"/>
            </w:tcBorders>
            <w:shd w:val="clear" w:color="auto" w:fill="auto"/>
            <w:vAlign w:val="center"/>
          </w:tcPr>
          <w:p w14:paraId="11AFA9CA">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学费支出</w:t>
            </w:r>
          </w:p>
        </w:tc>
        <w:tc>
          <w:tcPr>
            <w:tcW w:w="2046" w:type="dxa"/>
            <w:tcBorders>
              <w:top w:val="single" w:color="auto" w:sz="4" w:space="0"/>
              <w:left w:val="single" w:color="auto" w:sz="4" w:space="0"/>
              <w:bottom w:val="single" w:color="auto" w:sz="4" w:space="0"/>
              <w:right w:val="single" w:color="auto" w:sz="4" w:space="0"/>
            </w:tcBorders>
            <w:shd w:val="clear" w:color="auto" w:fill="auto"/>
            <w:vAlign w:val="center"/>
          </w:tcPr>
          <w:p w14:paraId="4A873EF5">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接受普惠性幼儿园教育和本科及以下全日制学历教育的学杂费等支出</w:t>
            </w:r>
          </w:p>
        </w:tc>
        <w:tc>
          <w:tcPr>
            <w:tcW w:w="5340" w:type="dxa"/>
            <w:tcBorders>
              <w:top w:val="single" w:color="auto" w:sz="4" w:space="0"/>
              <w:left w:val="single" w:color="auto" w:sz="4" w:space="0"/>
              <w:bottom w:val="single" w:color="auto" w:sz="4" w:space="0"/>
              <w:right w:val="single" w:color="auto" w:sz="4" w:space="0"/>
            </w:tcBorders>
            <w:shd w:val="clear" w:color="auto" w:fill="auto"/>
            <w:vAlign w:val="center"/>
          </w:tcPr>
          <w:p w14:paraId="1CFC2FBE">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据实扣减。</w:t>
            </w:r>
          </w:p>
        </w:tc>
      </w:tr>
      <w:tr w14:paraId="5157DD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3" w:hRule="atLeast"/>
        </w:trPr>
        <w:tc>
          <w:tcPr>
            <w:tcW w:w="92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43FAD9E">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outlineLvl w:val="9"/>
              <w:rPr>
                <w:rFonts w:hint="default" w:ascii="Times New Roman" w:hAnsi="Times New Roman" w:eastAsia="宋体" w:cs="Times New Roman"/>
                <w:i w:val="0"/>
                <w:iCs w:val="0"/>
                <w:color w:val="000000"/>
                <w:kern w:val="0"/>
                <w:sz w:val="20"/>
                <w:szCs w:val="20"/>
                <w:u w:val="none"/>
                <w:lang w:val="en-US" w:eastAsia="zh-CN" w:bidi="ar"/>
              </w:rPr>
            </w:pPr>
          </w:p>
        </w:tc>
        <w:tc>
          <w:tcPr>
            <w:tcW w:w="1647" w:type="dxa"/>
            <w:tcBorders>
              <w:top w:val="single" w:color="auto" w:sz="4" w:space="0"/>
              <w:left w:val="single" w:color="auto" w:sz="4" w:space="0"/>
              <w:bottom w:val="single" w:color="auto" w:sz="4" w:space="0"/>
              <w:right w:val="single" w:color="auto" w:sz="4" w:space="0"/>
            </w:tcBorders>
            <w:shd w:val="clear" w:color="auto" w:fill="auto"/>
            <w:vAlign w:val="center"/>
          </w:tcPr>
          <w:p w14:paraId="0D22A8CA">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培训支出</w:t>
            </w:r>
          </w:p>
        </w:tc>
        <w:tc>
          <w:tcPr>
            <w:tcW w:w="2046" w:type="dxa"/>
            <w:tcBorders>
              <w:top w:val="single" w:color="auto" w:sz="4" w:space="0"/>
              <w:left w:val="single" w:color="auto" w:sz="4" w:space="0"/>
              <w:bottom w:val="single" w:color="auto" w:sz="4" w:space="0"/>
              <w:right w:val="single" w:color="auto" w:sz="4" w:space="0"/>
            </w:tcBorders>
            <w:shd w:val="clear" w:color="auto" w:fill="auto"/>
            <w:vAlign w:val="center"/>
          </w:tcPr>
          <w:p w14:paraId="0CA784F9">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参加各类专业技能培训学习支付的培训费以及外出务工支出的必要就业成本</w:t>
            </w:r>
          </w:p>
        </w:tc>
        <w:tc>
          <w:tcPr>
            <w:tcW w:w="5340" w:type="dxa"/>
            <w:tcBorders>
              <w:top w:val="single" w:color="auto" w:sz="4" w:space="0"/>
              <w:left w:val="single" w:color="auto" w:sz="4" w:space="0"/>
              <w:bottom w:val="single" w:color="auto" w:sz="4" w:space="0"/>
              <w:right w:val="single" w:color="auto" w:sz="4" w:space="0"/>
            </w:tcBorders>
            <w:shd w:val="clear" w:color="auto" w:fill="auto"/>
            <w:vAlign w:val="center"/>
          </w:tcPr>
          <w:p w14:paraId="2954A6DB">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据实扣减但最高扣减金额不超过当地当年低保标准的50%。</w:t>
            </w:r>
          </w:p>
        </w:tc>
      </w:tr>
      <w:tr w14:paraId="17CFBC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38" w:hRule="atLeast"/>
        </w:trPr>
        <w:tc>
          <w:tcPr>
            <w:tcW w:w="927" w:type="dxa"/>
            <w:vMerge w:val="restart"/>
            <w:tcBorders>
              <w:top w:val="single" w:color="auto" w:sz="4" w:space="0"/>
              <w:left w:val="single" w:color="000000" w:sz="4" w:space="0"/>
              <w:bottom w:val="single" w:color="000000" w:sz="4" w:space="0"/>
              <w:right w:val="single" w:color="000000" w:sz="4" w:space="0"/>
            </w:tcBorders>
            <w:shd w:val="clear" w:color="auto" w:fill="auto"/>
            <w:vAlign w:val="center"/>
          </w:tcPr>
          <w:p w14:paraId="196DE2D0">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特殊情况财产评估</w:t>
            </w:r>
          </w:p>
        </w:tc>
        <w:tc>
          <w:tcPr>
            <w:tcW w:w="1647" w:type="dxa"/>
            <w:tcBorders>
              <w:top w:val="single" w:color="auto" w:sz="4" w:space="0"/>
              <w:left w:val="single" w:color="000000" w:sz="4" w:space="0"/>
              <w:bottom w:val="single" w:color="000000" w:sz="4" w:space="0"/>
              <w:right w:val="single" w:color="000000" w:sz="4" w:space="0"/>
            </w:tcBorders>
            <w:shd w:val="clear" w:color="auto" w:fill="auto"/>
            <w:vAlign w:val="center"/>
          </w:tcPr>
          <w:p w14:paraId="5A1A6919">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机动车辆</w:t>
            </w:r>
          </w:p>
        </w:tc>
        <w:tc>
          <w:tcPr>
            <w:tcW w:w="2046" w:type="dxa"/>
            <w:tcBorders>
              <w:top w:val="single" w:color="auto" w:sz="4" w:space="0"/>
              <w:left w:val="single" w:color="000000" w:sz="4" w:space="0"/>
              <w:bottom w:val="single" w:color="000000" w:sz="4" w:space="0"/>
              <w:right w:val="single" w:color="000000" w:sz="4" w:space="0"/>
            </w:tcBorders>
            <w:shd w:val="clear" w:color="auto" w:fill="auto"/>
            <w:vAlign w:val="center"/>
          </w:tcPr>
          <w:p w14:paraId="0A154888">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低保家庭中，机动车辆非重病重残对象申请本人名下，且车辆价值在5万元以下用于家庭谋生或接送重病重残人员康复专用</w:t>
            </w:r>
          </w:p>
        </w:tc>
        <w:tc>
          <w:tcPr>
            <w:tcW w:w="5340" w:type="dxa"/>
            <w:tcBorders>
              <w:top w:val="single" w:color="auto" w:sz="4" w:space="0"/>
              <w:left w:val="single" w:color="000000" w:sz="4" w:space="0"/>
              <w:bottom w:val="single" w:color="000000" w:sz="4" w:space="0"/>
              <w:right w:val="single" w:color="000000" w:sz="4" w:space="0"/>
            </w:tcBorders>
            <w:shd w:val="clear" w:color="auto" w:fill="auto"/>
            <w:vAlign w:val="center"/>
          </w:tcPr>
          <w:p w14:paraId="1FC31857">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1.谋生：用于专职滴滴、小型面包车接送货物等，且为家庭唯一收入来源的车辆；收入据实核算；无法准确核算收入时参照行业标准核算。</w:t>
            </w:r>
            <w:r>
              <w:rPr>
                <w:rFonts w:hint="default" w:ascii="Times New Roman" w:hAnsi="Times New Roman" w:eastAsia="宋体" w:cs="Times New Roman"/>
                <w:i w:val="0"/>
                <w:iCs w:val="0"/>
                <w:color w:val="000000"/>
                <w:kern w:val="0"/>
                <w:sz w:val="20"/>
                <w:szCs w:val="20"/>
                <w:u w:val="none"/>
                <w:lang w:val="en-US" w:eastAsia="zh-CN" w:bidi="ar"/>
              </w:rPr>
              <w:br w:type="textWrapping"/>
            </w:r>
            <w:r>
              <w:rPr>
                <w:rFonts w:hint="default" w:ascii="Times New Roman" w:hAnsi="Times New Roman" w:eastAsia="宋体" w:cs="Times New Roman"/>
                <w:i w:val="0"/>
                <w:iCs w:val="0"/>
                <w:color w:val="000000"/>
                <w:kern w:val="0"/>
                <w:sz w:val="20"/>
                <w:szCs w:val="20"/>
                <w:u w:val="none"/>
                <w:lang w:val="en-US" w:eastAsia="zh-CN" w:bidi="ar"/>
              </w:rPr>
              <w:t>2.康复接送：家庭成员中患有尿毒症等需要固定周期透析、化疗的接送车辆，且每周至少接送1次，并提供连续3个月的相关透析、化疗凭证。</w:t>
            </w:r>
          </w:p>
        </w:tc>
      </w:tr>
      <w:tr w14:paraId="0ADB2F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927" w:type="dxa"/>
            <w:vMerge w:val="continue"/>
            <w:tcBorders>
              <w:top w:val="nil"/>
              <w:left w:val="single" w:color="000000" w:sz="4" w:space="0"/>
              <w:bottom w:val="single" w:color="000000" w:sz="4" w:space="0"/>
              <w:right w:val="single" w:color="000000" w:sz="4" w:space="0"/>
            </w:tcBorders>
            <w:shd w:val="clear" w:color="auto" w:fill="auto"/>
            <w:vAlign w:val="center"/>
          </w:tcPr>
          <w:p w14:paraId="0D6C902C">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default" w:ascii="Times New Roman" w:hAnsi="Times New Roman" w:eastAsia="宋体" w:cs="Times New Roman"/>
                <w:i w:val="0"/>
                <w:iCs w:val="0"/>
                <w:color w:val="000000"/>
                <w:sz w:val="20"/>
                <w:szCs w:val="20"/>
                <w:u w:val="none"/>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86593">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工商登记</w:t>
            </w:r>
          </w:p>
        </w:tc>
        <w:tc>
          <w:tcPr>
            <w:tcW w:w="2046" w:type="dxa"/>
            <w:tcBorders>
              <w:top w:val="nil"/>
              <w:left w:val="single" w:color="000000" w:sz="4" w:space="0"/>
              <w:bottom w:val="single" w:color="000000" w:sz="4" w:space="0"/>
              <w:right w:val="single" w:color="000000" w:sz="4" w:space="0"/>
            </w:tcBorders>
            <w:shd w:val="clear" w:color="auto" w:fill="auto"/>
            <w:vAlign w:val="center"/>
          </w:tcPr>
          <w:p w14:paraId="3E9029BB">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用于家庭谋生的小商铺、小卖部的家庭</w:t>
            </w:r>
          </w:p>
        </w:tc>
        <w:tc>
          <w:tcPr>
            <w:tcW w:w="5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F703A">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收入据实核算；无法准确核算收入时参照行业标准核算。</w:t>
            </w:r>
          </w:p>
        </w:tc>
      </w:tr>
      <w:tr w14:paraId="25D155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4" w:hRule="atLeast"/>
        </w:trPr>
        <w:tc>
          <w:tcPr>
            <w:tcW w:w="996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39F854E">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本标准依据《民法典》、长政办发〔2023〕3号、望民发〔2021〕19号、湘民发〔2023〕32号文件确定；依据长政办发〔2023〕3号文：民主评议成员由乡镇人民政府（街道办事处）工作人员、村（居）民委员会党组织和工作人员、行风监督员、熟悉村（居）民委员会情况的党代表、村（居）民代表等组成。</w:t>
            </w:r>
          </w:p>
        </w:tc>
      </w:tr>
    </w:tbl>
    <w:p w14:paraId="17AB9F10">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cs="Times New Roman"/>
        </w:rPr>
        <w:sectPr>
          <w:footerReference r:id="rId3" w:type="default"/>
          <w:pgSz w:w="11906" w:h="16838"/>
          <w:pgMar w:top="1701" w:right="1531" w:bottom="1417" w:left="1587" w:header="851" w:footer="992" w:gutter="0"/>
          <w:pgNumType w:fmt="numberInDash"/>
          <w:cols w:space="0" w:num="1"/>
          <w:rtlGutter w:val="0"/>
          <w:docGrid w:type="lines" w:linePitch="313" w:charSpace="0"/>
        </w:sectPr>
      </w:pPr>
    </w:p>
    <w:p w14:paraId="4749F057">
      <w:pPr>
        <w:keepNext w:val="0"/>
        <w:keepLines w:val="0"/>
        <w:pageBreakBefore w:val="0"/>
        <w:widowControl w:val="0"/>
        <w:numPr>
          <w:ilvl w:val="0"/>
          <w:numId w:val="0"/>
        </w:numPr>
        <w:suppressLineNumbers w:val="0"/>
        <w:kinsoku/>
        <w:wordWrap/>
        <w:overflowPunct w:val="0"/>
        <w:topLinePunct w:val="0"/>
        <w:autoSpaceDE/>
        <w:autoSpaceDN/>
        <w:bidi w:val="0"/>
        <w:adjustRightInd/>
        <w:snapToGrid/>
        <w:spacing w:line="540" w:lineRule="exact"/>
        <w:jc w:val="both"/>
        <w:textAlignment w:val="auto"/>
        <w:outlineLvl w:val="9"/>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附件3</w:t>
      </w:r>
    </w:p>
    <w:p w14:paraId="5CD3C708">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望城区丁字湾街道</w:t>
      </w:r>
      <w:r>
        <w:rPr>
          <w:rFonts w:hint="default" w:ascii="方正小标宋简体" w:hAnsi="方正小标宋简体" w:eastAsia="方正小标宋简体" w:cs="方正小标宋简体"/>
          <w:sz w:val="44"/>
          <w:szCs w:val="44"/>
          <w:lang w:val="en-US" w:eastAsia="zh-CN"/>
        </w:rPr>
        <w:t>2025年单人户保核算评估</w:t>
      </w:r>
      <w:r>
        <w:rPr>
          <w:rFonts w:hint="eastAsia" w:ascii="方正小标宋简体" w:hAnsi="方正小标宋简体" w:eastAsia="方正小标宋简体" w:cs="方正小标宋简体"/>
          <w:sz w:val="44"/>
          <w:szCs w:val="44"/>
          <w:lang w:val="en-US" w:eastAsia="zh-CN"/>
        </w:rPr>
        <w:t>细则</w:t>
      </w:r>
    </w:p>
    <w:p w14:paraId="5A14975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小标宋简体" w:cs="Times New Roman"/>
          <w:sz w:val="40"/>
          <w:szCs w:val="40"/>
          <w:lang w:val="en-US" w:eastAsia="zh-CN"/>
        </w:rPr>
      </w:pPr>
    </w:p>
    <w:tbl>
      <w:tblPr>
        <w:tblStyle w:val="7"/>
        <w:tblW w:w="138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175"/>
        <w:gridCol w:w="6990"/>
        <w:gridCol w:w="2715"/>
      </w:tblGrid>
      <w:tr w14:paraId="4C784E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4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6E203">
            <w:pPr>
              <w:keepNext w:val="0"/>
              <w:keepLines w:val="0"/>
              <w:widowControl/>
              <w:suppressLineNumbers w:val="0"/>
              <w:jc w:val="center"/>
              <w:textAlignment w:val="center"/>
              <w:rPr>
                <w:rFonts w:hint="default" w:ascii="Times New Roman" w:hAnsi="Times New Roman" w:eastAsia="黑体" w:cs="Times New Roman"/>
                <w:b w:val="0"/>
                <w:bCs w:val="0"/>
                <w:i w:val="0"/>
                <w:iCs w:val="0"/>
                <w:color w:val="000000"/>
                <w:sz w:val="24"/>
                <w:szCs w:val="24"/>
                <w:u w:val="none"/>
              </w:rPr>
            </w:pPr>
            <w:r>
              <w:rPr>
                <w:rFonts w:hint="default" w:ascii="Times New Roman" w:hAnsi="Times New Roman" w:eastAsia="黑体" w:cs="Times New Roman"/>
                <w:b w:val="0"/>
                <w:bCs w:val="0"/>
                <w:i w:val="0"/>
                <w:iCs w:val="0"/>
                <w:color w:val="000000"/>
                <w:kern w:val="0"/>
                <w:sz w:val="24"/>
                <w:szCs w:val="24"/>
                <w:u w:val="none"/>
                <w:lang w:val="en-US" w:eastAsia="zh-CN" w:bidi="ar"/>
              </w:rPr>
              <w:t>人员类别</w:t>
            </w:r>
          </w:p>
        </w:tc>
        <w:tc>
          <w:tcPr>
            <w:tcW w:w="6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D4265">
            <w:pPr>
              <w:keepNext w:val="0"/>
              <w:keepLines w:val="0"/>
              <w:widowControl/>
              <w:suppressLineNumbers w:val="0"/>
              <w:jc w:val="center"/>
              <w:textAlignment w:val="center"/>
              <w:rPr>
                <w:rFonts w:hint="default" w:ascii="Times New Roman" w:hAnsi="Times New Roman" w:eastAsia="黑体" w:cs="Times New Roman"/>
                <w:b w:val="0"/>
                <w:bCs w:val="0"/>
                <w:i w:val="0"/>
                <w:iCs w:val="0"/>
                <w:color w:val="000000"/>
                <w:sz w:val="24"/>
                <w:szCs w:val="24"/>
                <w:u w:val="none"/>
              </w:rPr>
            </w:pPr>
            <w:r>
              <w:rPr>
                <w:rFonts w:hint="default" w:ascii="Times New Roman" w:hAnsi="Times New Roman" w:eastAsia="黑体" w:cs="Times New Roman"/>
                <w:b w:val="0"/>
                <w:bCs w:val="0"/>
                <w:i w:val="0"/>
                <w:iCs w:val="0"/>
                <w:color w:val="000000"/>
                <w:kern w:val="0"/>
                <w:sz w:val="24"/>
                <w:szCs w:val="24"/>
                <w:u w:val="none"/>
                <w:lang w:val="en-US" w:eastAsia="zh-CN" w:bidi="ar"/>
              </w:rPr>
              <w:t>具体标准</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84BE2">
            <w:pPr>
              <w:keepNext w:val="0"/>
              <w:keepLines w:val="0"/>
              <w:widowControl/>
              <w:suppressLineNumbers w:val="0"/>
              <w:jc w:val="center"/>
              <w:textAlignment w:val="center"/>
              <w:rPr>
                <w:rFonts w:hint="default" w:ascii="Times New Roman" w:hAnsi="Times New Roman" w:eastAsia="黑体" w:cs="Times New Roman"/>
                <w:b w:val="0"/>
                <w:bCs w:val="0"/>
                <w:i w:val="0"/>
                <w:iCs w:val="0"/>
                <w:color w:val="000000"/>
                <w:sz w:val="24"/>
                <w:szCs w:val="24"/>
                <w:u w:val="none"/>
              </w:rPr>
            </w:pPr>
            <w:r>
              <w:rPr>
                <w:rFonts w:hint="default" w:ascii="Times New Roman" w:hAnsi="Times New Roman" w:eastAsia="黑体" w:cs="Times New Roman"/>
                <w:b w:val="0"/>
                <w:bCs w:val="0"/>
                <w:i w:val="0"/>
                <w:iCs w:val="0"/>
                <w:color w:val="000000"/>
                <w:kern w:val="0"/>
                <w:sz w:val="24"/>
                <w:szCs w:val="24"/>
                <w:u w:val="none"/>
                <w:lang w:val="en-US" w:eastAsia="zh-CN" w:bidi="ar"/>
              </w:rPr>
              <w:t>享受金额</w:t>
            </w:r>
          </w:p>
        </w:tc>
      </w:tr>
      <w:tr w14:paraId="21F1E7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5" w:hRule="atLeast"/>
        </w:trPr>
        <w:tc>
          <w:tcPr>
            <w:tcW w:w="4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AD59C">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重残人员</w:t>
            </w:r>
          </w:p>
        </w:tc>
        <w:tc>
          <w:tcPr>
            <w:tcW w:w="6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C7C5F">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低保边缘家庭中，残疾证为一、二级重度残疾人以及三级精神、智力残疾人，必须纳入单人保。</w:t>
            </w:r>
          </w:p>
        </w:tc>
        <w:tc>
          <w:tcPr>
            <w:tcW w:w="27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BB47162">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单人保享受保障金为低保标准的60%（462元）。</w:t>
            </w:r>
          </w:p>
        </w:tc>
      </w:tr>
      <w:tr w14:paraId="0C897B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4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50E7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重病人员</w:t>
            </w:r>
          </w:p>
        </w:tc>
        <w:tc>
          <w:tcPr>
            <w:tcW w:w="6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4A733">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低保边缘家庭中，患有重特大疾病的人员等县级以上部门认定的其它特殊对象，必须纳入单人保。</w:t>
            </w:r>
          </w:p>
        </w:tc>
        <w:tc>
          <w:tcPr>
            <w:tcW w:w="2715" w:type="dxa"/>
            <w:vMerge w:val="continue"/>
            <w:tcBorders>
              <w:left w:val="single" w:color="000000" w:sz="4" w:space="0"/>
              <w:right w:val="single" w:color="000000" w:sz="4" w:space="0"/>
            </w:tcBorders>
            <w:shd w:val="clear" w:color="auto" w:fill="auto"/>
            <w:vAlign w:val="center"/>
          </w:tcPr>
          <w:p w14:paraId="6386B03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p>
        </w:tc>
      </w:tr>
      <w:tr w14:paraId="652BDC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4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2E800">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患有相关部门认定的慢特病、罕见病且长期服药人员</w:t>
            </w:r>
          </w:p>
        </w:tc>
        <w:tc>
          <w:tcPr>
            <w:tcW w:w="6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F8A6E">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低保边缘家庭中，对象本人无固定工作，长期需要服药花费在300元/月以上个人，并提供连续6个月的医疗票据，可纳入单人保。</w:t>
            </w:r>
          </w:p>
        </w:tc>
        <w:tc>
          <w:tcPr>
            <w:tcW w:w="27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5AF969">
            <w:pPr>
              <w:jc w:val="center"/>
              <w:rPr>
                <w:rFonts w:hint="default" w:ascii="Times New Roman" w:hAnsi="Times New Roman" w:eastAsia="宋体" w:cs="Times New Roman"/>
                <w:i w:val="0"/>
                <w:iCs w:val="0"/>
                <w:color w:val="000000"/>
                <w:sz w:val="24"/>
                <w:szCs w:val="24"/>
                <w:u w:val="none"/>
              </w:rPr>
            </w:pPr>
          </w:p>
        </w:tc>
      </w:tr>
      <w:tr w14:paraId="676998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5" w:hRule="atLeast"/>
        </w:trPr>
        <w:tc>
          <w:tcPr>
            <w:tcW w:w="4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70DC1">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0-16周岁未成年人</w:t>
            </w:r>
          </w:p>
        </w:tc>
        <w:tc>
          <w:tcPr>
            <w:tcW w:w="6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172FE">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低保边缘家庭中，持有残疾证；患有慢特病或罕见病；丧偶且单亲家庭；由祖父母、外祖父供养母实际脱离父母监管的离异家庭的未成年人，可纳入单人保。</w:t>
            </w:r>
          </w:p>
        </w:tc>
        <w:tc>
          <w:tcPr>
            <w:tcW w:w="27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2FB6BF">
            <w:pPr>
              <w:jc w:val="center"/>
              <w:rPr>
                <w:rFonts w:hint="default" w:ascii="Times New Roman" w:hAnsi="Times New Roman" w:eastAsia="宋体" w:cs="Times New Roman"/>
                <w:i w:val="0"/>
                <w:iCs w:val="0"/>
                <w:color w:val="000000"/>
                <w:sz w:val="24"/>
                <w:szCs w:val="24"/>
                <w:u w:val="none"/>
              </w:rPr>
            </w:pPr>
          </w:p>
        </w:tc>
      </w:tr>
      <w:tr w14:paraId="044C51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4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395E1">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本科及以下在读学生</w:t>
            </w:r>
          </w:p>
        </w:tc>
        <w:tc>
          <w:tcPr>
            <w:tcW w:w="6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BA029">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低保边缘家庭中，持有残疾证；患有慢特病或罕见病；丧偶且单亲家庭的高中至本科以下的全日制在读学生，可纳入单人保。</w:t>
            </w:r>
          </w:p>
        </w:tc>
        <w:tc>
          <w:tcPr>
            <w:tcW w:w="27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BF06F5">
            <w:pPr>
              <w:jc w:val="center"/>
              <w:rPr>
                <w:rFonts w:hint="default" w:ascii="Times New Roman" w:hAnsi="Times New Roman" w:eastAsia="宋体" w:cs="Times New Roman"/>
                <w:i w:val="0"/>
                <w:iCs w:val="0"/>
                <w:color w:val="000000"/>
                <w:sz w:val="24"/>
                <w:szCs w:val="24"/>
                <w:u w:val="none"/>
              </w:rPr>
            </w:pPr>
          </w:p>
        </w:tc>
      </w:tr>
      <w:tr w14:paraId="670F90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4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35ED0">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70周岁以上老年人</w:t>
            </w:r>
          </w:p>
        </w:tc>
        <w:tc>
          <w:tcPr>
            <w:tcW w:w="6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0FACE">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低保边缘家庭中，持有残疾证；患有慢特病、罕见病且长期需要服药花费在200元/月以上的70周岁老年人，并提供连续6个月的医疗票据，可纳入单人保。</w:t>
            </w:r>
          </w:p>
        </w:tc>
        <w:tc>
          <w:tcPr>
            <w:tcW w:w="2715"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14:paraId="3BE9CFF6">
            <w:pPr>
              <w:jc w:val="center"/>
              <w:rPr>
                <w:rFonts w:hint="default" w:ascii="Times New Roman" w:hAnsi="Times New Roman" w:eastAsia="宋体" w:cs="Times New Roman"/>
                <w:i w:val="0"/>
                <w:iCs w:val="0"/>
                <w:color w:val="000000"/>
                <w:sz w:val="24"/>
                <w:szCs w:val="24"/>
                <w:u w:val="none"/>
              </w:rPr>
            </w:pPr>
          </w:p>
        </w:tc>
      </w:tr>
      <w:tr w14:paraId="3295DC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0" w:hRule="atLeast"/>
        </w:trPr>
        <w:tc>
          <w:tcPr>
            <w:tcW w:w="4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C7748">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成年无业重</w:t>
            </w:r>
            <w:r>
              <w:rPr>
                <w:rFonts w:hint="default" w:ascii="Times New Roman" w:hAnsi="Times New Roman" w:cs="Times New Roman"/>
                <w:i w:val="0"/>
                <w:iCs w:val="0"/>
                <w:color w:val="000000"/>
                <w:kern w:val="0"/>
                <w:sz w:val="22"/>
                <w:szCs w:val="22"/>
                <w:u w:val="none"/>
                <w:lang w:val="en-US" w:eastAsia="zh-CN" w:bidi="ar"/>
              </w:rPr>
              <w:t>病、重度</w:t>
            </w:r>
            <w:r>
              <w:rPr>
                <w:rFonts w:hint="default" w:ascii="Times New Roman" w:hAnsi="Times New Roman" w:eastAsia="宋体" w:cs="Times New Roman"/>
                <w:i w:val="0"/>
                <w:iCs w:val="0"/>
                <w:color w:val="000000"/>
                <w:kern w:val="0"/>
                <w:sz w:val="22"/>
                <w:szCs w:val="22"/>
                <w:u w:val="none"/>
                <w:lang w:val="en-US" w:eastAsia="zh-CN" w:bidi="ar"/>
              </w:rPr>
              <w:t>残疾人</w:t>
            </w:r>
          </w:p>
        </w:tc>
        <w:tc>
          <w:tcPr>
            <w:tcW w:w="6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B05B0">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成年无业重病、重度残疾人（未婚）父母60周岁以下需认定低保边缘家庭后纳入单人保；父母年满60周岁且无抚养能力的成年无业重度残疾人可单独申请享受单户保。</w:t>
            </w:r>
          </w:p>
        </w:tc>
        <w:tc>
          <w:tcPr>
            <w:tcW w:w="2715" w:type="dxa"/>
            <w:tcBorders>
              <w:top w:val="single" w:color="auto" w:sz="4" w:space="0"/>
              <w:left w:val="single" w:color="000000" w:sz="4" w:space="0"/>
              <w:bottom w:val="single" w:color="auto" w:sz="4" w:space="0"/>
              <w:right w:val="single" w:color="000000" w:sz="4" w:space="0"/>
            </w:tcBorders>
            <w:shd w:val="clear" w:color="auto" w:fill="auto"/>
            <w:vAlign w:val="center"/>
          </w:tcPr>
          <w:p w14:paraId="1FEEA55B">
            <w:pPr>
              <w:jc w:val="center"/>
              <w:rPr>
                <w:rFonts w:hint="default" w:ascii="Times New Roman" w:hAnsi="Times New Roman" w:eastAsia="宋体" w:cs="Times New Roman"/>
                <w:i w:val="0"/>
                <w:iCs w:val="0"/>
                <w:color w:val="000000"/>
                <w:sz w:val="24"/>
                <w:szCs w:val="24"/>
                <w:u w:val="none"/>
                <w:lang w:eastAsia="zh-CN"/>
              </w:rPr>
            </w:pPr>
            <w:r>
              <w:rPr>
                <w:rFonts w:hint="default" w:ascii="Times New Roman" w:hAnsi="Times New Roman" w:eastAsia="宋体" w:cs="Times New Roman"/>
                <w:i w:val="0"/>
                <w:iCs w:val="0"/>
                <w:color w:val="000000"/>
                <w:sz w:val="24"/>
                <w:szCs w:val="24"/>
                <w:u w:val="none"/>
                <w:lang w:eastAsia="zh-CN"/>
              </w:rPr>
              <w:t>据实核算。</w:t>
            </w:r>
          </w:p>
        </w:tc>
      </w:tr>
      <w:tr w14:paraId="2E232C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1388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F0C85B6">
            <w:pPr>
              <w:keepNext w:val="0"/>
              <w:keepLines w:val="0"/>
              <w:widowControl/>
              <w:suppressLineNumbers w:val="0"/>
              <w:jc w:val="left"/>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本标准依据《民法典》、长民发〔2022〕20号、长政办发〔2023〕3号、湘民发〔2023〕32号文件制定。</w:t>
            </w:r>
          </w:p>
        </w:tc>
      </w:tr>
    </w:tbl>
    <w:p w14:paraId="565280BE">
      <w:pPr>
        <w:keepNext w:val="0"/>
        <w:keepLines w:val="0"/>
        <w:pageBreakBefore w:val="0"/>
        <w:widowControl w:val="0"/>
        <w:numPr>
          <w:ilvl w:val="0"/>
          <w:numId w:val="0"/>
        </w:numPr>
        <w:suppressLineNumbers w:val="0"/>
        <w:kinsoku/>
        <w:wordWrap/>
        <w:overflowPunct w:val="0"/>
        <w:topLinePunct w:val="0"/>
        <w:autoSpaceDE/>
        <w:autoSpaceDN/>
        <w:bidi w:val="0"/>
        <w:adjustRightInd/>
        <w:snapToGrid/>
        <w:spacing w:line="540" w:lineRule="exact"/>
        <w:jc w:val="both"/>
        <w:textAlignment w:val="auto"/>
        <w:outlineLvl w:val="9"/>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附件4</w:t>
      </w:r>
    </w:p>
    <w:p w14:paraId="62EFB8BE">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望城区丁字湾街道</w:t>
      </w:r>
      <w:r>
        <w:rPr>
          <w:rFonts w:hint="default" w:ascii="方正小标宋简体" w:hAnsi="方正小标宋简体" w:eastAsia="方正小标宋简体" w:cs="方正小标宋简体"/>
          <w:sz w:val="44"/>
          <w:szCs w:val="44"/>
          <w:lang w:val="en-US" w:eastAsia="zh-CN"/>
        </w:rPr>
        <w:t>2025年临时救助执行</w:t>
      </w:r>
      <w:r>
        <w:rPr>
          <w:rFonts w:hint="eastAsia" w:ascii="方正小标宋简体" w:hAnsi="方正小标宋简体" w:eastAsia="方正小标宋简体" w:cs="方正小标宋简体"/>
          <w:sz w:val="44"/>
          <w:szCs w:val="44"/>
          <w:lang w:val="en-US" w:eastAsia="zh-CN"/>
        </w:rPr>
        <w:t>细则</w:t>
      </w:r>
    </w:p>
    <w:p w14:paraId="2E6944C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小标宋简体" w:cs="Times New Roman"/>
          <w:sz w:val="40"/>
          <w:szCs w:val="40"/>
          <w:lang w:val="en-US" w:eastAsia="zh-CN"/>
        </w:rPr>
      </w:pPr>
    </w:p>
    <w:tbl>
      <w:tblPr>
        <w:tblStyle w:val="7"/>
        <w:tblW w:w="15555" w:type="dxa"/>
        <w:tblInd w:w="-68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13"/>
        <w:gridCol w:w="837"/>
        <w:gridCol w:w="1661"/>
        <w:gridCol w:w="2064"/>
        <w:gridCol w:w="1960"/>
        <w:gridCol w:w="1172"/>
        <w:gridCol w:w="1843"/>
        <w:gridCol w:w="1365"/>
        <w:gridCol w:w="2426"/>
        <w:gridCol w:w="1414"/>
      </w:tblGrid>
      <w:tr w14:paraId="758484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8" w:hRule="atLeast"/>
        </w:trPr>
        <w:tc>
          <w:tcPr>
            <w:tcW w:w="813" w:type="dxa"/>
            <w:tcBorders>
              <w:top w:val="single" w:color="auto" w:sz="4" w:space="0"/>
              <w:left w:val="single" w:color="auto" w:sz="4" w:space="0"/>
              <w:bottom w:val="single" w:color="auto" w:sz="4" w:space="0"/>
              <w:right w:val="single" w:color="auto" w:sz="4" w:space="0"/>
            </w:tcBorders>
            <w:shd w:val="clear" w:color="auto" w:fill="auto"/>
            <w:vAlign w:val="center"/>
          </w:tcPr>
          <w:p w14:paraId="7B7FE5FF">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黑体" w:cs="Times New Roman"/>
                <w:i w:val="0"/>
                <w:iCs w:val="0"/>
                <w:color w:val="000000"/>
                <w:sz w:val="18"/>
                <w:szCs w:val="18"/>
                <w:u w:val="none"/>
              </w:rPr>
            </w:pPr>
            <w:r>
              <w:rPr>
                <w:rFonts w:hint="default" w:ascii="Times New Roman" w:hAnsi="Times New Roman" w:eastAsia="黑体" w:cs="Times New Roman"/>
                <w:i w:val="0"/>
                <w:iCs w:val="0"/>
                <w:color w:val="000000"/>
                <w:kern w:val="0"/>
                <w:sz w:val="18"/>
                <w:szCs w:val="18"/>
                <w:u w:val="none"/>
                <w:lang w:val="en-US" w:eastAsia="zh-CN" w:bidi="ar"/>
              </w:rPr>
              <w:t>序号</w:t>
            </w:r>
          </w:p>
        </w:tc>
        <w:tc>
          <w:tcPr>
            <w:tcW w:w="837" w:type="dxa"/>
            <w:tcBorders>
              <w:top w:val="single" w:color="auto" w:sz="4" w:space="0"/>
              <w:left w:val="single" w:color="auto" w:sz="4" w:space="0"/>
              <w:bottom w:val="single" w:color="auto" w:sz="4" w:space="0"/>
              <w:right w:val="single" w:color="auto" w:sz="4" w:space="0"/>
            </w:tcBorders>
            <w:shd w:val="clear" w:color="auto" w:fill="auto"/>
            <w:vAlign w:val="center"/>
          </w:tcPr>
          <w:p w14:paraId="339C4593">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黑体" w:cs="Times New Roman"/>
                <w:i w:val="0"/>
                <w:iCs w:val="0"/>
                <w:color w:val="000000"/>
                <w:sz w:val="18"/>
                <w:szCs w:val="18"/>
                <w:u w:val="none"/>
              </w:rPr>
            </w:pPr>
            <w:r>
              <w:rPr>
                <w:rFonts w:hint="default" w:ascii="Times New Roman" w:hAnsi="Times New Roman" w:eastAsia="黑体" w:cs="Times New Roman"/>
                <w:i w:val="0"/>
                <w:iCs w:val="0"/>
                <w:color w:val="000000"/>
                <w:kern w:val="0"/>
                <w:sz w:val="18"/>
                <w:szCs w:val="18"/>
                <w:u w:val="none"/>
                <w:lang w:val="en-US" w:eastAsia="zh-CN" w:bidi="ar"/>
              </w:rPr>
              <w:t>救助类型</w:t>
            </w:r>
          </w:p>
        </w:tc>
        <w:tc>
          <w:tcPr>
            <w:tcW w:w="1661" w:type="dxa"/>
            <w:tcBorders>
              <w:top w:val="single" w:color="auto" w:sz="4" w:space="0"/>
              <w:left w:val="single" w:color="auto" w:sz="4" w:space="0"/>
              <w:bottom w:val="single" w:color="auto" w:sz="4" w:space="0"/>
              <w:right w:val="single" w:color="auto" w:sz="4" w:space="0"/>
            </w:tcBorders>
            <w:shd w:val="clear" w:color="auto" w:fill="auto"/>
            <w:vAlign w:val="center"/>
          </w:tcPr>
          <w:p w14:paraId="0D11D341">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黑体" w:cs="Times New Roman"/>
                <w:i w:val="0"/>
                <w:iCs w:val="0"/>
                <w:color w:val="000000"/>
                <w:sz w:val="18"/>
                <w:szCs w:val="18"/>
                <w:u w:val="none"/>
              </w:rPr>
            </w:pPr>
            <w:r>
              <w:rPr>
                <w:rFonts w:hint="default" w:ascii="Times New Roman" w:hAnsi="Times New Roman" w:eastAsia="黑体" w:cs="Times New Roman"/>
                <w:i w:val="0"/>
                <w:iCs w:val="0"/>
                <w:color w:val="000000"/>
                <w:kern w:val="0"/>
                <w:sz w:val="18"/>
                <w:szCs w:val="18"/>
                <w:u w:val="none"/>
                <w:lang w:val="en-US" w:eastAsia="zh-CN" w:bidi="ar"/>
              </w:rPr>
              <w:t>对象类别</w:t>
            </w:r>
          </w:p>
        </w:tc>
        <w:tc>
          <w:tcPr>
            <w:tcW w:w="2064" w:type="dxa"/>
            <w:tcBorders>
              <w:top w:val="single" w:color="auto" w:sz="4" w:space="0"/>
              <w:left w:val="single" w:color="auto" w:sz="4" w:space="0"/>
              <w:bottom w:val="single" w:color="auto" w:sz="4" w:space="0"/>
              <w:right w:val="single" w:color="auto" w:sz="4" w:space="0"/>
            </w:tcBorders>
            <w:shd w:val="clear" w:color="auto" w:fill="auto"/>
            <w:vAlign w:val="center"/>
          </w:tcPr>
          <w:p w14:paraId="41F360E7">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黑体" w:cs="Times New Roman"/>
                <w:i w:val="0"/>
                <w:iCs w:val="0"/>
                <w:color w:val="000000"/>
                <w:sz w:val="18"/>
                <w:szCs w:val="18"/>
                <w:u w:val="none"/>
              </w:rPr>
            </w:pPr>
            <w:r>
              <w:rPr>
                <w:rFonts w:hint="default" w:ascii="Times New Roman" w:hAnsi="Times New Roman" w:eastAsia="黑体" w:cs="Times New Roman"/>
                <w:i w:val="0"/>
                <w:iCs w:val="0"/>
                <w:color w:val="000000"/>
                <w:kern w:val="0"/>
                <w:sz w:val="18"/>
                <w:szCs w:val="18"/>
                <w:u w:val="none"/>
                <w:lang w:val="en-US" w:eastAsia="zh-CN" w:bidi="ar"/>
              </w:rPr>
              <w:t>家庭情况</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049C2551">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黑体" w:cs="Times New Roman"/>
                <w:i w:val="0"/>
                <w:iCs w:val="0"/>
                <w:color w:val="000000"/>
                <w:sz w:val="18"/>
                <w:szCs w:val="18"/>
                <w:u w:val="none"/>
              </w:rPr>
            </w:pPr>
            <w:r>
              <w:rPr>
                <w:rFonts w:hint="default" w:ascii="Times New Roman" w:hAnsi="Times New Roman" w:eastAsia="黑体" w:cs="Times New Roman"/>
                <w:i w:val="0"/>
                <w:iCs w:val="0"/>
                <w:color w:val="000000"/>
                <w:kern w:val="0"/>
                <w:sz w:val="18"/>
                <w:szCs w:val="18"/>
                <w:u w:val="none"/>
                <w:lang w:val="en-US" w:eastAsia="zh-CN" w:bidi="ar"/>
              </w:rPr>
              <w:t>自付金额</w:t>
            </w:r>
          </w:p>
        </w:tc>
        <w:tc>
          <w:tcPr>
            <w:tcW w:w="1172" w:type="dxa"/>
            <w:tcBorders>
              <w:top w:val="single" w:color="auto" w:sz="4" w:space="0"/>
              <w:left w:val="single" w:color="auto" w:sz="4" w:space="0"/>
              <w:bottom w:val="single" w:color="auto" w:sz="4" w:space="0"/>
              <w:right w:val="single" w:color="auto" w:sz="4" w:space="0"/>
            </w:tcBorders>
            <w:shd w:val="clear" w:color="auto" w:fill="auto"/>
            <w:vAlign w:val="center"/>
          </w:tcPr>
          <w:p w14:paraId="738A4681">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黑体" w:cs="Times New Roman"/>
                <w:i w:val="0"/>
                <w:iCs w:val="0"/>
                <w:color w:val="000000"/>
                <w:sz w:val="18"/>
                <w:szCs w:val="18"/>
                <w:u w:val="none"/>
              </w:rPr>
            </w:pPr>
            <w:r>
              <w:rPr>
                <w:rFonts w:hint="default" w:ascii="Times New Roman" w:hAnsi="Times New Roman" w:eastAsia="黑体" w:cs="Times New Roman"/>
                <w:i w:val="0"/>
                <w:iCs w:val="0"/>
                <w:color w:val="000000"/>
                <w:kern w:val="0"/>
                <w:sz w:val="18"/>
                <w:szCs w:val="18"/>
                <w:u w:val="none"/>
                <w:lang w:val="en-US" w:eastAsia="zh-CN" w:bidi="ar"/>
              </w:rPr>
              <w:t>车辆</w:t>
            </w:r>
          </w:p>
        </w:tc>
        <w:tc>
          <w:tcPr>
            <w:tcW w:w="1843" w:type="dxa"/>
            <w:tcBorders>
              <w:top w:val="single" w:color="auto" w:sz="4" w:space="0"/>
              <w:left w:val="single" w:color="auto" w:sz="4" w:space="0"/>
              <w:bottom w:val="single" w:color="auto" w:sz="4" w:space="0"/>
              <w:right w:val="single" w:color="auto" w:sz="4" w:space="0"/>
            </w:tcBorders>
            <w:shd w:val="clear" w:color="auto" w:fill="auto"/>
            <w:vAlign w:val="center"/>
          </w:tcPr>
          <w:p w14:paraId="402DF12A">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黑体" w:cs="Times New Roman"/>
                <w:i w:val="0"/>
                <w:iCs w:val="0"/>
                <w:color w:val="000000"/>
                <w:sz w:val="18"/>
                <w:szCs w:val="18"/>
                <w:u w:val="none"/>
              </w:rPr>
            </w:pPr>
            <w:r>
              <w:rPr>
                <w:rFonts w:hint="default" w:ascii="Times New Roman" w:hAnsi="Times New Roman" w:eastAsia="黑体" w:cs="Times New Roman"/>
                <w:i w:val="0"/>
                <w:iCs w:val="0"/>
                <w:color w:val="000000"/>
                <w:kern w:val="0"/>
                <w:sz w:val="18"/>
                <w:szCs w:val="18"/>
                <w:u w:val="none"/>
                <w:lang w:val="en-US" w:eastAsia="zh-CN" w:bidi="ar"/>
              </w:rPr>
              <w:t>房产</w:t>
            </w:r>
          </w:p>
        </w:tc>
        <w:tc>
          <w:tcPr>
            <w:tcW w:w="1365" w:type="dxa"/>
            <w:tcBorders>
              <w:top w:val="single" w:color="auto" w:sz="4" w:space="0"/>
              <w:left w:val="single" w:color="auto" w:sz="4" w:space="0"/>
              <w:bottom w:val="single" w:color="auto" w:sz="4" w:space="0"/>
              <w:right w:val="single" w:color="auto" w:sz="4" w:space="0"/>
            </w:tcBorders>
            <w:shd w:val="clear" w:color="auto" w:fill="auto"/>
            <w:vAlign w:val="center"/>
          </w:tcPr>
          <w:p w14:paraId="10D4D713">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黑体" w:cs="Times New Roman"/>
                <w:i w:val="0"/>
                <w:iCs w:val="0"/>
                <w:color w:val="000000"/>
                <w:sz w:val="18"/>
                <w:szCs w:val="18"/>
                <w:u w:val="none"/>
              </w:rPr>
            </w:pPr>
            <w:r>
              <w:rPr>
                <w:rFonts w:hint="default" w:ascii="Times New Roman" w:hAnsi="Times New Roman" w:eastAsia="黑体" w:cs="Times New Roman"/>
                <w:i w:val="0"/>
                <w:iCs w:val="0"/>
                <w:color w:val="000000"/>
                <w:kern w:val="0"/>
                <w:sz w:val="18"/>
                <w:szCs w:val="18"/>
                <w:u w:val="none"/>
                <w:lang w:val="en-US" w:eastAsia="zh-CN" w:bidi="ar"/>
              </w:rPr>
              <w:t>工资性收入</w:t>
            </w:r>
            <w:r>
              <w:rPr>
                <w:rFonts w:hint="default" w:ascii="Times New Roman" w:hAnsi="Times New Roman" w:eastAsia="黑体" w:cs="Times New Roman"/>
                <w:i w:val="0"/>
                <w:iCs w:val="0"/>
                <w:color w:val="000000"/>
                <w:kern w:val="0"/>
                <w:sz w:val="18"/>
                <w:szCs w:val="18"/>
                <w:u w:val="none"/>
                <w:lang w:val="en-US" w:eastAsia="zh-CN" w:bidi="ar"/>
              </w:rPr>
              <w:br w:type="textWrapping"/>
            </w:r>
            <w:r>
              <w:rPr>
                <w:rFonts w:hint="default" w:ascii="Times New Roman" w:hAnsi="Times New Roman" w:eastAsia="黑体" w:cs="Times New Roman"/>
                <w:i w:val="0"/>
                <w:iCs w:val="0"/>
                <w:color w:val="000000"/>
                <w:kern w:val="0"/>
                <w:sz w:val="18"/>
                <w:szCs w:val="18"/>
                <w:u w:val="none"/>
                <w:lang w:val="en-US" w:eastAsia="zh-CN" w:bidi="ar"/>
              </w:rPr>
              <w:t>（家庭/月）</w:t>
            </w:r>
          </w:p>
        </w:tc>
        <w:tc>
          <w:tcPr>
            <w:tcW w:w="2426" w:type="dxa"/>
            <w:tcBorders>
              <w:top w:val="single" w:color="auto" w:sz="4" w:space="0"/>
              <w:left w:val="single" w:color="auto" w:sz="4" w:space="0"/>
              <w:bottom w:val="single" w:color="auto" w:sz="4" w:space="0"/>
              <w:right w:val="single" w:color="auto" w:sz="4" w:space="0"/>
            </w:tcBorders>
            <w:shd w:val="clear" w:color="auto" w:fill="auto"/>
            <w:vAlign w:val="center"/>
          </w:tcPr>
          <w:p w14:paraId="74B51262">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黑体" w:cs="Times New Roman"/>
                <w:i w:val="0"/>
                <w:iCs w:val="0"/>
                <w:color w:val="000000"/>
                <w:sz w:val="18"/>
                <w:szCs w:val="18"/>
                <w:u w:val="none"/>
              </w:rPr>
            </w:pPr>
            <w:r>
              <w:rPr>
                <w:rFonts w:hint="default" w:ascii="Times New Roman" w:hAnsi="Times New Roman" w:eastAsia="黑体" w:cs="Times New Roman"/>
                <w:i w:val="0"/>
                <w:iCs w:val="0"/>
                <w:color w:val="000000"/>
                <w:kern w:val="0"/>
                <w:sz w:val="18"/>
                <w:szCs w:val="18"/>
                <w:u w:val="none"/>
                <w:lang w:val="en-US" w:eastAsia="zh-CN" w:bidi="ar"/>
              </w:rPr>
              <w:t>救助金额（参照标准）</w:t>
            </w:r>
          </w:p>
        </w:tc>
        <w:tc>
          <w:tcPr>
            <w:tcW w:w="1414" w:type="dxa"/>
            <w:tcBorders>
              <w:top w:val="single" w:color="auto" w:sz="4" w:space="0"/>
              <w:left w:val="single" w:color="auto" w:sz="4" w:space="0"/>
              <w:bottom w:val="single" w:color="auto" w:sz="4" w:space="0"/>
              <w:right w:val="single" w:color="auto" w:sz="4" w:space="0"/>
            </w:tcBorders>
            <w:shd w:val="clear" w:color="auto" w:fill="auto"/>
            <w:vAlign w:val="center"/>
          </w:tcPr>
          <w:p w14:paraId="7856514C">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黑体" w:cs="Times New Roman"/>
                <w:i w:val="0"/>
                <w:iCs w:val="0"/>
                <w:color w:val="000000"/>
                <w:sz w:val="18"/>
                <w:szCs w:val="18"/>
                <w:u w:val="none"/>
              </w:rPr>
            </w:pPr>
            <w:r>
              <w:rPr>
                <w:rFonts w:hint="default" w:ascii="Times New Roman" w:hAnsi="Times New Roman" w:eastAsia="黑体" w:cs="Times New Roman"/>
                <w:i w:val="0"/>
                <w:iCs w:val="0"/>
                <w:color w:val="000000"/>
                <w:kern w:val="0"/>
                <w:sz w:val="18"/>
                <w:szCs w:val="18"/>
                <w:u w:val="none"/>
                <w:lang w:val="en-US" w:eastAsia="zh-CN" w:bidi="ar"/>
              </w:rPr>
              <w:t>备注</w:t>
            </w:r>
          </w:p>
        </w:tc>
      </w:tr>
      <w:tr w14:paraId="633E8D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2" w:hRule="atLeast"/>
        </w:trPr>
        <w:tc>
          <w:tcPr>
            <w:tcW w:w="81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7E1EA64">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w:t>
            </w:r>
          </w:p>
        </w:tc>
        <w:tc>
          <w:tcPr>
            <w:tcW w:w="83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8D46A1D">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急难性临时救助</w:t>
            </w:r>
          </w:p>
        </w:tc>
        <w:tc>
          <w:tcPr>
            <w:tcW w:w="166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6707A38">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①长沙市望城区户籍对象( 含共同生活的非长沙市望城区户籍的配偶和子女);②非长沙市望城区户籍的个人(提供在长沙市望城区连续缴纳12个月社会保险证明)。</w:t>
            </w:r>
          </w:p>
        </w:tc>
        <w:tc>
          <w:tcPr>
            <w:tcW w:w="206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20FCFD3">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年度范围内，突发意外、突发重大疾病、其他突发情况。（提供年度内住院或门诊发票原件及结算单，特殊药物票据按支出型临时救助执行）</w:t>
            </w:r>
          </w:p>
        </w:tc>
        <w:tc>
          <w:tcPr>
            <w:tcW w:w="19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138EBC3">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10万以下，</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10万以上</w:t>
            </w:r>
          </w:p>
        </w:tc>
        <w:tc>
          <w:tcPr>
            <w:tcW w:w="1172" w:type="dxa"/>
            <w:tcBorders>
              <w:top w:val="single" w:color="auto" w:sz="4" w:space="0"/>
              <w:left w:val="single" w:color="auto" w:sz="4" w:space="0"/>
              <w:bottom w:val="single" w:color="auto" w:sz="4" w:space="0"/>
              <w:right w:val="single" w:color="auto" w:sz="4" w:space="0"/>
            </w:tcBorders>
            <w:shd w:val="clear" w:color="auto" w:fill="auto"/>
            <w:vAlign w:val="center"/>
          </w:tcPr>
          <w:p w14:paraId="790A3A4B">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无</w:t>
            </w:r>
          </w:p>
        </w:tc>
        <w:tc>
          <w:tcPr>
            <w:tcW w:w="1843" w:type="dxa"/>
            <w:tcBorders>
              <w:top w:val="single" w:color="auto" w:sz="4" w:space="0"/>
              <w:left w:val="single" w:color="auto" w:sz="4" w:space="0"/>
              <w:bottom w:val="single" w:color="auto" w:sz="4" w:space="0"/>
              <w:right w:val="single" w:color="auto" w:sz="4" w:space="0"/>
            </w:tcBorders>
            <w:shd w:val="clear" w:color="auto" w:fill="auto"/>
            <w:vAlign w:val="center"/>
          </w:tcPr>
          <w:p w14:paraId="48836336">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家庭唯一住房</w:t>
            </w:r>
          </w:p>
        </w:tc>
        <w:tc>
          <w:tcPr>
            <w:tcW w:w="1365" w:type="dxa"/>
            <w:tcBorders>
              <w:top w:val="single" w:color="auto" w:sz="4" w:space="0"/>
              <w:left w:val="single" w:color="auto" w:sz="4" w:space="0"/>
              <w:bottom w:val="single" w:color="auto" w:sz="4" w:space="0"/>
              <w:right w:val="single" w:color="auto" w:sz="4" w:space="0"/>
            </w:tcBorders>
            <w:shd w:val="clear" w:color="auto" w:fill="auto"/>
            <w:vAlign w:val="center"/>
          </w:tcPr>
          <w:p w14:paraId="799792D2">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无</w:t>
            </w:r>
          </w:p>
        </w:tc>
        <w:tc>
          <w:tcPr>
            <w:tcW w:w="2426" w:type="dxa"/>
            <w:tcBorders>
              <w:top w:val="single" w:color="auto" w:sz="4" w:space="0"/>
              <w:left w:val="single" w:color="auto" w:sz="4" w:space="0"/>
              <w:bottom w:val="single" w:color="auto" w:sz="4" w:space="0"/>
              <w:right w:val="single" w:color="auto" w:sz="4" w:space="0"/>
            </w:tcBorders>
            <w:shd w:val="clear" w:color="auto" w:fill="auto"/>
            <w:vAlign w:val="center"/>
          </w:tcPr>
          <w:p w14:paraId="18941938">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10万以内按照10%救助，10万以上超出部分按照30%。</w:t>
            </w:r>
          </w:p>
        </w:tc>
        <w:tc>
          <w:tcPr>
            <w:tcW w:w="1414" w:type="dxa"/>
            <w:tcBorders>
              <w:top w:val="single" w:color="auto" w:sz="4" w:space="0"/>
              <w:left w:val="single" w:color="auto" w:sz="4" w:space="0"/>
              <w:bottom w:val="single" w:color="auto" w:sz="4" w:space="0"/>
              <w:right w:val="single" w:color="auto" w:sz="4" w:space="0"/>
            </w:tcBorders>
            <w:shd w:val="clear" w:color="auto" w:fill="auto"/>
            <w:vAlign w:val="center"/>
          </w:tcPr>
          <w:p w14:paraId="6E2C757C">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按文件执行</w:t>
            </w:r>
          </w:p>
        </w:tc>
      </w:tr>
      <w:tr w14:paraId="5EF5AF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0" w:hRule="atLeast"/>
        </w:trPr>
        <w:tc>
          <w:tcPr>
            <w:tcW w:w="81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8EF58A2">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83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0CCC2A2">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166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0B0BB96">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206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A140370">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19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1D74894">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1172" w:type="dxa"/>
            <w:tcBorders>
              <w:top w:val="single" w:color="auto" w:sz="4" w:space="0"/>
              <w:left w:val="single" w:color="auto" w:sz="4" w:space="0"/>
              <w:bottom w:val="single" w:color="auto" w:sz="4" w:space="0"/>
              <w:right w:val="single" w:color="auto" w:sz="4" w:space="0"/>
            </w:tcBorders>
            <w:shd w:val="clear" w:color="auto" w:fill="auto"/>
            <w:vAlign w:val="center"/>
          </w:tcPr>
          <w:p w14:paraId="105F0D54">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1台（车辆价值在5万元以下）</w:t>
            </w:r>
          </w:p>
        </w:tc>
        <w:tc>
          <w:tcPr>
            <w:tcW w:w="1843" w:type="dxa"/>
            <w:tcBorders>
              <w:top w:val="single" w:color="auto" w:sz="4" w:space="0"/>
              <w:left w:val="single" w:color="auto" w:sz="4" w:space="0"/>
              <w:bottom w:val="single" w:color="auto" w:sz="4" w:space="0"/>
              <w:right w:val="single" w:color="auto" w:sz="4" w:space="0"/>
            </w:tcBorders>
            <w:shd w:val="clear" w:color="auto" w:fill="auto"/>
            <w:vAlign w:val="center"/>
          </w:tcPr>
          <w:p w14:paraId="50C9139F">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除农村唯一住房外另有一套商品房（征收指标房2套及以下）</w:t>
            </w:r>
          </w:p>
        </w:tc>
        <w:tc>
          <w:tcPr>
            <w:tcW w:w="1365" w:type="dxa"/>
            <w:tcBorders>
              <w:top w:val="single" w:color="auto" w:sz="4" w:space="0"/>
              <w:left w:val="single" w:color="auto" w:sz="4" w:space="0"/>
              <w:bottom w:val="single" w:color="auto" w:sz="4" w:space="0"/>
              <w:right w:val="single" w:color="auto" w:sz="4" w:space="0"/>
            </w:tcBorders>
            <w:shd w:val="clear" w:color="auto" w:fill="auto"/>
            <w:vAlign w:val="center"/>
          </w:tcPr>
          <w:p w14:paraId="1EE1E8FB">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实际工资收入5000元以上</w:t>
            </w:r>
          </w:p>
        </w:tc>
        <w:tc>
          <w:tcPr>
            <w:tcW w:w="2426" w:type="dxa"/>
            <w:tcBorders>
              <w:top w:val="single" w:color="auto" w:sz="4" w:space="0"/>
              <w:left w:val="single" w:color="auto" w:sz="4" w:space="0"/>
              <w:bottom w:val="single" w:color="auto" w:sz="4" w:space="0"/>
              <w:right w:val="single" w:color="auto" w:sz="4" w:space="0"/>
            </w:tcBorders>
            <w:shd w:val="clear" w:color="auto" w:fill="auto"/>
            <w:vAlign w:val="center"/>
          </w:tcPr>
          <w:p w14:paraId="4FE51576">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自付金额5万以下不予批准；自付金额在5万以上，根据村社区民主评议通过后报区救助中心审批。</w:t>
            </w:r>
          </w:p>
        </w:tc>
        <w:tc>
          <w:tcPr>
            <w:tcW w:w="1414" w:type="dxa"/>
            <w:tcBorders>
              <w:top w:val="single" w:color="auto" w:sz="4" w:space="0"/>
              <w:left w:val="single" w:color="auto" w:sz="4" w:space="0"/>
              <w:bottom w:val="single" w:color="auto" w:sz="4" w:space="0"/>
              <w:right w:val="single" w:color="auto" w:sz="4" w:space="0"/>
            </w:tcBorders>
            <w:shd w:val="clear" w:color="auto" w:fill="auto"/>
            <w:vAlign w:val="center"/>
          </w:tcPr>
          <w:p w14:paraId="39FD29A6">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车辆、房产、社保等不超过两项</w:t>
            </w:r>
          </w:p>
        </w:tc>
      </w:tr>
      <w:tr w14:paraId="6DC8CD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7" w:hRule="atLeast"/>
        </w:trPr>
        <w:tc>
          <w:tcPr>
            <w:tcW w:w="81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B951D48">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83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C7E381E">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166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A139AA4">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206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2313741">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19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B10101B">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1172" w:type="dxa"/>
            <w:tcBorders>
              <w:top w:val="single" w:color="auto" w:sz="4" w:space="0"/>
              <w:left w:val="single" w:color="auto" w:sz="4" w:space="0"/>
              <w:bottom w:val="single" w:color="auto" w:sz="4" w:space="0"/>
              <w:right w:val="single" w:color="auto" w:sz="4" w:space="0"/>
            </w:tcBorders>
            <w:shd w:val="clear" w:color="auto" w:fill="auto"/>
            <w:vAlign w:val="center"/>
          </w:tcPr>
          <w:p w14:paraId="1E9BD2D4">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2台（含）</w:t>
            </w:r>
          </w:p>
        </w:tc>
        <w:tc>
          <w:tcPr>
            <w:tcW w:w="1843" w:type="dxa"/>
            <w:tcBorders>
              <w:top w:val="single" w:color="auto" w:sz="4" w:space="0"/>
              <w:left w:val="single" w:color="auto" w:sz="4" w:space="0"/>
              <w:bottom w:val="single" w:color="auto" w:sz="4" w:space="0"/>
              <w:right w:val="single" w:color="auto" w:sz="4" w:space="0"/>
            </w:tcBorders>
            <w:shd w:val="clear" w:color="auto" w:fill="auto"/>
            <w:vAlign w:val="center"/>
          </w:tcPr>
          <w:p w14:paraId="7E1C453E">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拥有2套及以上商品房（征收指标房3套及以上）</w:t>
            </w:r>
          </w:p>
        </w:tc>
        <w:tc>
          <w:tcPr>
            <w:tcW w:w="1365" w:type="dxa"/>
            <w:tcBorders>
              <w:top w:val="single" w:color="auto" w:sz="4" w:space="0"/>
              <w:left w:val="single" w:color="auto" w:sz="4" w:space="0"/>
              <w:bottom w:val="single" w:color="auto" w:sz="4" w:space="0"/>
              <w:right w:val="single" w:color="auto" w:sz="4" w:space="0"/>
            </w:tcBorders>
            <w:shd w:val="clear" w:color="auto" w:fill="auto"/>
            <w:vAlign w:val="center"/>
          </w:tcPr>
          <w:p w14:paraId="63985BCF">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实际工资收入1万元以上</w:t>
            </w:r>
          </w:p>
        </w:tc>
        <w:tc>
          <w:tcPr>
            <w:tcW w:w="2426" w:type="dxa"/>
            <w:tcBorders>
              <w:top w:val="single" w:color="auto" w:sz="4" w:space="0"/>
              <w:left w:val="single" w:color="auto" w:sz="4" w:space="0"/>
              <w:bottom w:val="single" w:color="auto" w:sz="4" w:space="0"/>
              <w:right w:val="single" w:color="auto" w:sz="4" w:space="0"/>
            </w:tcBorders>
            <w:shd w:val="clear" w:color="auto" w:fill="auto"/>
            <w:vAlign w:val="center"/>
          </w:tcPr>
          <w:p w14:paraId="2F3781A9">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不予批准</w:t>
            </w:r>
          </w:p>
        </w:tc>
        <w:tc>
          <w:tcPr>
            <w:tcW w:w="1414" w:type="dxa"/>
            <w:tcBorders>
              <w:top w:val="single" w:color="auto" w:sz="4" w:space="0"/>
              <w:left w:val="single" w:color="auto" w:sz="4" w:space="0"/>
              <w:bottom w:val="single" w:color="auto" w:sz="4" w:space="0"/>
              <w:right w:val="single" w:color="auto" w:sz="4" w:space="0"/>
            </w:tcBorders>
            <w:shd w:val="clear" w:color="auto" w:fill="auto"/>
            <w:vAlign w:val="center"/>
          </w:tcPr>
          <w:p w14:paraId="7F5A23EF">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车辆、房产、社保等有且只占一项</w:t>
            </w:r>
          </w:p>
        </w:tc>
      </w:tr>
      <w:tr w14:paraId="4F8E92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3" w:hRule="atLeast"/>
        </w:trPr>
        <w:tc>
          <w:tcPr>
            <w:tcW w:w="81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EDBD06B">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83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5ACE676">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166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8A3E153">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2064" w:type="dxa"/>
            <w:tcBorders>
              <w:top w:val="single" w:color="auto" w:sz="4" w:space="0"/>
              <w:left w:val="single" w:color="auto" w:sz="4" w:space="0"/>
              <w:bottom w:val="single" w:color="auto" w:sz="4" w:space="0"/>
              <w:right w:val="single" w:color="auto" w:sz="4" w:space="0"/>
            </w:tcBorders>
            <w:shd w:val="clear" w:color="auto" w:fill="auto"/>
            <w:vAlign w:val="center"/>
          </w:tcPr>
          <w:p w14:paraId="6688245F">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独子死亡、交通事故等意外事故。</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0D2E5381">
            <w:pPr>
              <w:keepNext w:val="0"/>
              <w:keepLines w:val="0"/>
              <w:pageBreakBefore w:val="0"/>
              <w:widowControl w:val="0"/>
              <w:suppressLineNumbers w:val="0"/>
              <w:kinsoku/>
              <w:wordWrap/>
              <w:overflowPunct w:val="0"/>
              <w:topLinePunct w:val="0"/>
              <w:autoSpaceDE/>
              <w:autoSpaceDN/>
              <w:bidi w:val="0"/>
              <w:adjustRightInd/>
              <w:snapToGrid/>
              <w:spacing w:line="22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无（提供死亡且为独子证明、交通事故鉴定书且为受害方）</w:t>
            </w:r>
          </w:p>
        </w:tc>
        <w:tc>
          <w:tcPr>
            <w:tcW w:w="4380" w:type="dxa"/>
            <w:gridSpan w:val="3"/>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E1D1DC7">
            <w:pPr>
              <w:keepNext w:val="0"/>
              <w:keepLines w:val="0"/>
              <w:pageBreakBefore w:val="0"/>
              <w:widowControl w:val="0"/>
              <w:suppressLineNumbers w:val="0"/>
              <w:kinsoku/>
              <w:wordWrap/>
              <w:overflowPunct w:val="0"/>
              <w:topLinePunct w:val="0"/>
              <w:autoSpaceDE/>
              <w:autoSpaceDN/>
              <w:bidi w:val="0"/>
              <w:adjustRightInd/>
              <w:snapToGrid/>
              <w:spacing w:line="22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一般情况具有车辆和房产、社保的参照急难性临时救助执行</w:t>
            </w:r>
          </w:p>
        </w:tc>
        <w:tc>
          <w:tcPr>
            <w:tcW w:w="242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AE7A4BC">
            <w:pPr>
              <w:keepNext w:val="0"/>
              <w:keepLines w:val="0"/>
              <w:pageBreakBefore w:val="0"/>
              <w:widowControl w:val="0"/>
              <w:suppressLineNumbers w:val="0"/>
              <w:kinsoku/>
              <w:wordWrap/>
              <w:overflowPunct w:val="0"/>
              <w:topLinePunct w:val="0"/>
              <w:autoSpaceDE/>
              <w:autoSpaceDN/>
              <w:bidi w:val="0"/>
              <w:adjustRightInd/>
              <w:snapToGrid/>
              <w:spacing w:line="22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原则上一次性支付不超过6倍低保标准救助</w:t>
            </w:r>
          </w:p>
        </w:tc>
        <w:tc>
          <w:tcPr>
            <w:tcW w:w="1414" w:type="dxa"/>
            <w:tcBorders>
              <w:top w:val="single" w:color="auto" w:sz="4" w:space="0"/>
              <w:left w:val="single" w:color="auto" w:sz="4" w:space="0"/>
              <w:bottom w:val="single" w:color="auto" w:sz="4" w:space="0"/>
              <w:right w:val="single" w:color="auto" w:sz="4" w:space="0"/>
            </w:tcBorders>
            <w:shd w:val="clear" w:color="auto" w:fill="auto"/>
            <w:vAlign w:val="center"/>
          </w:tcPr>
          <w:p w14:paraId="5359ADFB">
            <w:pPr>
              <w:keepNext w:val="0"/>
              <w:keepLines w:val="0"/>
              <w:pageBreakBefore w:val="0"/>
              <w:widowControl w:val="0"/>
              <w:suppressLineNumbers w:val="0"/>
              <w:kinsoku/>
              <w:wordWrap/>
              <w:overflowPunct w:val="0"/>
              <w:topLinePunct w:val="0"/>
              <w:autoSpaceDE/>
              <w:autoSpaceDN/>
              <w:bidi w:val="0"/>
              <w:adjustRightInd/>
              <w:snapToGrid/>
              <w:spacing w:line="22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死亡对象系家庭独子，救助对象为死亡对象的父母。</w:t>
            </w:r>
          </w:p>
        </w:tc>
      </w:tr>
      <w:tr w14:paraId="40CF4A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7" w:hRule="atLeast"/>
        </w:trPr>
        <w:tc>
          <w:tcPr>
            <w:tcW w:w="81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24FBB50">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83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A4B19AF">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166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813AB3B">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2064" w:type="dxa"/>
            <w:tcBorders>
              <w:top w:val="single" w:color="auto" w:sz="4" w:space="0"/>
              <w:left w:val="single" w:color="auto" w:sz="4" w:space="0"/>
              <w:bottom w:val="single" w:color="auto" w:sz="4" w:space="0"/>
              <w:right w:val="single" w:color="auto" w:sz="4" w:space="0"/>
            </w:tcBorders>
            <w:shd w:val="clear" w:color="auto" w:fill="auto"/>
            <w:vAlign w:val="center"/>
          </w:tcPr>
          <w:p w14:paraId="63D03B72">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家庭发生火灾等</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632C1193">
            <w:pPr>
              <w:keepNext w:val="0"/>
              <w:keepLines w:val="0"/>
              <w:pageBreakBefore w:val="0"/>
              <w:widowControl w:val="0"/>
              <w:suppressLineNumbers w:val="0"/>
              <w:kinsoku/>
              <w:wordWrap/>
              <w:overflowPunct w:val="0"/>
              <w:topLinePunct w:val="0"/>
              <w:autoSpaceDE/>
              <w:autoSpaceDN/>
              <w:bidi w:val="0"/>
              <w:adjustRightInd/>
              <w:snapToGrid/>
              <w:spacing w:line="22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按照消防出具的定损报告、现场照片等</w:t>
            </w:r>
          </w:p>
        </w:tc>
        <w:tc>
          <w:tcPr>
            <w:tcW w:w="4380" w:type="dxa"/>
            <w:gridSpan w:val="3"/>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C0FD49D">
            <w:pPr>
              <w:keepNext w:val="0"/>
              <w:keepLines w:val="0"/>
              <w:pageBreakBefore w:val="0"/>
              <w:widowControl w:val="0"/>
              <w:kinsoku/>
              <w:wordWrap/>
              <w:overflowPunct w:val="0"/>
              <w:topLinePunct w:val="0"/>
              <w:autoSpaceDE/>
              <w:autoSpaceDN/>
              <w:bidi w:val="0"/>
              <w:adjustRightInd/>
              <w:snapToGrid/>
              <w:spacing w:line="220" w:lineRule="exact"/>
              <w:jc w:val="center"/>
              <w:textAlignment w:val="center"/>
              <w:rPr>
                <w:rFonts w:hint="default" w:ascii="Times New Roman" w:hAnsi="Times New Roman" w:eastAsia="宋体" w:cs="Times New Roman"/>
                <w:i w:val="0"/>
                <w:iCs w:val="0"/>
                <w:color w:val="000000"/>
                <w:sz w:val="18"/>
                <w:szCs w:val="18"/>
                <w:u w:val="none"/>
              </w:rPr>
            </w:pPr>
          </w:p>
        </w:tc>
        <w:tc>
          <w:tcPr>
            <w:tcW w:w="242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9DBBA5E">
            <w:pPr>
              <w:keepNext w:val="0"/>
              <w:keepLines w:val="0"/>
              <w:pageBreakBefore w:val="0"/>
              <w:widowControl w:val="0"/>
              <w:kinsoku/>
              <w:wordWrap/>
              <w:overflowPunct w:val="0"/>
              <w:topLinePunct w:val="0"/>
              <w:autoSpaceDE/>
              <w:autoSpaceDN/>
              <w:bidi w:val="0"/>
              <w:adjustRightInd/>
              <w:snapToGrid/>
              <w:spacing w:line="220" w:lineRule="exact"/>
              <w:jc w:val="center"/>
              <w:textAlignment w:val="center"/>
              <w:rPr>
                <w:rFonts w:hint="default" w:ascii="Times New Roman" w:hAnsi="Times New Roman" w:eastAsia="宋体" w:cs="Times New Roman"/>
                <w:i w:val="0"/>
                <w:iCs w:val="0"/>
                <w:color w:val="000000"/>
                <w:sz w:val="18"/>
                <w:szCs w:val="18"/>
                <w:u w:val="none"/>
              </w:rPr>
            </w:pPr>
          </w:p>
        </w:tc>
        <w:tc>
          <w:tcPr>
            <w:tcW w:w="1414" w:type="dxa"/>
            <w:tcBorders>
              <w:top w:val="single" w:color="auto" w:sz="4" w:space="0"/>
              <w:left w:val="single" w:color="auto" w:sz="4" w:space="0"/>
              <w:bottom w:val="single" w:color="auto" w:sz="4" w:space="0"/>
              <w:right w:val="single" w:color="auto" w:sz="4" w:space="0"/>
            </w:tcBorders>
            <w:shd w:val="clear" w:color="auto" w:fill="auto"/>
            <w:vAlign w:val="center"/>
          </w:tcPr>
          <w:p w14:paraId="4E15A798">
            <w:pPr>
              <w:keepNext w:val="0"/>
              <w:keepLines w:val="0"/>
              <w:pageBreakBefore w:val="0"/>
              <w:widowControl w:val="0"/>
              <w:suppressLineNumbers w:val="0"/>
              <w:kinsoku/>
              <w:wordWrap/>
              <w:overflowPunct w:val="0"/>
              <w:topLinePunct w:val="0"/>
              <w:autoSpaceDE/>
              <w:autoSpaceDN/>
              <w:bidi w:val="0"/>
              <w:adjustRightInd/>
              <w:snapToGrid/>
              <w:spacing w:line="22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其他对象按照急难性救助标准执行</w:t>
            </w:r>
          </w:p>
        </w:tc>
      </w:tr>
      <w:tr w14:paraId="1BD71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81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9B182A2">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w:t>
            </w:r>
          </w:p>
        </w:tc>
        <w:tc>
          <w:tcPr>
            <w:tcW w:w="83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F6B25D2">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支出性临时救助</w:t>
            </w:r>
          </w:p>
        </w:tc>
        <w:tc>
          <w:tcPr>
            <w:tcW w:w="166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F115E51">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低保、特困、低边</w:t>
            </w:r>
          </w:p>
        </w:tc>
        <w:tc>
          <w:tcPr>
            <w:tcW w:w="206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DD68A8E">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申请前6个月内，因医疗、教育、基本生活支出等情况发生自付费用</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5BF3315F">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0.5万以下</w:t>
            </w:r>
          </w:p>
        </w:tc>
        <w:tc>
          <w:tcPr>
            <w:tcW w:w="4380" w:type="dxa"/>
            <w:gridSpan w:val="3"/>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9097F75">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无</w:t>
            </w:r>
          </w:p>
        </w:tc>
        <w:tc>
          <w:tcPr>
            <w:tcW w:w="2426" w:type="dxa"/>
            <w:tcBorders>
              <w:top w:val="single" w:color="auto" w:sz="4" w:space="0"/>
              <w:left w:val="single" w:color="auto" w:sz="4" w:space="0"/>
              <w:bottom w:val="single" w:color="auto" w:sz="4" w:space="0"/>
              <w:right w:val="single" w:color="auto" w:sz="4" w:space="0"/>
            </w:tcBorders>
            <w:shd w:val="clear" w:color="auto" w:fill="auto"/>
            <w:vAlign w:val="center"/>
          </w:tcPr>
          <w:p w14:paraId="29A38472">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不超过2倍低保标准</w:t>
            </w:r>
          </w:p>
        </w:tc>
        <w:tc>
          <w:tcPr>
            <w:tcW w:w="141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29D20DE">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特殊情况可开展事前救助，如对象无能力支付住院费用。后期及时补齐相关资料。</w:t>
            </w:r>
          </w:p>
        </w:tc>
      </w:tr>
      <w:tr w14:paraId="10E90C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81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D293578">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83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7DB3D7F">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166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19919C4">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206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861939B">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78B174EB">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0.5-1万</w:t>
            </w:r>
          </w:p>
        </w:tc>
        <w:tc>
          <w:tcPr>
            <w:tcW w:w="4380" w:type="dxa"/>
            <w:gridSpan w:val="3"/>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1196FF1">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2426" w:type="dxa"/>
            <w:tcBorders>
              <w:top w:val="single" w:color="auto" w:sz="4" w:space="0"/>
              <w:left w:val="single" w:color="auto" w:sz="4" w:space="0"/>
              <w:bottom w:val="single" w:color="auto" w:sz="4" w:space="0"/>
              <w:right w:val="single" w:color="auto" w:sz="4" w:space="0"/>
            </w:tcBorders>
            <w:shd w:val="clear" w:color="auto" w:fill="auto"/>
            <w:vAlign w:val="center"/>
          </w:tcPr>
          <w:p w14:paraId="2379ECCF">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不超过4倍低保标准</w:t>
            </w:r>
          </w:p>
        </w:tc>
        <w:tc>
          <w:tcPr>
            <w:tcW w:w="141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A069A4B">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r>
      <w:tr w14:paraId="381350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81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DDD83ED">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83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7EE2C38">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166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C74DD26">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206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5D87DCD">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47B18245">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1万-3万</w:t>
            </w:r>
          </w:p>
        </w:tc>
        <w:tc>
          <w:tcPr>
            <w:tcW w:w="4380" w:type="dxa"/>
            <w:gridSpan w:val="3"/>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3E9EB31">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2426" w:type="dxa"/>
            <w:tcBorders>
              <w:top w:val="single" w:color="auto" w:sz="4" w:space="0"/>
              <w:left w:val="single" w:color="auto" w:sz="4" w:space="0"/>
              <w:bottom w:val="single" w:color="auto" w:sz="4" w:space="0"/>
              <w:right w:val="single" w:color="auto" w:sz="4" w:space="0"/>
            </w:tcBorders>
            <w:shd w:val="clear" w:color="auto" w:fill="auto"/>
            <w:vAlign w:val="center"/>
          </w:tcPr>
          <w:p w14:paraId="20667D34">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不超过6倍低保标准</w:t>
            </w:r>
          </w:p>
        </w:tc>
        <w:tc>
          <w:tcPr>
            <w:tcW w:w="141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68A82E0">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r>
      <w:tr w14:paraId="5BF637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7" w:hRule="atLeast"/>
        </w:trPr>
        <w:tc>
          <w:tcPr>
            <w:tcW w:w="81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0F6CF1E">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83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8BBC590">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166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5259C46">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206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A620BA4">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754234C0">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3万及以上</w:t>
            </w:r>
          </w:p>
        </w:tc>
        <w:tc>
          <w:tcPr>
            <w:tcW w:w="4380" w:type="dxa"/>
            <w:gridSpan w:val="3"/>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A5D7474">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2426" w:type="dxa"/>
            <w:tcBorders>
              <w:top w:val="single" w:color="auto" w:sz="4" w:space="0"/>
              <w:left w:val="single" w:color="auto" w:sz="4" w:space="0"/>
              <w:bottom w:val="single" w:color="auto" w:sz="4" w:space="0"/>
              <w:right w:val="single" w:color="auto" w:sz="4" w:space="0"/>
            </w:tcBorders>
            <w:shd w:val="clear" w:color="auto" w:fill="auto"/>
            <w:vAlign w:val="center"/>
          </w:tcPr>
          <w:p w14:paraId="5B0DABD2">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6倍低保标准，特殊情况报局社会救助中心一事一议。</w:t>
            </w:r>
          </w:p>
        </w:tc>
        <w:tc>
          <w:tcPr>
            <w:tcW w:w="141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425194F">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r>
      <w:tr w14:paraId="0F765E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81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77295DE">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83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FB47488">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166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F84B1AE">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脱贫监测户、困难残疾人、其他特殊对象</w:t>
            </w:r>
          </w:p>
        </w:tc>
        <w:tc>
          <w:tcPr>
            <w:tcW w:w="206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1163C45">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74B1D3F5">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0.5-1万</w:t>
            </w:r>
          </w:p>
        </w:tc>
        <w:tc>
          <w:tcPr>
            <w:tcW w:w="4380" w:type="dxa"/>
            <w:gridSpan w:val="3"/>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12670BD">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一般情况具有车辆和房产、社保的参照急难性临时救助执行</w:t>
            </w:r>
          </w:p>
        </w:tc>
        <w:tc>
          <w:tcPr>
            <w:tcW w:w="2426" w:type="dxa"/>
            <w:tcBorders>
              <w:top w:val="single" w:color="auto" w:sz="4" w:space="0"/>
              <w:left w:val="single" w:color="auto" w:sz="4" w:space="0"/>
              <w:bottom w:val="single" w:color="auto" w:sz="4" w:space="0"/>
              <w:right w:val="single" w:color="auto" w:sz="4" w:space="0"/>
            </w:tcBorders>
            <w:shd w:val="clear" w:color="auto" w:fill="auto"/>
            <w:vAlign w:val="center"/>
          </w:tcPr>
          <w:p w14:paraId="4CA7A836">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不超过2倍低保标准</w:t>
            </w:r>
          </w:p>
        </w:tc>
        <w:tc>
          <w:tcPr>
            <w:tcW w:w="141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48A5807">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r>
      <w:tr w14:paraId="193B85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81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3EC1354">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83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C0A56E7">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166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1D18BC6">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206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D4182EF">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0F5E981D">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1-2万</w:t>
            </w:r>
          </w:p>
        </w:tc>
        <w:tc>
          <w:tcPr>
            <w:tcW w:w="4380" w:type="dxa"/>
            <w:gridSpan w:val="3"/>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D4A4203">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2426" w:type="dxa"/>
            <w:tcBorders>
              <w:top w:val="single" w:color="auto" w:sz="4" w:space="0"/>
              <w:left w:val="single" w:color="auto" w:sz="4" w:space="0"/>
              <w:bottom w:val="single" w:color="auto" w:sz="4" w:space="0"/>
              <w:right w:val="single" w:color="auto" w:sz="4" w:space="0"/>
            </w:tcBorders>
            <w:shd w:val="clear" w:color="auto" w:fill="auto"/>
            <w:vAlign w:val="center"/>
          </w:tcPr>
          <w:p w14:paraId="1ACB284C">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不超过4倍低保标准</w:t>
            </w:r>
          </w:p>
        </w:tc>
        <w:tc>
          <w:tcPr>
            <w:tcW w:w="141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235EBD7">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r>
      <w:tr w14:paraId="122208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81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EEB9ACF">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83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D44ABF5">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166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26EAD41">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206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7DD6691">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698D7DD7">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2-4万</w:t>
            </w:r>
          </w:p>
        </w:tc>
        <w:tc>
          <w:tcPr>
            <w:tcW w:w="4380" w:type="dxa"/>
            <w:gridSpan w:val="3"/>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AB3A964">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2426" w:type="dxa"/>
            <w:tcBorders>
              <w:top w:val="single" w:color="auto" w:sz="4" w:space="0"/>
              <w:left w:val="single" w:color="auto" w:sz="4" w:space="0"/>
              <w:bottom w:val="single" w:color="auto" w:sz="4" w:space="0"/>
              <w:right w:val="single" w:color="auto" w:sz="4" w:space="0"/>
            </w:tcBorders>
            <w:shd w:val="clear" w:color="auto" w:fill="auto"/>
            <w:vAlign w:val="center"/>
          </w:tcPr>
          <w:p w14:paraId="555C5806">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不超过6倍低保标准</w:t>
            </w:r>
          </w:p>
        </w:tc>
        <w:tc>
          <w:tcPr>
            <w:tcW w:w="141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1C6AC73">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r>
      <w:tr w14:paraId="09934D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7" w:hRule="atLeast"/>
        </w:trPr>
        <w:tc>
          <w:tcPr>
            <w:tcW w:w="81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69C9455">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83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582D1C9">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166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F2E3FDC">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206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28583B6">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5080CAC2">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4万及以上</w:t>
            </w:r>
          </w:p>
        </w:tc>
        <w:tc>
          <w:tcPr>
            <w:tcW w:w="4380" w:type="dxa"/>
            <w:gridSpan w:val="3"/>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9FA0B7F">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2426" w:type="dxa"/>
            <w:tcBorders>
              <w:top w:val="single" w:color="auto" w:sz="4" w:space="0"/>
              <w:left w:val="single" w:color="auto" w:sz="4" w:space="0"/>
              <w:bottom w:val="single" w:color="auto" w:sz="4" w:space="0"/>
              <w:right w:val="single" w:color="auto" w:sz="4" w:space="0"/>
            </w:tcBorders>
            <w:shd w:val="clear" w:color="auto" w:fill="auto"/>
            <w:vAlign w:val="center"/>
          </w:tcPr>
          <w:p w14:paraId="35C48C97">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6倍低保标准，特殊情况报局社会救助中心一事一议。</w:t>
            </w:r>
          </w:p>
        </w:tc>
        <w:tc>
          <w:tcPr>
            <w:tcW w:w="141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955A63F">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r>
      <w:tr w14:paraId="72C8AE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7" w:hRule="atLeast"/>
        </w:trPr>
        <w:tc>
          <w:tcPr>
            <w:tcW w:w="15555" w:type="dxa"/>
            <w:gridSpan w:val="10"/>
            <w:tcBorders>
              <w:top w:val="single" w:color="auto" w:sz="4" w:space="0"/>
              <w:left w:val="single" w:color="auto" w:sz="4" w:space="0"/>
              <w:bottom w:val="single" w:color="auto" w:sz="4" w:space="0"/>
              <w:right w:val="single" w:color="auto" w:sz="4" w:space="0"/>
            </w:tcBorders>
            <w:shd w:val="clear" w:color="auto" w:fill="auto"/>
            <w:vAlign w:val="center"/>
          </w:tcPr>
          <w:p w14:paraId="4EB53D3A">
            <w:pPr>
              <w:keepNext w:val="0"/>
              <w:keepLines w:val="0"/>
              <w:pageBreakBefore w:val="0"/>
              <w:widowControl w:val="0"/>
              <w:kinsoku/>
              <w:wordWrap/>
              <w:overflowPunct w:val="0"/>
              <w:topLinePunct w:val="0"/>
              <w:autoSpaceDE/>
              <w:autoSpaceDN/>
              <w:bidi w:val="0"/>
              <w:adjustRightInd/>
              <w:snapToGrid/>
              <w:spacing w:line="240" w:lineRule="exact"/>
              <w:jc w:val="both"/>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b/>
                <w:bCs/>
                <w:i w:val="0"/>
                <w:iCs w:val="0"/>
                <w:color w:val="000000"/>
                <w:kern w:val="0"/>
                <w:sz w:val="18"/>
                <w:szCs w:val="18"/>
                <w:u w:val="none"/>
                <w:lang w:val="en-US" w:eastAsia="zh-CN" w:bidi="ar"/>
              </w:rPr>
              <w:t>备注：农村困难对象以临时救助为主，城市困难对象以城市帮扶为主。</w:t>
            </w:r>
          </w:p>
        </w:tc>
      </w:tr>
    </w:tbl>
    <w:p w14:paraId="77B9449E">
      <w:pPr>
        <w:keepNext w:val="0"/>
        <w:keepLines w:val="0"/>
        <w:pageBreakBefore w:val="0"/>
        <w:widowControl w:val="0"/>
        <w:numPr>
          <w:ilvl w:val="0"/>
          <w:numId w:val="0"/>
        </w:numPr>
        <w:suppressLineNumbers w:val="0"/>
        <w:kinsoku/>
        <w:wordWrap/>
        <w:overflowPunct w:val="0"/>
        <w:topLinePunct w:val="0"/>
        <w:autoSpaceDE/>
        <w:autoSpaceDN/>
        <w:bidi w:val="0"/>
        <w:adjustRightInd/>
        <w:snapToGrid/>
        <w:spacing w:line="540" w:lineRule="exact"/>
        <w:jc w:val="both"/>
        <w:textAlignment w:val="auto"/>
        <w:outlineLvl w:val="9"/>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附件5</w:t>
      </w:r>
    </w:p>
    <w:p w14:paraId="5AA8AD32">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望城区丁字湾街道</w:t>
      </w:r>
      <w:r>
        <w:rPr>
          <w:rFonts w:hint="default" w:ascii="方正小标宋简体" w:hAnsi="方正小标宋简体" w:eastAsia="方正小标宋简体" w:cs="方正小标宋简体"/>
          <w:sz w:val="44"/>
          <w:szCs w:val="44"/>
          <w:lang w:val="en-US" w:eastAsia="zh-CN"/>
        </w:rPr>
        <w:t>2025年城市特殊困难群体帮扶</w:t>
      </w:r>
      <w:r>
        <w:rPr>
          <w:rFonts w:hint="eastAsia" w:ascii="方正小标宋简体" w:hAnsi="方正小标宋简体" w:eastAsia="方正小标宋简体" w:cs="方正小标宋简体"/>
          <w:sz w:val="44"/>
          <w:szCs w:val="44"/>
          <w:lang w:val="en-US" w:eastAsia="zh-CN"/>
        </w:rPr>
        <w:t>细则</w:t>
      </w:r>
    </w:p>
    <w:p w14:paraId="066FB73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小标宋简体" w:cs="Times New Roman"/>
          <w:sz w:val="40"/>
          <w:szCs w:val="40"/>
          <w:lang w:val="en-US" w:eastAsia="zh-CN"/>
        </w:rPr>
      </w:pPr>
    </w:p>
    <w:tbl>
      <w:tblPr>
        <w:tblStyle w:val="7"/>
        <w:tblW w:w="14357" w:type="dxa"/>
        <w:tblInd w:w="-26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79"/>
        <w:gridCol w:w="3118"/>
        <w:gridCol w:w="1928"/>
        <w:gridCol w:w="2065"/>
        <w:gridCol w:w="2704"/>
        <w:gridCol w:w="3263"/>
      </w:tblGrid>
      <w:tr w14:paraId="6A380B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3" w:hRule="atLeast"/>
        </w:trPr>
        <w:tc>
          <w:tcPr>
            <w:tcW w:w="12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A82E4">
            <w:pPr>
              <w:keepNext w:val="0"/>
              <w:keepLines w:val="0"/>
              <w:widowControl/>
              <w:suppressLineNumbers w:val="0"/>
              <w:jc w:val="center"/>
              <w:textAlignment w:val="center"/>
              <w:rPr>
                <w:rFonts w:hint="default" w:ascii="Times New Roman" w:hAnsi="Times New Roman" w:eastAsia="黑体" w:cs="Times New Roman"/>
                <w:b w:val="0"/>
                <w:bCs w:val="0"/>
                <w:i w:val="0"/>
                <w:iCs w:val="0"/>
                <w:color w:val="000000"/>
                <w:sz w:val="22"/>
                <w:szCs w:val="22"/>
                <w:u w:val="none"/>
              </w:rPr>
            </w:pPr>
            <w:r>
              <w:rPr>
                <w:rFonts w:hint="default" w:ascii="Times New Roman" w:hAnsi="Times New Roman" w:eastAsia="黑体" w:cs="Times New Roman"/>
                <w:b w:val="0"/>
                <w:bCs w:val="0"/>
                <w:i w:val="0"/>
                <w:iCs w:val="0"/>
                <w:color w:val="000000"/>
                <w:kern w:val="0"/>
                <w:sz w:val="22"/>
                <w:szCs w:val="22"/>
                <w:u w:val="none"/>
                <w:lang w:val="en-US" w:eastAsia="zh-CN" w:bidi="ar"/>
              </w:rPr>
              <w:t>类别</w:t>
            </w:r>
          </w:p>
        </w:tc>
        <w:tc>
          <w:tcPr>
            <w:tcW w:w="3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B3F1B">
            <w:pPr>
              <w:keepNext w:val="0"/>
              <w:keepLines w:val="0"/>
              <w:widowControl/>
              <w:suppressLineNumbers w:val="0"/>
              <w:jc w:val="center"/>
              <w:textAlignment w:val="center"/>
              <w:rPr>
                <w:rFonts w:hint="default" w:ascii="Times New Roman" w:hAnsi="Times New Roman" w:eastAsia="黑体" w:cs="Times New Roman"/>
                <w:b w:val="0"/>
                <w:bCs w:val="0"/>
                <w:i w:val="0"/>
                <w:iCs w:val="0"/>
                <w:color w:val="000000"/>
                <w:sz w:val="22"/>
                <w:szCs w:val="22"/>
                <w:u w:val="none"/>
              </w:rPr>
            </w:pPr>
            <w:r>
              <w:rPr>
                <w:rFonts w:hint="default" w:ascii="Times New Roman" w:hAnsi="Times New Roman" w:eastAsia="黑体" w:cs="Times New Roman"/>
                <w:b w:val="0"/>
                <w:bCs w:val="0"/>
                <w:i w:val="0"/>
                <w:iCs w:val="0"/>
                <w:color w:val="000000"/>
                <w:kern w:val="0"/>
                <w:sz w:val="22"/>
                <w:szCs w:val="22"/>
                <w:u w:val="none"/>
                <w:lang w:val="en-US" w:eastAsia="zh-CN" w:bidi="ar"/>
              </w:rPr>
              <w:t>事故原因</w:t>
            </w:r>
          </w:p>
        </w:tc>
        <w:tc>
          <w:tcPr>
            <w:tcW w:w="1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7DCBA">
            <w:pPr>
              <w:keepNext w:val="0"/>
              <w:keepLines w:val="0"/>
              <w:widowControl/>
              <w:suppressLineNumbers w:val="0"/>
              <w:jc w:val="center"/>
              <w:textAlignment w:val="center"/>
              <w:rPr>
                <w:rFonts w:hint="default" w:ascii="Times New Roman" w:hAnsi="Times New Roman" w:eastAsia="黑体" w:cs="Times New Roman"/>
                <w:b w:val="0"/>
                <w:bCs w:val="0"/>
                <w:i w:val="0"/>
                <w:iCs w:val="0"/>
                <w:color w:val="000000"/>
                <w:sz w:val="22"/>
                <w:szCs w:val="22"/>
                <w:u w:val="none"/>
              </w:rPr>
            </w:pPr>
            <w:r>
              <w:rPr>
                <w:rFonts w:hint="default" w:ascii="Times New Roman" w:hAnsi="Times New Roman" w:eastAsia="黑体" w:cs="Times New Roman"/>
                <w:b w:val="0"/>
                <w:bCs w:val="0"/>
                <w:i w:val="0"/>
                <w:iCs w:val="0"/>
                <w:color w:val="000000"/>
                <w:kern w:val="0"/>
                <w:sz w:val="22"/>
                <w:szCs w:val="22"/>
                <w:u w:val="none"/>
                <w:lang w:val="en-US" w:eastAsia="zh-CN" w:bidi="ar"/>
              </w:rPr>
              <w:t>对象类别</w:t>
            </w:r>
          </w:p>
        </w:tc>
        <w:tc>
          <w:tcPr>
            <w:tcW w:w="2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2588B">
            <w:pPr>
              <w:keepNext w:val="0"/>
              <w:keepLines w:val="0"/>
              <w:widowControl/>
              <w:suppressLineNumbers w:val="0"/>
              <w:jc w:val="center"/>
              <w:textAlignment w:val="center"/>
              <w:rPr>
                <w:rFonts w:hint="default" w:ascii="Times New Roman" w:hAnsi="Times New Roman" w:eastAsia="黑体" w:cs="Times New Roman"/>
                <w:b w:val="0"/>
                <w:bCs w:val="0"/>
                <w:i w:val="0"/>
                <w:iCs w:val="0"/>
                <w:color w:val="000000"/>
                <w:sz w:val="22"/>
                <w:szCs w:val="22"/>
                <w:u w:val="none"/>
              </w:rPr>
            </w:pPr>
            <w:r>
              <w:rPr>
                <w:rFonts w:hint="default" w:ascii="Times New Roman" w:hAnsi="Times New Roman" w:eastAsia="黑体" w:cs="Times New Roman"/>
                <w:b w:val="0"/>
                <w:bCs w:val="0"/>
                <w:i w:val="0"/>
                <w:iCs w:val="0"/>
                <w:color w:val="000000"/>
                <w:kern w:val="0"/>
                <w:sz w:val="22"/>
                <w:szCs w:val="22"/>
                <w:u w:val="none"/>
                <w:lang w:val="en-US" w:eastAsia="zh-CN" w:bidi="ar"/>
              </w:rPr>
              <w:t>自付费用支出</w:t>
            </w:r>
          </w:p>
        </w:tc>
        <w:tc>
          <w:tcPr>
            <w:tcW w:w="2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DBFE2">
            <w:pPr>
              <w:keepNext w:val="0"/>
              <w:keepLines w:val="0"/>
              <w:widowControl/>
              <w:suppressLineNumbers w:val="0"/>
              <w:jc w:val="center"/>
              <w:textAlignment w:val="center"/>
              <w:rPr>
                <w:rFonts w:hint="default" w:ascii="Times New Roman" w:hAnsi="Times New Roman" w:eastAsia="黑体" w:cs="Times New Roman"/>
                <w:b w:val="0"/>
                <w:bCs w:val="0"/>
                <w:i w:val="0"/>
                <w:iCs w:val="0"/>
                <w:color w:val="000000"/>
                <w:sz w:val="22"/>
                <w:szCs w:val="22"/>
                <w:u w:val="none"/>
              </w:rPr>
            </w:pPr>
            <w:r>
              <w:rPr>
                <w:rFonts w:hint="default" w:ascii="Times New Roman" w:hAnsi="Times New Roman" w:eastAsia="黑体" w:cs="Times New Roman"/>
                <w:b w:val="0"/>
                <w:bCs w:val="0"/>
                <w:i w:val="0"/>
                <w:iCs w:val="0"/>
                <w:color w:val="000000"/>
                <w:kern w:val="0"/>
                <w:sz w:val="22"/>
                <w:szCs w:val="22"/>
                <w:u w:val="none"/>
                <w:lang w:val="en-US" w:eastAsia="zh-CN" w:bidi="ar"/>
              </w:rPr>
              <w:t>救助标准</w:t>
            </w:r>
          </w:p>
        </w:tc>
        <w:tc>
          <w:tcPr>
            <w:tcW w:w="32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CB1E7">
            <w:pPr>
              <w:keepNext w:val="0"/>
              <w:keepLines w:val="0"/>
              <w:widowControl/>
              <w:suppressLineNumbers w:val="0"/>
              <w:jc w:val="center"/>
              <w:textAlignment w:val="center"/>
              <w:rPr>
                <w:rFonts w:hint="default" w:ascii="Times New Roman" w:hAnsi="Times New Roman" w:eastAsia="黑体" w:cs="Times New Roman"/>
                <w:b w:val="0"/>
                <w:bCs w:val="0"/>
                <w:i w:val="0"/>
                <w:iCs w:val="0"/>
                <w:color w:val="000000"/>
                <w:sz w:val="22"/>
                <w:szCs w:val="22"/>
                <w:u w:val="none"/>
              </w:rPr>
            </w:pPr>
            <w:r>
              <w:rPr>
                <w:rFonts w:hint="default" w:ascii="Times New Roman" w:hAnsi="Times New Roman" w:eastAsia="黑体" w:cs="Times New Roman"/>
                <w:b w:val="0"/>
                <w:bCs w:val="0"/>
                <w:i w:val="0"/>
                <w:iCs w:val="0"/>
                <w:color w:val="000000"/>
                <w:kern w:val="0"/>
                <w:sz w:val="22"/>
                <w:szCs w:val="22"/>
                <w:u w:val="none"/>
                <w:lang w:val="en-US" w:eastAsia="zh-CN" w:bidi="ar"/>
              </w:rPr>
              <w:t>备   注</w:t>
            </w:r>
          </w:p>
        </w:tc>
      </w:tr>
      <w:tr w14:paraId="13B317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atLeast"/>
        </w:trPr>
        <w:tc>
          <w:tcPr>
            <w:tcW w:w="1279" w:type="dxa"/>
            <w:vMerge w:val="restart"/>
            <w:tcBorders>
              <w:top w:val="single" w:color="000000" w:sz="4" w:space="0"/>
              <w:left w:val="single" w:color="000000" w:sz="4" w:space="0"/>
              <w:bottom w:val="nil"/>
              <w:right w:val="single" w:color="000000" w:sz="4" w:space="0"/>
            </w:tcBorders>
            <w:shd w:val="clear" w:color="auto" w:fill="auto"/>
            <w:vAlign w:val="center"/>
          </w:tcPr>
          <w:p w14:paraId="18D985BE">
            <w:pPr>
              <w:keepNext w:val="0"/>
              <w:keepLines w:val="0"/>
              <w:widowControl/>
              <w:suppressLineNumbers w:val="0"/>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急难帮扶</w:t>
            </w:r>
          </w:p>
        </w:tc>
        <w:tc>
          <w:tcPr>
            <w:tcW w:w="3118" w:type="dxa"/>
            <w:vMerge w:val="restart"/>
            <w:tcBorders>
              <w:top w:val="single" w:color="000000" w:sz="4" w:space="0"/>
              <w:left w:val="single" w:color="000000" w:sz="4" w:space="0"/>
              <w:bottom w:val="nil"/>
              <w:right w:val="single" w:color="000000" w:sz="4" w:space="0"/>
            </w:tcBorders>
            <w:shd w:val="clear" w:color="auto" w:fill="auto"/>
            <w:vAlign w:val="center"/>
          </w:tcPr>
          <w:p w14:paraId="308CAA8B">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遭遇自然灾害、突发事件，如火灾、溺水、触电、中毒等意外事故，导致人员伤残和大额医疗费用支出、财产损失巨大，在享受保险、赔偿和救助后，基本生活仍陷入困境的</w:t>
            </w:r>
          </w:p>
        </w:tc>
        <w:tc>
          <w:tcPr>
            <w:tcW w:w="1928" w:type="dxa"/>
            <w:vMerge w:val="restart"/>
            <w:tcBorders>
              <w:top w:val="single" w:color="000000" w:sz="4" w:space="0"/>
              <w:left w:val="single" w:color="000000" w:sz="4" w:space="0"/>
              <w:bottom w:val="nil"/>
              <w:right w:val="single" w:color="000000" w:sz="4" w:space="0"/>
            </w:tcBorders>
            <w:shd w:val="clear" w:color="auto" w:fill="auto"/>
            <w:vAlign w:val="center"/>
          </w:tcPr>
          <w:p w14:paraId="4D90B343">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低保、特困、低边家庭</w:t>
            </w:r>
          </w:p>
        </w:tc>
        <w:tc>
          <w:tcPr>
            <w:tcW w:w="2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21598">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0.5-1万</w:t>
            </w:r>
          </w:p>
        </w:tc>
        <w:tc>
          <w:tcPr>
            <w:tcW w:w="2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12682">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不超过2倍低保标准</w:t>
            </w:r>
          </w:p>
        </w:tc>
        <w:tc>
          <w:tcPr>
            <w:tcW w:w="32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173491">
            <w:pPr>
              <w:jc w:val="center"/>
              <w:rPr>
                <w:rFonts w:hint="default" w:ascii="Times New Roman" w:hAnsi="Times New Roman" w:cs="Times New Roman" w:eastAsiaTheme="minorEastAsia"/>
                <w:i w:val="0"/>
                <w:iCs w:val="0"/>
                <w:color w:val="000000"/>
                <w:sz w:val="21"/>
                <w:szCs w:val="21"/>
                <w:u w:val="none"/>
              </w:rPr>
            </w:pPr>
          </w:p>
        </w:tc>
      </w:tr>
      <w:tr w14:paraId="4C0094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atLeast"/>
        </w:trPr>
        <w:tc>
          <w:tcPr>
            <w:tcW w:w="1279" w:type="dxa"/>
            <w:vMerge w:val="continue"/>
            <w:tcBorders>
              <w:top w:val="single" w:color="000000" w:sz="4" w:space="0"/>
              <w:left w:val="single" w:color="000000" w:sz="4" w:space="0"/>
              <w:bottom w:val="nil"/>
              <w:right w:val="single" w:color="000000" w:sz="4" w:space="0"/>
            </w:tcBorders>
            <w:shd w:val="clear" w:color="auto" w:fill="auto"/>
            <w:vAlign w:val="center"/>
          </w:tcPr>
          <w:p w14:paraId="317FA352">
            <w:pPr>
              <w:jc w:val="center"/>
              <w:rPr>
                <w:rFonts w:hint="default" w:ascii="Times New Roman" w:hAnsi="Times New Roman" w:cs="Times New Roman" w:eastAsiaTheme="minorEastAsia"/>
                <w:b/>
                <w:bCs/>
                <w:i w:val="0"/>
                <w:iCs w:val="0"/>
                <w:color w:val="000000"/>
                <w:sz w:val="21"/>
                <w:szCs w:val="21"/>
                <w:u w:val="none"/>
              </w:rPr>
            </w:pPr>
          </w:p>
        </w:tc>
        <w:tc>
          <w:tcPr>
            <w:tcW w:w="3118" w:type="dxa"/>
            <w:vMerge w:val="continue"/>
            <w:tcBorders>
              <w:top w:val="single" w:color="000000" w:sz="4" w:space="0"/>
              <w:left w:val="single" w:color="000000" w:sz="4" w:space="0"/>
              <w:bottom w:val="nil"/>
              <w:right w:val="single" w:color="000000" w:sz="4" w:space="0"/>
            </w:tcBorders>
            <w:shd w:val="clear" w:color="auto" w:fill="auto"/>
            <w:vAlign w:val="center"/>
          </w:tcPr>
          <w:p w14:paraId="4A5A1476">
            <w:pPr>
              <w:jc w:val="center"/>
              <w:rPr>
                <w:rFonts w:hint="default" w:ascii="Times New Roman" w:hAnsi="Times New Roman" w:cs="Times New Roman" w:eastAsiaTheme="minorEastAsia"/>
                <w:i w:val="0"/>
                <w:iCs w:val="0"/>
                <w:color w:val="000000"/>
                <w:sz w:val="21"/>
                <w:szCs w:val="21"/>
                <w:u w:val="none"/>
              </w:rPr>
            </w:pPr>
          </w:p>
        </w:tc>
        <w:tc>
          <w:tcPr>
            <w:tcW w:w="1928" w:type="dxa"/>
            <w:vMerge w:val="continue"/>
            <w:tcBorders>
              <w:top w:val="single" w:color="000000" w:sz="4" w:space="0"/>
              <w:left w:val="single" w:color="000000" w:sz="4" w:space="0"/>
              <w:bottom w:val="nil"/>
              <w:right w:val="single" w:color="000000" w:sz="4" w:space="0"/>
            </w:tcBorders>
            <w:shd w:val="clear" w:color="auto" w:fill="auto"/>
            <w:vAlign w:val="center"/>
          </w:tcPr>
          <w:p w14:paraId="01AB1EB0">
            <w:pPr>
              <w:jc w:val="center"/>
              <w:rPr>
                <w:rFonts w:hint="default" w:ascii="Times New Roman" w:hAnsi="Times New Roman" w:cs="Times New Roman" w:eastAsiaTheme="minorEastAsia"/>
                <w:i w:val="0"/>
                <w:iCs w:val="0"/>
                <w:color w:val="000000"/>
                <w:sz w:val="21"/>
                <w:szCs w:val="21"/>
                <w:u w:val="none"/>
              </w:rPr>
            </w:pPr>
          </w:p>
        </w:tc>
        <w:tc>
          <w:tcPr>
            <w:tcW w:w="2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8E741">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1万-3万</w:t>
            </w:r>
          </w:p>
        </w:tc>
        <w:tc>
          <w:tcPr>
            <w:tcW w:w="2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E2E1F">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不超过4倍低保标准</w:t>
            </w:r>
          </w:p>
        </w:tc>
        <w:tc>
          <w:tcPr>
            <w:tcW w:w="32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609AB7">
            <w:pPr>
              <w:jc w:val="center"/>
              <w:rPr>
                <w:rFonts w:hint="default" w:ascii="Times New Roman" w:hAnsi="Times New Roman" w:cs="Times New Roman" w:eastAsiaTheme="minorEastAsia"/>
                <w:i w:val="0"/>
                <w:iCs w:val="0"/>
                <w:color w:val="000000"/>
                <w:sz w:val="21"/>
                <w:szCs w:val="21"/>
                <w:u w:val="none"/>
              </w:rPr>
            </w:pPr>
          </w:p>
        </w:tc>
      </w:tr>
      <w:tr w14:paraId="744561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atLeast"/>
        </w:trPr>
        <w:tc>
          <w:tcPr>
            <w:tcW w:w="1279" w:type="dxa"/>
            <w:vMerge w:val="continue"/>
            <w:tcBorders>
              <w:top w:val="single" w:color="000000" w:sz="4" w:space="0"/>
              <w:left w:val="single" w:color="000000" w:sz="4" w:space="0"/>
              <w:bottom w:val="nil"/>
              <w:right w:val="single" w:color="000000" w:sz="4" w:space="0"/>
            </w:tcBorders>
            <w:shd w:val="clear" w:color="auto" w:fill="auto"/>
            <w:vAlign w:val="center"/>
          </w:tcPr>
          <w:p w14:paraId="7D5B0352">
            <w:pPr>
              <w:jc w:val="center"/>
              <w:rPr>
                <w:rFonts w:hint="default" w:ascii="Times New Roman" w:hAnsi="Times New Roman" w:cs="Times New Roman" w:eastAsiaTheme="minorEastAsia"/>
                <w:b/>
                <w:bCs/>
                <w:i w:val="0"/>
                <w:iCs w:val="0"/>
                <w:color w:val="000000"/>
                <w:sz w:val="21"/>
                <w:szCs w:val="21"/>
                <w:u w:val="none"/>
              </w:rPr>
            </w:pPr>
          </w:p>
        </w:tc>
        <w:tc>
          <w:tcPr>
            <w:tcW w:w="3118" w:type="dxa"/>
            <w:vMerge w:val="continue"/>
            <w:tcBorders>
              <w:top w:val="single" w:color="000000" w:sz="4" w:space="0"/>
              <w:left w:val="single" w:color="000000" w:sz="4" w:space="0"/>
              <w:bottom w:val="nil"/>
              <w:right w:val="single" w:color="000000" w:sz="4" w:space="0"/>
            </w:tcBorders>
            <w:shd w:val="clear" w:color="auto" w:fill="auto"/>
            <w:vAlign w:val="center"/>
          </w:tcPr>
          <w:p w14:paraId="2853BBE6">
            <w:pPr>
              <w:jc w:val="center"/>
              <w:rPr>
                <w:rFonts w:hint="default" w:ascii="Times New Roman" w:hAnsi="Times New Roman" w:cs="Times New Roman" w:eastAsiaTheme="minorEastAsia"/>
                <w:i w:val="0"/>
                <w:iCs w:val="0"/>
                <w:color w:val="000000"/>
                <w:sz w:val="21"/>
                <w:szCs w:val="21"/>
                <w:u w:val="none"/>
              </w:rPr>
            </w:pPr>
          </w:p>
        </w:tc>
        <w:tc>
          <w:tcPr>
            <w:tcW w:w="1928" w:type="dxa"/>
            <w:vMerge w:val="continue"/>
            <w:tcBorders>
              <w:top w:val="single" w:color="000000" w:sz="4" w:space="0"/>
              <w:left w:val="single" w:color="000000" w:sz="4" w:space="0"/>
              <w:bottom w:val="nil"/>
              <w:right w:val="single" w:color="000000" w:sz="4" w:space="0"/>
            </w:tcBorders>
            <w:shd w:val="clear" w:color="auto" w:fill="auto"/>
            <w:vAlign w:val="center"/>
          </w:tcPr>
          <w:p w14:paraId="71E4F163">
            <w:pPr>
              <w:jc w:val="center"/>
              <w:rPr>
                <w:rFonts w:hint="default" w:ascii="Times New Roman" w:hAnsi="Times New Roman" w:cs="Times New Roman" w:eastAsiaTheme="minorEastAsia"/>
                <w:i w:val="0"/>
                <w:iCs w:val="0"/>
                <w:color w:val="000000"/>
                <w:sz w:val="21"/>
                <w:szCs w:val="21"/>
                <w:u w:val="none"/>
              </w:rPr>
            </w:pPr>
          </w:p>
        </w:tc>
        <w:tc>
          <w:tcPr>
            <w:tcW w:w="2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48913">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3万及以上</w:t>
            </w:r>
          </w:p>
        </w:tc>
        <w:tc>
          <w:tcPr>
            <w:tcW w:w="2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62A3C">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不超过6倍低保标准</w:t>
            </w:r>
          </w:p>
        </w:tc>
        <w:tc>
          <w:tcPr>
            <w:tcW w:w="32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1D95B9">
            <w:pPr>
              <w:jc w:val="center"/>
              <w:rPr>
                <w:rFonts w:hint="default" w:ascii="Times New Roman" w:hAnsi="Times New Roman" w:cs="Times New Roman" w:eastAsiaTheme="minorEastAsia"/>
                <w:i w:val="0"/>
                <w:iCs w:val="0"/>
                <w:color w:val="000000"/>
                <w:sz w:val="21"/>
                <w:szCs w:val="21"/>
                <w:u w:val="none"/>
              </w:rPr>
            </w:pPr>
          </w:p>
        </w:tc>
      </w:tr>
      <w:tr w14:paraId="2323EA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atLeast"/>
        </w:trPr>
        <w:tc>
          <w:tcPr>
            <w:tcW w:w="1279" w:type="dxa"/>
            <w:vMerge w:val="continue"/>
            <w:tcBorders>
              <w:top w:val="single" w:color="000000" w:sz="4" w:space="0"/>
              <w:left w:val="single" w:color="000000" w:sz="4" w:space="0"/>
              <w:bottom w:val="nil"/>
              <w:right w:val="single" w:color="000000" w:sz="4" w:space="0"/>
            </w:tcBorders>
            <w:shd w:val="clear" w:color="auto" w:fill="auto"/>
            <w:vAlign w:val="center"/>
          </w:tcPr>
          <w:p w14:paraId="1A093FC3">
            <w:pPr>
              <w:jc w:val="center"/>
              <w:rPr>
                <w:rFonts w:hint="default" w:ascii="Times New Roman" w:hAnsi="Times New Roman" w:cs="Times New Roman" w:eastAsiaTheme="minorEastAsia"/>
                <w:b/>
                <w:bCs/>
                <w:i w:val="0"/>
                <w:iCs w:val="0"/>
                <w:color w:val="000000"/>
                <w:sz w:val="21"/>
                <w:szCs w:val="21"/>
                <w:u w:val="none"/>
              </w:rPr>
            </w:pPr>
          </w:p>
        </w:tc>
        <w:tc>
          <w:tcPr>
            <w:tcW w:w="3118" w:type="dxa"/>
            <w:vMerge w:val="continue"/>
            <w:tcBorders>
              <w:top w:val="single" w:color="000000" w:sz="4" w:space="0"/>
              <w:left w:val="single" w:color="000000" w:sz="4" w:space="0"/>
              <w:bottom w:val="nil"/>
              <w:right w:val="single" w:color="000000" w:sz="4" w:space="0"/>
            </w:tcBorders>
            <w:shd w:val="clear" w:color="auto" w:fill="auto"/>
            <w:vAlign w:val="center"/>
          </w:tcPr>
          <w:p w14:paraId="2CFBDDA7">
            <w:pPr>
              <w:jc w:val="center"/>
              <w:rPr>
                <w:rFonts w:hint="default" w:ascii="Times New Roman" w:hAnsi="Times New Roman" w:cs="Times New Roman" w:eastAsiaTheme="minorEastAsia"/>
                <w:i w:val="0"/>
                <w:iCs w:val="0"/>
                <w:color w:val="000000"/>
                <w:sz w:val="21"/>
                <w:szCs w:val="21"/>
                <w:u w:val="none"/>
              </w:rPr>
            </w:pPr>
          </w:p>
        </w:tc>
        <w:tc>
          <w:tcPr>
            <w:tcW w:w="1928" w:type="dxa"/>
            <w:vMerge w:val="restart"/>
            <w:tcBorders>
              <w:top w:val="single" w:color="000000" w:sz="4" w:space="0"/>
              <w:left w:val="single" w:color="000000" w:sz="4" w:space="0"/>
              <w:bottom w:val="nil"/>
              <w:right w:val="single" w:color="000000" w:sz="4" w:space="0"/>
            </w:tcBorders>
            <w:shd w:val="clear" w:color="auto" w:fill="auto"/>
            <w:vAlign w:val="center"/>
          </w:tcPr>
          <w:p w14:paraId="46C34B4E">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困难残疾家庭、一般家庭</w:t>
            </w:r>
          </w:p>
        </w:tc>
        <w:tc>
          <w:tcPr>
            <w:tcW w:w="2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4B88A">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1-2万</w:t>
            </w:r>
          </w:p>
        </w:tc>
        <w:tc>
          <w:tcPr>
            <w:tcW w:w="2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62642">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不超过2倍低保标准</w:t>
            </w:r>
          </w:p>
        </w:tc>
        <w:tc>
          <w:tcPr>
            <w:tcW w:w="32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201B9C">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拥有机动车辆、家庭收入超标或两套及以上商品房（安置房除外）可按照临时救助相关要求执行。</w:t>
            </w:r>
          </w:p>
        </w:tc>
      </w:tr>
      <w:tr w14:paraId="7052E1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atLeast"/>
        </w:trPr>
        <w:tc>
          <w:tcPr>
            <w:tcW w:w="1279" w:type="dxa"/>
            <w:vMerge w:val="continue"/>
            <w:tcBorders>
              <w:top w:val="single" w:color="000000" w:sz="4" w:space="0"/>
              <w:left w:val="single" w:color="000000" w:sz="4" w:space="0"/>
              <w:bottom w:val="nil"/>
              <w:right w:val="single" w:color="000000" w:sz="4" w:space="0"/>
            </w:tcBorders>
            <w:shd w:val="clear" w:color="auto" w:fill="auto"/>
            <w:vAlign w:val="center"/>
          </w:tcPr>
          <w:p w14:paraId="04C6BD75">
            <w:pPr>
              <w:jc w:val="center"/>
              <w:rPr>
                <w:rFonts w:hint="default" w:ascii="Times New Roman" w:hAnsi="Times New Roman" w:cs="Times New Roman" w:eastAsiaTheme="minorEastAsia"/>
                <w:b/>
                <w:bCs/>
                <w:i w:val="0"/>
                <w:iCs w:val="0"/>
                <w:color w:val="000000"/>
                <w:sz w:val="21"/>
                <w:szCs w:val="21"/>
                <w:u w:val="none"/>
              </w:rPr>
            </w:pPr>
          </w:p>
        </w:tc>
        <w:tc>
          <w:tcPr>
            <w:tcW w:w="3118" w:type="dxa"/>
            <w:vMerge w:val="continue"/>
            <w:tcBorders>
              <w:top w:val="single" w:color="000000" w:sz="4" w:space="0"/>
              <w:left w:val="single" w:color="000000" w:sz="4" w:space="0"/>
              <w:bottom w:val="nil"/>
              <w:right w:val="single" w:color="000000" w:sz="4" w:space="0"/>
            </w:tcBorders>
            <w:shd w:val="clear" w:color="auto" w:fill="auto"/>
            <w:vAlign w:val="center"/>
          </w:tcPr>
          <w:p w14:paraId="3BEA420D">
            <w:pPr>
              <w:jc w:val="center"/>
              <w:rPr>
                <w:rFonts w:hint="default" w:ascii="Times New Roman" w:hAnsi="Times New Roman" w:cs="Times New Roman" w:eastAsiaTheme="minorEastAsia"/>
                <w:i w:val="0"/>
                <w:iCs w:val="0"/>
                <w:color w:val="000000"/>
                <w:sz w:val="21"/>
                <w:szCs w:val="21"/>
                <w:u w:val="none"/>
              </w:rPr>
            </w:pPr>
          </w:p>
        </w:tc>
        <w:tc>
          <w:tcPr>
            <w:tcW w:w="1928" w:type="dxa"/>
            <w:vMerge w:val="continue"/>
            <w:tcBorders>
              <w:top w:val="single" w:color="000000" w:sz="4" w:space="0"/>
              <w:left w:val="single" w:color="000000" w:sz="4" w:space="0"/>
              <w:bottom w:val="nil"/>
              <w:right w:val="single" w:color="000000" w:sz="4" w:space="0"/>
            </w:tcBorders>
            <w:shd w:val="clear" w:color="auto" w:fill="auto"/>
            <w:vAlign w:val="center"/>
          </w:tcPr>
          <w:p w14:paraId="72EE72CE">
            <w:pPr>
              <w:jc w:val="center"/>
              <w:rPr>
                <w:rFonts w:hint="default" w:ascii="Times New Roman" w:hAnsi="Times New Roman" w:cs="Times New Roman" w:eastAsiaTheme="minorEastAsia"/>
                <w:i w:val="0"/>
                <w:iCs w:val="0"/>
                <w:color w:val="000000"/>
                <w:sz w:val="21"/>
                <w:szCs w:val="21"/>
                <w:u w:val="none"/>
              </w:rPr>
            </w:pPr>
          </w:p>
        </w:tc>
        <w:tc>
          <w:tcPr>
            <w:tcW w:w="2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28E20">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2-4万</w:t>
            </w:r>
          </w:p>
        </w:tc>
        <w:tc>
          <w:tcPr>
            <w:tcW w:w="2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A496A">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不超过4倍低保标准</w:t>
            </w:r>
          </w:p>
        </w:tc>
        <w:tc>
          <w:tcPr>
            <w:tcW w:w="32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3D82C9">
            <w:pPr>
              <w:jc w:val="center"/>
              <w:rPr>
                <w:rFonts w:hint="default" w:ascii="Times New Roman" w:hAnsi="Times New Roman" w:cs="Times New Roman" w:eastAsiaTheme="minorEastAsia"/>
                <w:i w:val="0"/>
                <w:iCs w:val="0"/>
                <w:color w:val="000000"/>
                <w:sz w:val="21"/>
                <w:szCs w:val="21"/>
                <w:u w:val="none"/>
              </w:rPr>
            </w:pPr>
          </w:p>
        </w:tc>
      </w:tr>
      <w:tr w14:paraId="74E74D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atLeast"/>
        </w:trPr>
        <w:tc>
          <w:tcPr>
            <w:tcW w:w="1279" w:type="dxa"/>
            <w:vMerge w:val="continue"/>
            <w:tcBorders>
              <w:top w:val="single" w:color="000000" w:sz="4" w:space="0"/>
              <w:left w:val="single" w:color="000000" w:sz="4" w:space="0"/>
              <w:bottom w:val="nil"/>
              <w:right w:val="single" w:color="000000" w:sz="4" w:space="0"/>
            </w:tcBorders>
            <w:shd w:val="clear" w:color="auto" w:fill="auto"/>
            <w:vAlign w:val="center"/>
          </w:tcPr>
          <w:p w14:paraId="49B7A3C1">
            <w:pPr>
              <w:jc w:val="center"/>
              <w:rPr>
                <w:rFonts w:hint="default" w:ascii="Times New Roman" w:hAnsi="Times New Roman" w:cs="Times New Roman" w:eastAsiaTheme="minorEastAsia"/>
                <w:b/>
                <w:bCs/>
                <w:i w:val="0"/>
                <w:iCs w:val="0"/>
                <w:color w:val="000000"/>
                <w:sz w:val="21"/>
                <w:szCs w:val="21"/>
                <w:u w:val="none"/>
              </w:rPr>
            </w:pPr>
          </w:p>
        </w:tc>
        <w:tc>
          <w:tcPr>
            <w:tcW w:w="3118" w:type="dxa"/>
            <w:vMerge w:val="continue"/>
            <w:tcBorders>
              <w:top w:val="single" w:color="000000" w:sz="4" w:space="0"/>
              <w:left w:val="single" w:color="000000" w:sz="4" w:space="0"/>
              <w:bottom w:val="nil"/>
              <w:right w:val="single" w:color="000000" w:sz="4" w:space="0"/>
            </w:tcBorders>
            <w:shd w:val="clear" w:color="auto" w:fill="auto"/>
            <w:vAlign w:val="center"/>
          </w:tcPr>
          <w:p w14:paraId="75FA07B8">
            <w:pPr>
              <w:jc w:val="center"/>
              <w:rPr>
                <w:rFonts w:hint="default" w:ascii="Times New Roman" w:hAnsi="Times New Roman" w:cs="Times New Roman" w:eastAsiaTheme="minorEastAsia"/>
                <w:i w:val="0"/>
                <w:iCs w:val="0"/>
                <w:color w:val="000000"/>
                <w:sz w:val="21"/>
                <w:szCs w:val="21"/>
                <w:u w:val="none"/>
              </w:rPr>
            </w:pPr>
          </w:p>
        </w:tc>
        <w:tc>
          <w:tcPr>
            <w:tcW w:w="1928" w:type="dxa"/>
            <w:vMerge w:val="continue"/>
            <w:tcBorders>
              <w:top w:val="single" w:color="000000" w:sz="4" w:space="0"/>
              <w:left w:val="single" w:color="000000" w:sz="4" w:space="0"/>
              <w:bottom w:val="nil"/>
              <w:right w:val="single" w:color="000000" w:sz="4" w:space="0"/>
            </w:tcBorders>
            <w:shd w:val="clear" w:color="auto" w:fill="auto"/>
            <w:vAlign w:val="center"/>
          </w:tcPr>
          <w:p w14:paraId="1FB414CC">
            <w:pPr>
              <w:jc w:val="center"/>
              <w:rPr>
                <w:rFonts w:hint="default" w:ascii="Times New Roman" w:hAnsi="Times New Roman" w:cs="Times New Roman" w:eastAsiaTheme="minorEastAsia"/>
                <w:i w:val="0"/>
                <w:iCs w:val="0"/>
                <w:color w:val="000000"/>
                <w:sz w:val="21"/>
                <w:szCs w:val="21"/>
                <w:u w:val="none"/>
              </w:rPr>
            </w:pPr>
          </w:p>
        </w:tc>
        <w:tc>
          <w:tcPr>
            <w:tcW w:w="2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2CF4A">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4万及以上</w:t>
            </w:r>
          </w:p>
        </w:tc>
        <w:tc>
          <w:tcPr>
            <w:tcW w:w="2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6F986">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不超过6倍低保标准</w:t>
            </w:r>
          </w:p>
        </w:tc>
        <w:tc>
          <w:tcPr>
            <w:tcW w:w="32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422A7B">
            <w:pPr>
              <w:jc w:val="center"/>
              <w:rPr>
                <w:rFonts w:hint="default" w:ascii="Times New Roman" w:hAnsi="Times New Roman" w:cs="Times New Roman" w:eastAsiaTheme="minorEastAsia"/>
                <w:i w:val="0"/>
                <w:iCs w:val="0"/>
                <w:color w:val="000000"/>
                <w:sz w:val="21"/>
                <w:szCs w:val="21"/>
                <w:u w:val="none"/>
              </w:rPr>
            </w:pPr>
          </w:p>
        </w:tc>
      </w:tr>
      <w:tr w14:paraId="0795FF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atLeast"/>
        </w:trPr>
        <w:tc>
          <w:tcPr>
            <w:tcW w:w="12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84A7767">
            <w:pPr>
              <w:keepNext w:val="0"/>
              <w:keepLines w:val="0"/>
              <w:widowControl/>
              <w:suppressLineNumbers w:val="0"/>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医疗帮扶</w:t>
            </w:r>
          </w:p>
        </w:tc>
        <w:tc>
          <w:tcPr>
            <w:tcW w:w="31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8422EB">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家庭成员患重大疾病、产生大额医疗费用，在享受医保、大病保险和相关救助后，基本生活陷入困境的</w:t>
            </w:r>
          </w:p>
        </w:tc>
        <w:tc>
          <w:tcPr>
            <w:tcW w:w="1928" w:type="dxa"/>
            <w:vMerge w:val="restart"/>
            <w:tcBorders>
              <w:top w:val="single" w:color="000000" w:sz="4" w:space="0"/>
              <w:left w:val="single" w:color="000000" w:sz="4" w:space="0"/>
              <w:bottom w:val="nil"/>
              <w:right w:val="single" w:color="000000" w:sz="4" w:space="0"/>
            </w:tcBorders>
            <w:shd w:val="clear" w:color="auto" w:fill="auto"/>
            <w:vAlign w:val="center"/>
          </w:tcPr>
          <w:p w14:paraId="432C0C48">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低保、特困、孤儿、事实无人抚养儿童、重度残疾、低边</w:t>
            </w:r>
          </w:p>
        </w:tc>
        <w:tc>
          <w:tcPr>
            <w:tcW w:w="2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23E3A">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1-2万</w:t>
            </w:r>
          </w:p>
        </w:tc>
        <w:tc>
          <w:tcPr>
            <w:tcW w:w="2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45AAA">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不超过3倍低保标准</w:t>
            </w:r>
          </w:p>
        </w:tc>
        <w:tc>
          <w:tcPr>
            <w:tcW w:w="32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FEF84C">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特殊情况可在现标准上增加3倍低保标准，救助总金额最高不超过9倍低保标准。</w:t>
            </w:r>
          </w:p>
        </w:tc>
      </w:tr>
      <w:tr w14:paraId="3516B9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atLeast"/>
        </w:trPr>
        <w:tc>
          <w:tcPr>
            <w:tcW w:w="12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92292C">
            <w:pPr>
              <w:jc w:val="center"/>
              <w:rPr>
                <w:rFonts w:hint="default" w:ascii="Times New Roman" w:hAnsi="Times New Roman" w:cs="Times New Roman" w:eastAsiaTheme="minorEastAsia"/>
                <w:b/>
                <w:bCs/>
                <w:i w:val="0"/>
                <w:iCs w:val="0"/>
                <w:color w:val="000000"/>
                <w:sz w:val="21"/>
                <w:szCs w:val="21"/>
                <w:u w:val="none"/>
              </w:rPr>
            </w:pPr>
          </w:p>
        </w:tc>
        <w:tc>
          <w:tcPr>
            <w:tcW w:w="31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4B583E">
            <w:pPr>
              <w:jc w:val="center"/>
              <w:rPr>
                <w:rFonts w:hint="default" w:ascii="Times New Roman" w:hAnsi="Times New Roman" w:cs="Times New Roman" w:eastAsiaTheme="minorEastAsia"/>
                <w:i w:val="0"/>
                <w:iCs w:val="0"/>
                <w:color w:val="000000"/>
                <w:sz w:val="21"/>
                <w:szCs w:val="21"/>
                <w:u w:val="none"/>
              </w:rPr>
            </w:pPr>
          </w:p>
        </w:tc>
        <w:tc>
          <w:tcPr>
            <w:tcW w:w="1928" w:type="dxa"/>
            <w:vMerge w:val="continue"/>
            <w:tcBorders>
              <w:top w:val="single" w:color="000000" w:sz="4" w:space="0"/>
              <w:left w:val="single" w:color="000000" w:sz="4" w:space="0"/>
              <w:bottom w:val="nil"/>
              <w:right w:val="single" w:color="000000" w:sz="4" w:space="0"/>
            </w:tcBorders>
            <w:shd w:val="clear" w:color="auto" w:fill="auto"/>
            <w:vAlign w:val="center"/>
          </w:tcPr>
          <w:p w14:paraId="582C751E">
            <w:pPr>
              <w:jc w:val="center"/>
              <w:rPr>
                <w:rFonts w:hint="default" w:ascii="Times New Roman" w:hAnsi="Times New Roman" w:cs="Times New Roman" w:eastAsiaTheme="minorEastAsia"/>
                <w:i w:val="0"/>
                <w:iCs w:val="0"/>
                <w:color w:val="000000"/>
                <w:sz w:val="21"/>
                <w:szCs w:val="21"/>
                <w:u w:val="none"/>
              </w:rPr>
            </w:pPr>
          </w:p>
        </w:tc>
        <w:tc>
          <w:tcPr>
            <w:tcW w:w="2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57F65">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2-2.5万</w:t>
            </w:r>
          </w:p>
        </w:tc>
        <w:tc>
          <w:tcPr>
            <w:tcW w:w="2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1D4EC">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不超过4倍低保标准</w:t>
            </w:r>
          </w:p>
        </w:tc>
        <w:tc>
          <w:tcPr>
            <w:tcW w:w="32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C726C8">
            <w:pPr>
              <w:jc w:val="center"/>
              <w:rPr>
                <w:rFonts w:hint="default" w:ascii="Times New Roman" w:hAnsi="Times New Roman" w:cs="Times New Roman" w:eastAsiaTheme="minorEastAsia"/>
                <w:i w:val="0"/>
                <w:iCs w:val="0"/>
                <w:color w:val="000000"/>
                <w:sz w:val="21"/>
                <w:szCs w:val="21"/>
                <w:u w:val="none"/>
              </w:rPr>
            </w:pPr>
          </w:p>
        </w:tc>
      </w:tr>
      <w:tr w14:paraId="0F8ACD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atLeast"/>
        </w:trPr>
        <w:tc>
          <w:tcPr>
            <w:tcW w:w="12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337F08">
            <w:pPr>
              <w:jc w:val="center"/>
              <w:rPr>
                <w:rFonts w:hint="default" w:ascii="Times New Roman" w:hAnsi="Times New Roman" w:cs="Times New Roman" w:eastAsiaTheme="minorEastAsia"/>
                <w:b/>
                <w:bCs/>
                <w:i w:val="0"/>
                <w:iCs w:val="0"/>
                <w:color w:val="000000"/>
                <w:sz w:val="21"/>
                <w:szCs w:val="21"/>
                <w:u w:val="none"/>
              </w:rPr>
            </w:pPr>
          </w:p>
        </w:tc>
        <w:tc>
          <w:tcPr>
            <w:tcW w:w="31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2A0063">
            <w:pPr>
              <w:jc w:val="center"/>
              <w:rPr>
                <w:rFonts w:hint="default" w:ascii="Times New Roman" w:hAnsi="Times New Roman" w:cs="Times New Roman" w:eastAsiaTheme="minorEastAsia"/>
                <w:i w:val="0"/>
                <w:iCs w:val="0"/>
                <w:color w:val="000000"/>
                <w:sz w:val="21"/>
                <w:szCs w:val="21"/>
                <w:u w:val="none"/>
              </w:rPr>
            </w:pPr>
          </w:p>
        </w:tc>
        <w:tc>
          <w:tcPr>
            <w:tcW w:w="1928" w:type="dxa"/>
            <w:vMerge w:val="continue"/>
            <w:tcBorders>
              <w:top w:val="single" w:color="000000" w:sz="4" w:space="0"/>
              <w:left w:val="single" w:color="000000" w:sz="4" w:space="0"/>
              <w:bottom w:val="nil"/>
              <w:right w:val="single" w:color="000000" w:sz="4" w:space="0"/>
            </w:tcBorders>
            <w:shd w:val="clear" w:color="auto" w:fill="auto"/>
            <w:vAlign w:val="center"/>
          </w:tcPr>
          <w:p w14:paraId="488992E8">
            <w:pPr>
              <w:jc w:val="center"/>
              <w:rPr>
                <w:rFonts w:hint="default" w:ascii="Times New Roman" w:hAnsi="Times New Roman" w:cs="Times New Roman" w:eastAsiaTheme="minorEastAsia"/>
                <w:i w:val="0"/>
                <w:iCs w:val="0"/>
                <w:color w:val="000000"/>
                <w:sz w:val="21"/>
                <w:szCs w:val="21"/>
                <w:u w:val="none"/>
              </w:rPr>
            </w:pPr>
          </w:p>
        </w:tc>
        <w:tc>
          <w:tcPr>
            <w:tcW w:w="2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29450">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2.5-3万</w:t>
            </w:r>
          </w:p>
        </w:tc>
        <w:tc>
          <w:tcPr>
            <w:tcW w:w="2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135FD">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不超过5倍低保标准</w:t>
            </w:r>
          </w:p>
        </w:tc>
        <w:tc>
          <w:tcPr>
            <w:tcW w:w="32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130A25">
            <w:pPr>
              <w:jc w:val="center"/>
              <w:rPr>
                <w:rFonts w:hint="default" w:ascii="Times New Roman" w:hAnsi="Times New Roman" w:cs="Times New Roman" w:eastAsiaTheme="minorEastAsia"/>
                <w:i w:val="0"/>
                <w:iCs w:val="0"/>
                <w:color w:val="000000"/>
                <w:sz w:val="21"/>
                <w:szCs w:val="21"/>
                <w:u w:val="none"/>
              </w:rPr>
            </w:pPr>
          </w:p>
        </w:tc>
      </w:tr>
      <w:tr w14:paraId="193986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atLeast"/>
        </w:trPr>
        <w:tc>
          <w:tcPr>
            <w:tcW w:w="12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98C86E">
            <w:pPr>
              <w:jc w:val="center"/>
              <w:rPr>
                <w:rFonts w:hint="default" w:ascii="Times New Roman" w:hAnsi="Times New Roman" w:cs="Times New Roman" w:eastAsiaTheme="minorEastAsia"/>
                <w:b/>
                <w:bCs/>
                <w:i w:val="0"/>
                <w:iCs w:val="0"/>
                <w:color w:val="000000"/>
                <w:sz w:val="21"/>
                <w:szCs w:val="21"/>
                <w:u w:val="none"/>
              </w:rPr>
            </w:pPr>
          </w:p>
        </w:tc>
        <w:tc>
          <w:tcPr>
            <w:tcW w:w="31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E0867E">
            <w:pPr>
              <w:jc w:val="center"/>
              <w:rPr>
                <w:rFonts w:hint="default" w:ascii="Times New Roman" w:hAnsi="Times New Roman" w:cs="Times New Roman" w:eastAsiaTheme="minorEastAsia"/>
                <w:i w:val="0"/>
                <w:iCs w:val="0"/>
                <w:color w:val="000000"/>
                <w:sz w:val="21"/>
                <w:szCs w:val="21"/>
                <w:u w:val="none"/>
              </w:rPr>
            </w:pPr>
          </w:p>
        </w:tc>
        <w:tc>
          <w:tcPr>
            <w:tcW w:w="1928" w:type="dxa"/>
            <w:vMerge w:val="continue"/>
            <w:tcBorders>
              <w:top w:val="single" w:color="000000" w:sz="4" w:space="0"/>
              <w:left w:val="single" w:color="000000" w:sz="4" w:space="0"/>
              <w:bottom w:val="nil"/>
              <w:right w:val="single" w:color="000000" w:sz="4" w:space="0"/>
            </w:tcBorders>
            <w:shd w:val="clear" w:color="auto" w:fill="auto"/>
            <w:vAlign w:val="center"/>
          </w:tcPr>
          <w:p w14:paraId="0F32F147">
            <w:pPr>
              <w:jc w:val="center"/>
              <w:rPr>
                <w:rFonts w:hint="default" w:ascii="Times New Roman" w:hAnsi="Times New Roman" w:cs="Times New Roman" w:eastAsiaTheme="minorEastAsia"/>
                <w:i w:val="0"/>
                <w:iCs w:val="0"/>
                <w:color w:val="000000"/>
                <w:sz w:val="21"/>
                <w:szCs w:val="21"/>
                <w:u w:val="none"/>
              </w:rPr>
            </w:pPr>
          </w:p>
        </w:tc>
        <w:tc>
          <w:tcPr>
            <w:tcW w:w="2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09624">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3万及以上</w:t>
            </w:r>
          </w:p>
        </w:tc>
        <w:tc>
          <w:tcPr>
            <w:tcW w:w="2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8CCB4">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不超过6倍低保标准</w:t>
            </w:r>
          </w:p>
        </w:tc>
        <w:tc>
          <w:tcPr>
            <w:tcW w:w="32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BF3393">
            <w:pPr>
              <w:jc w:val="center"/>
              <w:rPr>
                <w:rFonts w:hint="default" w:ascii="Times New Roman" w:hAnsi="Times New Roman" w:cs="Times New Roman" w:eastAsiaTheme="minorEastAsia"/>
                <w:i w:val="0"/>
                <w:iCs w:val="0"/>
                <w:color w:val="000000"/>
                <w:sz w:val="21"/>
                <w:szCs w:val="21"/>
                <w:u w:val="none"/>
              </w:rPr>
            </w:pPr>
          </w:p>
        </w:tc>
      </w:tr>
      <w:tr w14:paraId="313FD1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atLeast"/>
        </w:trPr>
        <w:tc>
          <w:tcPr>
            <w:tcW w:w="12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90B64B">
            <w:pPr>
              <w:jc w:val="center"/>
              <w:rPr>
                <w:rFonts w:hint="default" w:ascii="Times New Roman" w:hAnsi="Times New Roman" w:cs="Times New Roman" w:eastAsiaTheme="minorEastAsia"/>
                <w:b/>
                <w:bCs/>
                <w:i w:val="0"/>
                <w:iCs w:val="0"/>
                <w:color w:val="000000"/>
                <w:sz w:val="21"/>
                <w:szCs w:val="21"/>
                <w:u w:val="none"/>
              </w:rPr>
            </w:pPr>
          </w:p>
        </w:tc>
        <w:tc>
          <w:tcPr>
            <w:tcW w:w="31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A903E2">
            <w:pPr>
              <w:jc w:val="center"/>
              <w:rPr>
                <w:rFonts w:hint="default" w:ascii="Times New Roman" w:hAnsi="Times New Roman" w:cs="Times New Roman" w:eastAsiaTheme="minorEastAsia"/>
                <w:i w:val="0"/>
                <w:iCs w:val="0"/>
                <w:color w:val="000000"/>
                <w:sz w:val="21"/>
                <w:szCs w:val="21"/>
                <w:u w:val="none"/>
              </w:rPr>
            </w:pPr>
          </w:p>
        </w:tc>
        <w:tc>
          <w:tcPr>
            <w:tcW w:w="19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A09F4B">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一般家庭</w:t>
            </w:r>
          </w:p>
        </w:tc>
        <w:tc>
          <w:tcPr>
            <w:tcW w:w="2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B97B6">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2-2.5万</w:t>
            </w:r>
          </w:p>
        </w:tc>
        <w:tc>
          <w:tcPr>
            <w:tcW w:w="2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8AD00">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不超过3倍低保标准</w:t>
            </w:r>
          </w:p>
        </w:tc>
        <w:tc>
          <w:tcPr>
            <w:tcW w:w="32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8B647ED">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拥有机动车辆、家庭收入超标或两套及以上商品房（安置房除外）可按照临时救助相关要求执行。</w:t>
            </w:r>
          </w:p>
        </w:tc>
      </w:tr>
      <w:tr w14:paraId="4AEE6E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atLeast"/>
        </w:trPr>
        <w:tc>
          <w:tcPr>
            <w:tcW w:w="12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53C0D1">
            <w:pPr>
              <w:jc w:val="center"/>
              <w:rPr>
                <w:rFonts w:hint="default" w:ascii="Times New Roman" w:hAnsi="Times New Roman" w:cs="Times New Roman" w:eastAsiaTheme="minorEastAsia"/>
                <w:b/>
                <w:bCs/>
                <w:i w:val="0"/>
                <w:iCs w:val="0"/>
                <w:color w:val="000000"/>
                <w:sz w:val="21"/>
                <w:szCs w:val="21"/>
                <w:u w:val="none"/>
              </w:rPr>
            </w:pPr>
          </w:p>
        </w:tc>
        <w:tc>
          <w:tcPr>
            <w:tcW w:w="31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979875">
            <w:pPr>
              <w:jc w:val="center"/>
              <w:rPr>
                <w:rFonts w:hint="default" w:ascii="Times New Roman" w:hAnsi="Times New Roman" w:cs="Times New Roman" w:eastAsiaTheme="minorEastAsia"/>
                <w:i w:val="0"/>
                <w:iCs w:val="0"/>
                <w:color w:val="000000"/>
                <w:sz w:val="21"/>
                <w:szCs w:val="21"/>
                <w:u w:val="none"/>
              </w:rPr>
            </w:pPr>
          </w:p>
        </w:tc>
        <w:tc>
          <w:tcPr>
            <w:tcW w:w="1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CCD302">
            <w:pPr>
              <w:jc w:val="center"/>
              <w:rPr>
                <w:rFonts w:hint="default" w:ascii="Times New Roman" w:hAnsi="Times New Roman" w:cs="Times New Roman" w:eastAsiaTheme="minorEastAsia"/>
                <w:i w:val="0"/>
                <w:iCs w:val="0"/>
                <w:color w:val="000000"/>
                <w:sz w:val="21"/>
                <w:szCs w:val="21"/>
                <w:u w:val="none"/>
              </w:rPr>
            </w:pPr>
          </w:p>
        </w:tc>
        <w:tc>
          <w:tcPr>
            <w:tcW w:w="2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E9E7A">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2.5-3万</w:t>
            </w:r>
          </w:p>
        </w:tc>
        <w:tc>
          <w:tcPr>
            <w:tcW w:w="2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CCAAE">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不超过4倍低保标准</w:t>
            </w:r>
          </w:p>
        </w:tc>
        <w:tc>
          <w:tcPr>
            <w:tcW w:w="32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E577B2">
            <w:pPr>
              <w:jc w:val="center"/>
              <w:rPr>
                <w:rFonts w:hint="default" w:ascii="Times New Roman" w:hAnsi="Times New Roman" w:cs="Times New Roman" w:eastAsiaTheme="minorEastAsia"/>
                <w:i w:val="0"/>
                <w:iCs w:val="0"/>
                <w:color w:val="000000"/>
                <w:sz w:val="21"/>
                <w:szCs w:val="21"/>
                <w:u w:val="none"/>
              </w:rPr>
            </w:pPr>
          </w:p>
        </w:tc>
      </w:tr>
      <w:tr w14:paraId="5839A4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atLeast"/>
        </w:trPr>
        <w:tc>
          <w:tcPr>
            <w:tcW w:w="12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485395">
            <w:pPr>
              <w:jc w:val="center"/>
              <w:rPr>
                <w:rFonts w:hint="default" w:ascii="Times New Roman" w:hAnsi="Times New Roman" w:cs="Times New Roman" w:eastAsiaTheme="minorEastAsia"/>
                <w:b/>
                <w:bCs/>
                <w:i w:val="0"/>
                <w:iCs w:val="0"/>
                <w:color w:val="000000"/>
                <w:sz w:val="21"/>
                <w:szCs w:val="21"/>
                <w:u w:val="none"/>
              </w:rPr>
            </w:pPr>
          </w:p>
        </w:tc>
        <w:tc>
          <w:tcPr>
            <w:tcW w:w="31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EF53B6">
            <w:pPr>
              <w:jc w:val="center"/>
              <w:rPr>
                <w:rFonts w:hint="default" w:ascii="Times New Roman" w:hAnsi="Times New Roman" w:cs="Times New Roman" w:eastAsiaTheme="minorEastAsia"/>
                <w:i w:val="0"/>
                <w:iCs w:val="0"/>
                <w:color w:val="000000"/>
                <w:sz w:val="21"/>
                <w:szCs w:val="21"/>
                <w:u w:val="none"/>
              </w:rPr>
            </w:pPr>
          </w:p>
        </w:tc>
        <w:tc>
          <w:tcPr>
            <w:tcW w:w="1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6926EC">
            <w:pPr>
              <w:jc w:val="center"/>
              <w:rPr>
                <w:rFonts w:hint="default" w:ascii="Times New Roman" w:hAnsi="Times New Roman" w:cs="Times New Roman" w:eastAsiaTheme="minorEastAsia"/>
                <w:i w:val="0"/>
                <w:iCs w:val="0"/>
                <w:color w:val="000000"/>
                <w:sz w:val="21"/>
                <w:szCs w:val="21"/>
                <w:u w:val="none"/>
              </w:rPr>
            </w:pPr>
          </w:p>
        </w:tc>
        <w:tc>
          <w:tcPr>
            <w:tcW w:w="2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809A2">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3-4万</w:t>
            </w:r>
          </w:p>
        </w:tc>
        <w:tc>
          <w:tcPr>
            <w:tcW w:w="2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2052C">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不超过5倍低保标准</w:t>
            </w:r>
          </w:p>
        </w:tc>
        <w:tc>
          <w:tcPr>
            <w:tcW w:w="32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4E8349">
            <w:pPr>
              <w:jc w:val="center"/>
              <w:rPr>
                <w:rFonts w:hint="default" w:ascii="Times New Roman" w:hAnsi="Times New Roman" w:cs="Times New Roman" w:eastAsiaTheme="minorEastAsia"/>
                <w:i w:val="0"/>
                <w:iCs w:val="0"/>
                <w:color w:val="000000"/>
                <w:sz w:val="21"/>
                <w:szCs w:val="21"/>
                <w:u w:val="none"/>
              </w:rPr>
            </w:pPr>
          </w:p>
        </w:tc>
      </w:tr>
      <w:tr w14:paraId="1A578F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atLeast"/>
        </w:trPr>
        <w:tc>
          <w:tcPr>
            <w:tcW w:w="12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348E5F">
            <w:pPr>
              <w:jc w:val="center"/>
              <w:rPr>
                <w:rFonts w:hint="default" w:ascii="Times New Roman" w:hAnsi="Times New Roman" w:cs="Times New Roman" w:eastAsiaTheme="minorEastAsia"/>
                <w:b/>
                <w:bCs/>
                <w:i w:val="0"/>
                <w:iCs w:val="0"/>
                <w:color w:val="000000"/>
                <w:sz w:val="21"/>
                <w:szCs w:val="21"/>
                <w:u w:val="none"/>
              </w:rPr>
            </w:pPr>
          </w:p>
        </w:tc>
        <w:tc>
          <w:tcPr>
            <w:tcW w:w="31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028100">
            <w:pPr>
              <w:jc w:val="center"/>
              <w:rPr>
                <w:rFonts w:hint="default" w:ascii="Times New Roman" w:hAnsi="Times New Roman" w:cs="Times New Roman" w:eastAsiaTheme="minorEastAsia"/>
                <w:i w:val="0"/>
                <w:iCs w:val="0"/>
                <w:color w:val="000000"/>
                <w:sz w:val="21"/>
                <w:szCs w:val="21"/>
                <w:u w:val="none"/>
              </w:rPr>
            </w:pPr>
          </w:p>
        </w:tc>
        <w:tc>
          <w:tcPr>
            <w:tcW w:w="1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160F5D">
            <w:pPr>
              <w:jc w:val="center"/>
              <w:rPr>
                <w:rFonts w:hint="default" w:ascii="Times New Roman" w:hAnsi="Times New Roman" w:cs="Times New Roman" w:eastAsiaTheme="minorEastAsia"/>
                <w:i w:val="0"/>
                <w:iCs w:val="0"/>
                <w:color w:val="000000"/>
                <w:sz w:val="21"/>
                <w:szCs w:val="21"/>
                <w:u w:val="none"/>
              </w:rPr>
            </w:pPr>
          </w:p>
        </w:tc>
        <w:tc>
          <w:tcPr>
            <w:tcW w:w="2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BEAF4">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4万及以上</w:t>
            </w:r>
          </w:p>
        </w:tc>
        <w:tc>
          <w:tcPr>
            <w:tcW w:w="2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849BE">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不超过6倍低保标准</w:t>
            </w:r>
          </w:p>
        </w:tc>
        <w:tc>
          <w:tcPr>
            <w:tcW w:w="32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0A1919">
            <w:pPr>
              <w:jc w:val="center"/>
              <w:rPr>
                <w:rFonts w:hint="default" w:ascii="Times New Roman" w:hAnsi="Times New Roman" w:cs="Times New Roman" w:eastAsiaTheme="minorEastAsia"/>
                <w:i w:val="0"/>
                <w:iCs w:val="0"/>
                <w:color w:val="000000"/>
                <w:sz w:val="21"/>
                <w:szCs w:val="21"/>
                <w:u w:val="none"/>
              </w:rPr>
            </w:pPr>
          </w:p>
        </w:tc>
      </w:tr>
      <w:tr w14:paraId="42ADB9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atLeast"/>
        </w:trPr>
        <w:tc>
          <w:tcPr>
            <w:tcW w:w="12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0D6AFE">
            <w:pPr>
              <w:keepNext w:val="0"/>
              <w:keepLines w:val="0"/>
              <w:widowControl/>
              <w:suppressLineNumbers w:val="0"/>
              <w:jc w:val="center"/>
              <w:textAlignment w:val="center"/>
              <w:rPr>
                <w:rFonts w:hint="default" w:ascii="Times New Roman" w:hAnsi="Times New Roman" w:cs="Times New Roman" w:eastAsiaTheme="minorEastAsia"/>
                <w:b/>
                <w:bCs/>
                <w:i w:val="0"/>
                <w:iCs w:val="0"/>
                <w:color w:val="000000"/>
                <w:kern w:val="0"/>
                <w:sz w:val="21"/>
                <w:szCs w:val="21"/>
                <w:u w:val="none"/>
                <w:lang w:val="en-US" w:eastAsia="zh-CN" w:bidi="ar"/>
              </w:rPr>
            </w:pPr>
            <w:r>
              <w:rPr>
                <w:rFonts w:hint="default" w:ascii="Times New Roman" w:hAnsi="Times New Roman" w:cs="Times New Roman" w:eastAsiaTheme="minorEastAsia"/>
                <w:b/>
                <w:bCs/>
                <w:i w:val="0"/>
                <w:iCs w:val="0"/>
                <w:color w:val="000000"/>
                <w:kern w:val="0"/>
                <w:sz w:val="21"/>
                <w:szCs w:val="21"/>
                <w:u w:val="none"/>
                <w:lang w:val="en-US" w:eastAsia="zh-CN" w:bidi="ar"/>
              </w:rPr>
              <w:t>基本生活</w:t>
            </w:r>
          </w:p>
          <w:p w14:paraId="1252EACF">
            <w:pPr>
              <w:keepNext w:val="0"/>
              <w:keepLines w:val="0"/>
              <w:widowControl/>
              <w:suppressLineNumbers w:val="0"/>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帮扶</w:t>
            </w:r>
          </w:p>
        </w:tc>
        <w:tc>
          <w:tcPr>
            <w:tcW w:w="31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3EFAF8">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因医疗、教育、基本生活支出等情况发生自付费用，且对家庭造成基本生活困难的。</w:t>
            </w:r>
          </w:p>
        </w:tc>
        <w:tc>
          <w:tcPr>
            <w:tcW w:w="19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046CF7">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低保、特困、孤儿、事实无人抚养儿童、重度残疾、低保边缘家庭等</w:t>
            </w:r>
          </w:p>
        </w:tc>
        <w:tc>
          <w:tcPr>
            <w:tcW w:w="2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78C67">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0.1-0.5万</w:t>
            </w:r>
          </w:p>
        </w:tc>
        <w:tc>
          <w:tcPr>
            <w:tcW w:w="2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D3B40">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不超过1倍低保标准</w:t>
            </w:r>
          </w:p>
        </w:tc>
        <w:tc>
          <w:tcPr>
            <w:tcW w:w="32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23E6C6">
            <w:pPr>
              <w:jc w:val="center"/>
              <w:rPr>
                <w:rFonts w:hint="default" w:ascii="Times New Roman" w:hAnsi="Times New Roman" w:cs="Times New Roman" w:eastAsiaTheme="minorEastAsia"/>
                <w:i w:val="0"/>
                <w:iCs w:val="0"/>
                <w:color w:val="000000"/>
                <w:sz w:val="21"/>
                <w:szCs w:val="21"/>
                <w:u w:val="none"/>
              </w:rPr>
            </w:pPr>
          </w:p>
        </w:tc>
      </w:tr>
      <w:tr w14:paraId="25F2CB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1" w:hRule="atLeast"/>
        </w:trPr>
        <w:tc>
          <w:tcPr>
            <w:tcW w:w="12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D8C583">
            <w:pPr>
              <w:jc w:val="center"/>
              <w:rPr>
                <w:rFonts w:hint="default" w:ascii="Times New Roman" w:hAnsi="Times New Roman" w:cs="Times New Roman" w:eastAsiaTheme="minorEastAsia"/>
                <w:b/>
                <w:bCs/>
                <w:i w:val="0"/>
                <w:iCs w:val="0"/>
                <w:color w:val="000000"/>
                <w:sz w:val="21"/>
                <w:szCs w:val="21"/>
                <w:u w:val="none"/>
              </w:rPr>
            </w:pPr>
          </w:p>
        </w:tc>
        <w:tc>
          <w:tcPr>
            <w:tcW w:w="31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F2345A">
            <w:pPr>
              <w:jc w:val="center"/>
              <w:rPr>
                <w:rFonts w:hint="default" w:ascii="Times New Roman" w:hAnsi="Times New Roman" w:cs="Times New Roman" w:eastAsiaTheme="minorEastAsia"/>
                <w:i w:val="0"/>
                <w:iCs w:val="0"/>
                <w:color w:val="000000"/>
                <w:sz w:val="21"/>
                <w:szCs w:val="21"/>
                <w:u w:val="none"/>
              </w:rPr>
            </w:pPr>
          </w:p>
        </w:tc>
        <w:tc>
          <w:tcPr>
            <w:tcW w:w="1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F17484">
            <w:pPr>
              <w:jc w:val="center"/>
              <w:rPr>
                <w:rFonts w:hint="default" w:ascii="Times New Roman" w:hAnsi="Times New Roman" w:cs="Times New Roman" w:eastAsiaTheme="minorEastAsia"/>
                <w:i w:val="0"/>
                <w:iCs w:val="0"/>
                <w:color w:val="000000"/>
                <w:sz w:val="21"/>
                <w:szCs w:val="21"/>
                <w:u w:val="none"/>
              </w:rPr>
            </w:pPr>
          </w:p>
        </w:tc>
        <w:tc>
          <w:tcPr>
            <w:tcW w:w="2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FD0AB">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0.5万及以上</w:t>
            </w:r>
          </w:p>
        </w:tc>
        <w:tc>
          <w:tcPr>
            <w:tcW w:w="2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E1412">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不超过2倍低保标准</w:t>
            </w:r>
          </w:p>
        </w:tc>
        <w:tc>
          <w:tcPr>
            <w:tcW w:w="32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9D4BEB">
            <w:pPr>
              <w:jc w:val="center"/>
              <w:rPr>
                <w:rFonts w:hint="default" w:ascii="Times New Roman" w:hAnsi="Times New Roman" w:cs="Times New Roman" w:eastAsiaTheme="minorEastAsia"/>
                <w:i w:val="0"/>
                <w:iCs w:val="0"/>
                <w:color w:val="000000"/>
                <w:sz w:val="21"/>
                <w:szCs w:val="21"/>
                <w:u w:val="none"/>
              </w:rPr>
            </w:pPr>
          </w:p>
        </w:tc>
      </w:tr>
      <w:tr w14:paraId="62CEE5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1435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CE7D3A0">
            <w:pPr>
              <w:keepNext w:val="0"/>
              <w:keepLines w:val="0"/>
              <w:widowControl/>
              <w:suppressLineNumbers w:val="0"/>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备注：农村困难对象以临时救助为主，城市困难对象以城市帮扶为主。</w:t>
            </w:r>
          </w:p>
        </w:tc>
      </w:tr>
    </w:tbl>
    <w:p w14:paraId="3E02569D">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cs="Times New Roman"/>
        </w:rPr>
      </w:pPr>
    </w:p>
    <w:p w14:paraId="6FBACEF4">
      <w:pPr>
        <w:keepNext w:val="0"/>
        <w:keepLines w:val="0"/>
        <w:pageBreakBefore w:val="0"/>
        <w:widowControl w:val="0"/>
        <w:kinsoku/>
        <w:wordWrap/>
        <w:overflowPunct/>
        <w:topLinePunct w:val="0"/>
        <w:autoSpaceDE/>
        <w:autoSpaceDN/>
        <w:bidi w:val="0"/>
        <w:adjustRightInd/>
        <w:snapToGrid/>
        <w:spacing w:line="20" w:lineRule="exact"/>
        <w:jc w:val="left"/>
        <w:textAlignment w:val="auto"/>
        <w:rPr>
          <w:rFonts w:hint="default" w:ascii="Times New Roman" w:hAnsi="Times New Roman" w:eastAsia="仿宋_GB2312" w:cs="Times New Roman"/>
          <w:sz w:val="32"/>
          <w:szCs w:val="32"/>
          <w:lang w:val="en-US" w:eastAsia="zh-CN"/>
        </w:rPr>
        <w:sectPr>
          <w:pgSz w:w="16838" w:h="11906" w:orient="landscape"/>
          <w:pgMar w:top="1417" w:right="1417" w:bottom="1134" w:left="1417" w:header="851" w:footer="992" w:gutter="0"/>
          <w:pgNumType w:fmt="numberInDash"/>
          <w:cols w:space="0" w:num="1"/>
          <w:rtlGutter w:val="0"/>
          <w:docGrid w:type="lines" w:linePitch="313" w:charSpace="0"/>
        </w:sectPr>
      </w:pPr>
    </w:p>
    <w:p w14:paraId="55B7F2AB">
      <w:pPr>
        <w:pStyle w:val="2"/>
        <w:rPr>
          <w:rFonts w:hint="eastAsia" w:ascii="仿宋_GB2312" w:hAnsi="仿宋" w:eastAsia="仿宋_GB2312"/>
          <w:sz w:val="32"/>
          <w:szCs w:val="32"/>
          <w:lang w:eastAsia="zh-CN"/>
        </w:rPr>
      </w:pPr>
      <w:r>
        <w:rPr>
          <w:rFonts w:hint="eastAsia" w:ascii="仿宋_GB2312" w:hAnsi="仿宋" w:eastAsia="仿宋_GB2312"/>
          <w:sz w:val="32"/>
          <w:szCs w:val="32"/>
          <w:lang w:eastAsia="zh-CN"/>
        </w:rPr>
        <w:t>（此页无正文）</w:t>
      </w:r>
    </w:p>
    <w:p w14:paraId="6AA08EDF">
      <w:pPr>
        <w:pStyle w:val="2"/>
        <w:rPr>
          <w:rFonts w:hint="eastAsia" w:ascii="仿宋_GB2312" w:hAnsi="仿宋" w:eastAsia="仿宋_GB2312"/>
          <w:sz w:val="32"/>
          <w:szCs w:val="32"/>
        </w:rPr>
      </w:pPr>
    </w:p>
    <w:p w14:paraId="6F7A345D">
      <w:pPr>
        <w:rPr>
          <w:rFonts w:hint="eastAsia" w:ascii="仿宋_GB2312" w:hAnsi="仿宋" w:eastAsia="仿宋_GB2312"/>
          <w:sz w:val="32"/>
          <w:szCs w:val="32"/>
        </w:rPr>
      </w:pPr>
    </w:p>
    <w:p w14:paraId="7A0EDF0E">
      <w:pPr>
        <w:pStyle w:val="2"/>
        <w:rPr>
          <w:rFonts w:hint="eastAsia" w:ascii="仿宋_GB2312" w:hAnsi="仿宋" w:eastAsia="仿宋_GB2312"/>
          <w:sz w:val="32"/>
          <w:szCs w:val="32"/>
        </w:rPr>
      </w:pPr>
    </w:p>
    <w:p w14:paraId="6697993D">
      <w:pPr>
        <w:pStyle w:val="2"/>
        <w:rPr>
          <w:rFonts w:hint="eastAsia" w:ascii="仿宋_GB2312" w:hAnsi="仿宋" w:eastAsia="仿宋_GB2312"/>
          <w:sz w:val="32"/>
          <w:szCs w:val="32"/>
        </w:rPr>
      </w:pPr>
    </w:p>
    <w:p w14:paraId="3C04D51D">
      <w:pPr>
        <w:pStyle w:val="2"/>
        <w:rPr>
          <w:rFonts w:hint="eastAsia" w:ascii="仿宋_GB2312" w:hAnsi="仿宋" w:eastAsia="仿宋_GB2312"/>
          <w:sz w:val="32"/>
          <w:szCs w:val="32"/>
        </w:rPr>
      </w:pPr>
    </w:p>
    <w:p w14:paraId="77C18D2A">
      <w:pPr>
        <w:pStyle w:val="2"/>
        <w:rPr>
          <w:rFonts w:hint="eastAsia" w:ascii="仿宋_GB2312" w:hAnsi="仿宋" w:eastAsia="仿宋_GB2312"/>
          <w:sz w:val="32"/>
          <w:szCs w:val="32"/>
        </w:rPr>
      </w:pPr>
    </w:p>
    <w:p w14:paraId="2C1C82B4">
      <w:pPr>
        <w:pStyle w:val="2"/>
        <w:rPr>
          <w:rFonts w:hint="eastAsia" w:ascii="仿宋_GB2312" w:hAnsi="仿宋" w:eastAsia="仿宋_GB2312"/>
          <w:sz w:val="32"/>
          <w:szCs w:val="32"/>
        </w:rPr>
      </w:pPr>
    </w:p>
    <w:p w14:paraId="1671E45B">
      <w:pPr>
        <w:pStyle w:val="2"/>
        <w:rPr>
          <w:rFonts w:hint="eastAsia" w:ascii="仿宋_GB2312" w:hAnsi="仿宋" w:eastAsia="仿宋_GB2312"/>
          <w:sz w:val="32"/>
          <w:szCs w:val="32"/>
        </w:rPr>
      </w:pPr>
    </w:p>
    <w:p w14:paraId="0EAAED92">
      <w:pPr>
        <w:pStyle w:val="2"/>
        <w:rPr>
          <w:rFonts w:hint="eastAsia" w:ascii="仿宋_GB2312" w:hAnsi="仿宋" w:eastAsia="仿宋_GB2312"/>
          <w:sz w:val="32"/>
          <w:szCs w:val="32"/>
        </w:rPr>
      </w:pPr>
      <w:bookmarkStart w:id="4" w:name="_GoBack"/>
      <w:bookmarkEnd w:id="4"/>
    </w:p>
    <w:p w14:paraId="5CDBB110">
      <w:pPr>
        <w:pStyle w:val="2"/>
        <w:rPr>
          <w:rFonts w:hint="eastAsia" w:ascii="仿宋_GB2312" w:hAnsi="仿宋" w:eastAsia="仿宋_GB2312"/>
          <w:sz w:val="32"/>
          <w:szCs w:val="32"/>
        </w:rPr>
      </w:pPr>
    </w:p>
    <w:p w14:paraId="736FA3CB">
      <w:pPr>
        <w:pStyle w:val="2"/>
        <w:rPr>
          <w:rFonts w:hint="eastAsia" w:ascii="仿宋_GB2312" w:hAnsi="仿宋" w:eastAsia="仿宋_GB2312"/>
          <w:sz w:val="32"/>
          <w:szCs w:val="32"/>
        </w:rPr>
      </w:pPr>
    </w:p>
    <w:p w14:paraId="26FAAD69">
      <w:pPr>
        <w:pStyle w:val="2"/>
        <w:rPr>
          <w:rFonts w:hint="eastAsia" w:ascii="仿宋_GB2312" w:hAnsi="仿宋" w:eastAsia="仿宋_GB2312"/>
          <w:sz w:val="32"/>
          <w:szCs w:val="32"/>
        </w:rPr>
      </w:pPr>
    </w:p>
    <w:p w14:paraId="55CE3700">
      <w:pPr>
        <w:pStyle w:val="2"/>
        <w:rPr>
          <w:rFonts w:hint="eastAsia" w:ascii="仿宋_GB2312" w:hAnsi="仿宋" w:eastAsia="仿宋_GB2312"/>
          <w:sz w:val="32"/>
          <w:szCs w:val="32"/>
        </w:rPr>
      </w:pPr>
    </w:p>
    <w:p w14:paraId="0B701BA8">
      <w:pPr>
        <w:pStyle w:val="2"/>
        <w:rPr>
          <w:rFonts w:hint="eastAsia" w:ascii="仿宋_GB2312" w:hAnsi="仿宋" w:eastAsia="仿宋_GB2312"/>
          <w:sz w:val="32"/>
          <w:szCs w:val="32"/>
        </w:rPr>
      </w:pPr>
    </w:p>
    <w:p w14:paraId="246F283B">
      <w:pPr>
        <w:pStyle w:val="2"/>
        <w:rPr>
          <w:rFonts w:hint="eastAsia" w:ascii="仿宋_GB2312" w:hAnsi="仿宋" w:eastAsia="仿宋_GB2312"/>
          <w:sz w:val="32"/>
          <w:szCs w:val="32"/>
        </w:rPr>
      </w:pPr>
    </w:p>
    <w:p w14:paraId="7C975359">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610" w:lineRule="exact"/>
        <w:ind w:firstLine="640" w:firstLineChars="200"/>
        <w:textAlignment w:val="auto"/>
        <w:outlineLvl w:val="9"/>
        <w:rPr>
          <w:rFonts w:hint="eastAsia" w:ascii="仿宋_GB2312" w:hAnsi="仿宋" w:eastAsia="仿宋_GB2312" w:cs="宋体"/>
          <w:sz w:val="32"/>
          <w:szCs w:val="32"/>
        </w:rPr>
      </w:pPr>
    </w:p>
    <w:p w14:paraId="2DDACC5A">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610" w:lineRule="exact"/>
        <w:ind w:firstLine="640" w:firstLineChars="200"/>
        <w:textAlignment w:val="auto"/>
        <w:outlineLvl w:val="9"/>
        <w:rPr>
          <w:rFonts w:ascii="仿宋_GB2312" w:hAnsi="仿宋_GB2312" w:eastAsia="仿宋_GB2312" w:cs="仿宋_GB2312"/>
          <w:color w:val="000000"/>
          <w:sz w:val="32"/>
          <w:szCs w:val="32"/>
          <w:shd w:val="clear" w:color="auto" w:fill="FFFFFF"/>
        </w:rPr>
      </w:pPr>
      <w:r>
        <w:rPr>
          <w:rFonts w:hint="eastAsia" w:ascii="仿宋_GB2312" w:hAnsi="仿宋" w:eastAsia="仿宋_GB2312" w:cs="宋体"/>
          <w:sz w:val="32"/>
          <w:szCs w:val="32"/>
        </w:rPr>
        <w:t xml:space="preserve"> </w:t>
      </w:r>
    </w:p>
    <w:p w14:paraId="14DDD126">
      <w:pPr>
        <w:keepNext w:val="0"/>
        <w:keepLines w:val="0"/>
        <w:pageBreakBefore w:val="0"/>
        <w:widowControl w:val="0"/>
        <w:kinsoku/>
        <w:wordWrap/>
        <w:overflowPunct/>
        <w:topLinePunct w:val="0"/>
        <w:autoSpaceDE/>
        <w:autoSpaceDN/>
        <w:bidi w:val="0"/>
        <w:adjustRightInd/>
        <w:snapToGrid w:val="0"/>
        <w:spacing w:line="600" w:lineRule="exact"/>
        <w:jc w:val="left"/>
        <w:textAlignment w:val="auto"/>
        <w:outlineLvl w:val="9"/>
        <w:rPr>
          <w:rFonts w:hint="eastAsia" w:ascii="Times New Roman" w:hAnsi="Times New Roman" w:eastAsia="仿宋_GB2312" w:cs="Times New Roman"/>
          <w:color w:val="auto"/>
          <w:sz w:val="32"/>
          <w:szCs w:val="32"/>
          <w:lang w:val="en-US" w:eastAsia="zh-CN"/>
        </w:rPr>
      </w:pPr>
      <w:r>
        <w:rPr>
          <w:color w:val="000000"/>
          <w:u w:val="none"/>
        </w:rPr>
        <mc:AlternateContent>
          <mc:Choice Requires="wps">
            <w:drawing>
              <wp:anchor distT="0" distB="0" distL="114300" distR="114300" simplePos="0" relativeHeight="251660288" behindDoc="0" locked="0" layoutInCell="1" allowOverlap="1">
                <wp:simplePos x="0" y="0"/>
                <wp:positionH relativeFrom="column">
                  <wp:posOffset>-81915</wp:posOffset>
                </wp:positionH>
                <wp:positionV relativeFrom="paragraph">
                  <wp:posOffset>449580</wp:posOffset>
                </wp:positionV>
                <wp:extent cx="5438140" cy="0"/>
                <wp:effectExtent l="0" t="4445" r="0" b="5080"/>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543814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6.45pt;margin-top:35.4pt;height:0pt;width:428.2pt;z-index:251660288;mso-width-relative:page;mso-height-relative:page;" filled="f" stroked="t" coordsize="21600,21600" o:gfxdata="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ppPWm&#10;1wAAAAkBAAAPAAAAAAAAAAEAIAAAACIAAABkcnMvZG93bnJldi54bWxQSwECFAAUAAAACACHTuJA&#10;saJXLOkBAAC4AwAADgAAAAAAAAABACAAAAAmAQAAZHJzL2Uyb0RvYy54bWxQSwUGAAAAAAYABgBZ&#10;AQAAgQUAAAAA&#10;">
                <v:fill on="f" focussize="0,0"/>
                <v:stroke color="#000000" joinstyle="round"/>
                <v:imagedata o:title=""/>
                <o:lock v:ext="edit" aspectratio="f"/>
              </v:line>
            </w:pict>
          </mc:Fallback>
        </mc:AlternateContent>
      </w:r>
      <w:r>
        <w:rPr>
          <w:color w:val="000000"/>
          <w:u w:val="none"/>
        </w:rPr>
        <mc:AlternateContent>
          <mc:Choice Requires="wps">
            <w:drawing>
              <wp:anchor distT="0" distB="0" distL="114300" distR="114300" simplePos="0" relativeHeight="251659264" behindDoc="0" locked="0" layoutInCell="1" allowOverlap="1">
                <wp:simplePos x="0" y="0"/>
                <wp:positionH relativeFrom="column">
                  <wp:posOffset>-73660</wp:posOffset>
                </wp:positionH>
                <wp:positionV relativeFrom="paragraph">
                  <wp:posOffset>24130</wp:posOffset>
                </wp:positionV>
                <wp:extent cx="5422265" cy="0"/>
                <wp:effectExtent l="0" t="4445" r="0" b="5080"/>
                <wp:wrapNone/>
                <wp:docPr id="2" name="直接连接符 2"/>
                <wp:cNvGraphicFramePr/>
                <a:graphic xmlns:a="http://schemas.openxmlformats.org/drawingml/2006/main">
                  <a:graphicData uri="http://schemas.microsoft.com/office/word/2010/wordprocessingShape">
                    <wps:wsp>
                      <wps:cNvCnPr>
                        <a:cxnSpLocks noChangeShapeType="1"/>
                      </wps:cNvCnPr>
                      <wps:spPr bwMode="auto">
                        <a:xfrm>
                          <a:off x="0" y="0"/>
                          <a:ext cx="542226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5.8pt;margin-top:1.9pt;height:0pt;width:426.95pt;z-index:251659264;mso-width-relative:page;mso-height-relative:page;" filled="f" stroked="t" coordsize="21600,21600" o:gfxdata="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A9xq+dUA&#10;AAAHAQAADwAAAAAAAAABACAAAAAiAAAAZHJzL2Rvd25yZXYueG1sUEsBAhQAFAAAAAgAh07iQNp/&#10;NgPpAQAAuAMAAA4AAAAAAAAAAQAgAAAAJAEAAGRycy9lMm9Eb2MueG1sUEsFBgAAAAAGAAYAWQEA&#10;AH8FAAAAAA==&#10;">
                <v:fill on="f" focussize="0,0"/>
                <v:stroke color="#000000" joinstyle="round"/>
                <v:imagedata o:title=""/>
                <o:lock v:ext="edit" aspectratio="f"/>
              </v:line>
            </w:pict>
          </mc:Fallback>
        </mc:AlternateContent>
      </w:r>
      <w:r>
        <w:rPr>
          <w:rFonts w:hint="eastAsia" w:ascii="仿宋_GB2312" w:eastAsia="仿宋_GB2312"/>
          <w:color w:val="000000"/>
          <w:sz w:val="32"/>
          <w:szCs w:val="32"/>
          <w:u w:val="none"/>
        </w:rPr>
        <w:t>丁字湾街道党政办公室</w:t>
      </w:r>
      <w:r>
        <w:rPr>
          <w:rFonts w:eastAsia="仿宋_GB2312"/>
          <w:color w:val="000000"/>
          <w:sz w:val="32"/>
          <w:szCs w:val="32"/>
          <w:u w:val="none"/>
        </w:rPr>
        <w:t> </w:t>
      </w:r>
      <w:r>
        <w:rPr>
          <w:rFonts w:ascii="仿宋_GB2312" w:eastAsia="仿宋_GB2312"/>
          <w:color w:val="000000"/>
          <w:sz w:val="32"/>
          <w:szCs w:val="32"/>
          <w:u w:val="none"/>
        </w:rPr>
        <w:t xml:space="preserve">   </w:t>
      </w:r>
      <w:r>
        <w:rPr>
          <w:rFonts w:hint="eastAsia" w:ascii="仿宋_GB2312" w:eastAsia="仿宋_GB2312"/>
          <w:color w:val="000000"/>
          <w:sz w:val="32"/>
          <w:szCs w:val="32"/>
          <w:u w:val="none"/>
          <w:lang w:val="en-US" w:eastAsia="zh-CN"/>
        </w:rPr>
        <w:t xml:space="preserve">      </w:t>
      </w:r>
      <w:r>
        <w:rPr>
          <w:rFonts w:ascii="仿宋_GB2312" w:eastAsia="仿宋_GB2312"/>
          <w:color w:val="000000"/>
          <w:sz w:val="32"/>
          <w:szCs w:val="32"/>
          <w:u w:val="none"/>
        </w:rPr>
        <w:t xml:space="preserve">   20</w:t>
      </w:r>
      <w:r>
        <w:rPr>
          <w:rFonts w:hint="eastAsia" w:ascii="仿宋_GB2312" w:eastAsia="仿宋_GB2312"/>
          <w:color w:val="000000"/>
          <w:sz w:val="32"/>
          <w:szCs w:val="32"/>
          <w:u w:val="none"/>
        </w:rPr>
        <w:t>2</w:t>
      </w:r>
      <w:r>
        <w:rPr>
          <w:rFonts w:hint="eastAsia" w:ascii="仿宋_GB2312" w:eastAsia="仿宋_GB2312"/>
          <w:color w:val="000000"/>
          <w:sz w:val="32"/>
          <w:szCs w:val="32"/>
          <w:u w:val="none"/>
          <w:lang w:val="en-US" w:eastAsia="zh-CN"/>
        </w:rPr>
        <w:t>5</w:t>
      </w:r>
      <w:r>
        <w:rPr>
          <w:rFonts w:hint="eastAsia" w:ascii="仿宋_GB2312" w:eastAsia="仿宋_GB2312"/>
          <w:color w:val="000000"/>
          <w:sz w:val="32"/>
          <w:szCs w:val="32"/>
          <w:u w:val="none"/>
        </w:rPr>
        <w:t>年</w:t>
      </w:r>
      <w:r>
        <w:rPr>
          <w:rFonts w:hint="eastAsia" w:ascii="仿宋_GB2312" w:eastAsia="仿宋_GB2312"/>
          <w:color w:val="000000"/>
          <w:sz w:val="32"/>
          <w:szCs w:val="32"/>
          <w:u w:val="none"/>
          <w:lang w:val="en-US" w:eastAsia="zh-CN"/>
        </w:rPr>
        <w:t>9</w:t>
      </w:r>
      <w:r>
        <w:rPr>
          <w:rFonts w:hint="eastAsia" w:ascii="仿宋_GB2312" w:eastAsia="仿宋_GB2312"/>
          <w:color w:val="000000"/>
          <w:sz w:val="32"/>
          <w:szCs w:val="32"/>
          <w:u w:val="none"/>
        </w:rPr>
        <w:t>月</w:t>
      </w:r>
      <w:r>
        <w:rPr>
          <w:rFonts w:hint="eastAsia" w:ascii="仿宋_GB2312" w:eastAsia="仿宋_GB2312"/>
          <w:color w:val="000000"/>
          <w:sz w:val="32"/>
          <w:szCs w:val="32"/>
          <w:u w:val="none"/>
          <w:lang w:val="en-US" w:eastAsia="zh-CN"/>
        </w:rPr>
        <w:t>5</w:t>
      </w:r>
      <w:r>
        <w:rPr>
          <w:rFonts w:hint="eastAsia" w:ascii="仿宋_GB2312" w:eastAsia="仿宋_GB2312"/>
          <w:color w:val="000000"/>
          <w:sz w:val="32"/>
          <w:szCs w:val="32"/>
          <w:u w:val="none"/>
        </w:rPr>
        <w:t>日印</w:t>
      </w:r>
      <w:r>
        <w:rPr>
          <w:rFonts w:hint="eastAsia" w:ascii="仿宋_GB2312" w:eastAsia="仿宋_GB2312"/>
          <w:color w:val="000000"/>
          <w:sz w:val="32"/>
          <w:szCs w:val="32"/>
          <w:u w:val="none"/>
          <w:lang w:eastAsia="zh-CN"/>
        </w:rPr>
        <w:t>发</w:t>
      </w:r>
    </w:p>
    <w:sectPr>
      <w:headerReference r:id="rId4" w:type="default"/>
      <w:footerReference r:id="rId5"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Cambria Math">
    <w:panose1 w:val="02040503050406030204"/>
    <w:charset w:val="00"/>
    <w:family w:val="auto"/>
    <w:pitch w:val="default"/>
    <w:sig w:usb0="E00002FF" w:usb1="42002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997219">
    <w:pPr>
      <w:pStyle w:val="4"/>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7B191CB7">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M6pebnPAAAABQEAAA8A&#10;AAAAAAAAAQAgAAAAIgAAAGRycy9kb3ducmV2LnhtbFBLAQIUABQAAAAIAIdO4kDEQH0W5wEAAMcD&#10;AAAOAAAAAAAAAAEAIAAAAB4BAABkcnMvZTJvRG9jLnhtbFBLBQYAAAAABgAGAFkBAAB3BQAAAAA=&#10;">
              <v:fill on="f" focussize="0,0"/>
              <v:stroke on="f"/>
              <v:imagedata o:title=""/>
              <o:lock v:ext="edit" aspectratio="f"/>
              <v:textbox inset="0mm,0mm,0mm,0mm" style="mso-fit-shape-to-text:t;">
                <w:txbxContent>
                  <w:p w14:paraId="7B191CB7">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FDB542">
    <w:pPr>
      <w:pStyle w:val="4"/>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41F4AD">
                          <w:pPr>
                            <w:pStyle w:val="4"/>
                            <w:rPr>
                              <w:rFonts w:hint="eastAsia" w:asciiTheme="minorEastAsia" w:hAnsiTheme="minorEastAsia" w:eastAsiaTheme="minorEastAsia" w:cstheme="minorEastAsia"/>
                              <w:sz w:val="28"/>
                              <w:szCs w:val="28"/>
                            </w:rPr>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- 10 -</w:t>
                          </w:r>
                          <w:r>
                            <w:rPr>
                              <w:rFonts w:hint="eastAsia" w:asciiTheme="minorEastAsia" w:hAnsi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4241F4AD">
                    <w:pPr>
                      <w:pStyle w:val="4"/>
                      <w:rPr>
                        <w:rFonts w:hint="eastAsia" w:asciiTheme="minorEastAsia" w:hAnsiTheme="minorEastAsia" w:eastAsiaTheme="minorEastAsia" w:cstheme="minorEastAsia"/>
                        <w:sz w:val="28"/>
                        <w:szCs w:val="28"/>
                      </w:rPr>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- 10 -</w:t>
                    </w:r>
                    <w:r>
                      <w:rPr>
                        <w:rFonts w:hint="eastAsia" w:asciiTheme="minorEastAsia" w:hAnsiTheme="minorEastAsia" w:cstheme="minorEastAsia"/>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F59471">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56818"/>
    <w:rsid w:val="03636D1F"/>
    <w:rsid w:val="03CA6453"/>
    <w:rsid w:val="05085485"/>
    <w:rsid w:val="052551D3"/>
    <w:rsid w:val="06572925"/>
    <w:rsid w:val="08FF2D8D"/>
    <w:rsid w:val="09022AA6"/>
    <w:rsid w:val="0AB0599E"/>
    <w:rsid w:val="0B717742"/>
    <w:rsid w:val="0C8C699B"/>
    <w:rsid w:val="0C9910B8"/>
    <w:rsid w:val="0F085BD2"/>
    <w:rsid w:val="12887C05"/>
    <w:rsid w:val="17B06C39"/>
    <w:rsid w:val="1944108D"/>
    <w:rsid w:val="1E453DB0"/>
    <w:rsid w:val="1E566E09"/>
    <w:rsid w:val="1FA57474"/>
    <w:rsid w:val="1FD60202"/>
    <w:rsid w:val="21BF4CC5"/>
    <w:rsid w:val="22317971"/>
    <w:rsid w:val="255F2A47"/>
    <w:rsid w:val="28D472A8"/>
    <w:rsid w:val="28EB63A0"/>
    <w:rsid w:val="299A214E"/>
    <w:rsid w:val="2CD21D51"/>
    <w:rsid w:val="2DD7576B"/>
    <w:rsid w:val="2FBD0A96"/>
    <w:rsid w:val="30142680"/>
    <w:rsid w:val="30F7121B"/>
    <w:rsid w:val="325D3E6B"/>
    <w:rsid w:val="326571C3"/>
    <w:rsid w:val="33757C4F"/>
    <w:rsid w:val="3801126E"/>
    <w:rsid w:val="3D7D1865"/>
    <w:rsid w:val="3E300C23"/>
    <w:rsid w:val="404C3A74"/>
    <w:rsid w:val="41474664"/>
    <w:rsid w:val="43947557"/>
    <w:rsid w:val="48C3090D"/>
    <w:rsid w:val="4C4F7582"/>
    <w:rsid w:val="4D5123C6"/>
    <w:rsid w:val="4D7D09A9"/>
    <w:rsid w:val="4DCF640B"/>
    <w:rsid w:val="4EA330F5"/>
    <w:rsid w:val="4EF456FF"/>
    <w:rsid w:val="4F2D6854"/>
    <w:rsid w:val="51422751"/>
    <w:rsid w:val="51782617"/>
    <w:rsid w:val="54062D48"/>
    <w:rsid w:val="556C2493"/>
    <w:rsid w:val="55A15289"/>
    <w:rsid w:val="56521689"/>
    <w:rsid w:val="5903310E"/>
    <w:rsid w:val="5A5654C0"/>
    <w:rsid w:val="5BF50A4C"/>
    <w:rsid w:val="5CEE5E83"/>
    <w:rsid w:val="5D0D5611"/>
    <w:rsid w:val="5F1E585D"/>
    <w:rsid w:val="5FAB1E0A"/>
    <w:rsid w:val="683C7E7F"/>
    <w:rsid w:val="68C161FA"/>
    <w:rsid w:val="69855479"/>
    <w:rsid w:val="6E064C9F"/>
    <w:rsid w:val="6F002C34"/>
    <w:rsid w:val="73770529"/>
    <w:rsid w:val="75F145C2"/>
    <w:rsid w:val="75F9448D"/>
    <w:rsid w:val="770B16B4"/>
    <w:rsid w:val="77521091"/>
    <w:rsid w:val="780C6709"/>
    <w:rsid w:val="787A3C5F"/>
    <w:rsid w:val="7B3D42FE"/>
    <w:rsid w:val="7DB06B11"/>
    <w:rsid w:val="7DBF0B02"/>
    <w:rsid w:val="7DCF06CD"/>
    <w:rsid w:val="7E057D7A"/>
    <w:rsid w:val="7EDC722C"/>
    <w:rsid w:val="7F020C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widowControl w:val="0"/>
      <w:autoSpaceDE/>
      <w:autoSpaceDN/>
      <w:adjustRightInd/>
      <w:spacing w:line="576" w:lineRule="exact"/>
      <w:ind w:firstLine="720" w:firstLineChars="0"/>
      <w:jc w:val="left"/>
      <w:outlineLvl w:val="0"/>
    </w:pPr>
    <w:rPr>
      <w:rFonts w:ascii="黑体" w:hAnsi="黑体" w:eastAsia="黑体"/>
      <w:color w:val="333333"/>
      <w:szCs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4">
    <w:name w:val="footer"/>
    <w:basedOn w:val="1"/>
    <w:qFormat/>
    <w:uiPriority w:val="99"/>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9">
    <w:name w:val="page number"/>
    <w:basedOn w:val="8"/>
    <w:qFormat/>
    <w:uiPriority w:val="0"/>
  </w:style>
  <w:style w:type="paragraph" w:customStyle="1" w:styleId="10">
    <w:name w:val="Index5"/>
    <w:next w:val="1"/>
    <w:qFormat/>
    <w:uiPriority w:val="99"/>
    <w:pPr>
      <w:framePr w:wrap="around" w:vAnchor="margin" w:hAnchor="text" w:yAlign="top"/>
      <w:widowControl w:val="0"/>
      <w:ind w:left="800"/>
      <w:jc w:val="both"/>
    </w:pPr>
    <w:rPr>
      <w:rFonts w:ascii="Calibri" w:hAnsi="Calibri" w:eastAsia="宋体" w:cs="Calibri"/>
      <w:color w:val="000000"/>
      <w:kern w:val="2"/>
      <w:sz w:val="21"/>
      <w:szCs w:val="21"/>
      <w:lang w:val="en-US" w:eastAsia="zh-CN" w:bidi="ar-SA"/>
    </w:rPr>
  </w:style>
  <w:style w:type="character" w:customStyle="1" w:styleId="11">
    <w:name w:val="正文1 字符"/>
    <w:link w:val="12"/>
    <w:qFormat/>
    <w:uiPriority w:val="0"/>
    <w:rPr>
      <w:rFonts w:ascii="仿宋_GB2312"/>
      <w:lang w:val="en-US"/>
    </w:rPr>
  </w:style>
  <w:style w:type="paragraph" w:customStyle="1" w:styleId="12">
    <w:name w:val="正文1"/>
    <w:basedOn w:val="1"/>
    <w:next w:val="1"/>
    <w:link w:val="11"/>
    <w:qFormat/>
    <w:uiPriority w:val="0"/>
    <w:pPr>
      <w:ind w:firstLine="640"/>
    </w:pPr>
    <w:rPr>
      <w:rFonts w:ascii="仿宋_GB2312"/>
      <w:lang w:val="en-US"/>
    </w:rPr>
  </w:style>
  <w:style w:type="paragraph" w:customStyle="1" w:styleId="13">
    <w:name w:val="p"/>
    <w:basedOn w:val="1"/>
    <w:qFormat/>
    <w:uiPriority w:val="0"/>
    <w:pPr>
      <w:widowControl/>
      <w:jc w:val="left"/>
    </w:pPr>
    <w:rPr>
      <w:rFonts w:ascii="宋体" w:hAnsi="宋体" w:eastAsia="宋体" w:cs="宋体"/>
      <w:kern w:val="0"/>
      <w:sz w:val="24"/>
    </w:rPr>
  </w:style>
  <w:style w:type="character" w:customStyle="1" w:styleId="14">
    <w:name w:val="font61"/>
    <w:basedOn w:val="8"/>
    <w:qFormat/>
    <w:uiPriority w:val="0"/>
    <w:rPr>
      <w:rFonts w:hint="default" w:ascii="方正小标宋简体" w:hAnsi="方正小标宋简体" w:eastAsia="方正小标宋简体" w:cs="方正小标宋简体"/>
      <w:color w:val="000000"/>
      <w:sz w:val="44"/>
      <w:szCs w:val="4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1704</Words>
  <Characters>2175</Characters>
  <Lines>0</Lines>
  <Paragraphs>0</Paragraphs>
  <TotalTime>6</TotalTime>
  <ScaleCrop>false</ScaleCrop>
  <LinksUpToDate>false</LinksUpToDate>
  <CharactersWithSpaces>2189</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2025-06-23T06:19:00Z</dcterms:created>
  <dc:creator>95431</dc:creator>
  <cp:lastModifiedBy>日月之城</cp:lastModifiedBy>
  <cp:lastPrinted>2025-09-12T02:27:00Z</cp:lastPrinted>
  <dcterms:modified xsi:type="dcterms:W3CDTF">2025-11-04T01:37:42Z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eyJoZGlkIjoiZjgyNTI2ZWM3N2ZhNGViMGUxZjMzNjJkZDZmZGQ5OWYiLCJ1c2VySWQiOiI2Mjk1MDg1NTEifQ==</vt:lpwstr>
  </property>
  <property fmtid="{D5CDD505-2E9C-101B-9397-08002B2CF9AE}" pid="4" name="ICV">
    <vt:lpwstr>BE67C21F07884506BE3B4B7B4CE56135_13</vt:lpwstr>
  </property>
</Properties>
</file>