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17F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0" w:lineRule="exact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 w14:paraId="1809F343">
      <w:pPr>
        <w:spacing w:line="560" w:lineRule="exact"/>
        <w:ind w:firstLine="200"/>
        <w:jc w:val="both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丁委发〔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 签发人：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王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彪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 xml:space="preserve">  </w:t>
      </w:r>
    </w:p>
    <w:p w14:paraId="1E36C4D7">
      <w:pPr>
        <w:widowControl w:val="0"/>
        <w:snapToGrid w:val="0"/>
        <w:spacing w:line="544" w:lineRule="atLeast"/>
        <w:jc w:val="center"/>
        <w:rPr>
          <w:rFonts w:hint="eastAsia" w:ascii="宋体" w:hAnsi="宋体"/>
          <w:b/>
          <w:color w:val="auto"/>
        </w:rPr>
      </w:pPr>
    </w:p>
    <w:tbl>
      <w:tblPr>
        <w:tblStyle w:val="13"/>
        <w:tblW w:w="79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0"/>
      </w:tblGrid>
      <w:tr w14:paraId="5AC9A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980" w:type="dxa"/>
            <w:vAlign w:val="top"/>
          </w:tcPr>
          <w:p w14:paraId="5BF421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10" w:lineRule="exact"/>
              <w:jc w:val="distribute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-28"/>
                <w:sz w:val="44"/>
                <w:szCs w:val="44"/>
              </w:rPr>
              <w:t>中共长沙市望城区丁字湾街道工作委员会</w:t>
            </w:r>
          </w:p>
        </w:tc>
      </w:tr>
    </w:tbl>
    <w:p w14:paraId="04EB0DE3">
      <w:pPr>
        <w:widowControl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  <w:t>关于丁字湾街道2025年度工作情况的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</w:rPr>
        <w:t>报告</w:t>
      </w:r>
    </w:p>
    <w:p w14:paraId="2D7CB4BE">
      <w:pPr>
        <w:spacing w:line="600" w:lineRule="exact"/>
        <w:jc w:val="both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</w:pPr>
    </w:p>
    <w:p w14:paraId="4ADFFA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中共长沙市望城区委：</w:t>
      </w:r>
    </w:p>
    <w:p w14:paraId="453A7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现将丁字湾街道2025年度工作情况及下一步工作计划报告如下：​</w:t>
      </w:r>
    </w:p>
    <w:p w14:paraId="5F6B6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一、整体运行情况</w:t>
      </w:r>
    </w:p>
    <w:p w14:paraId="628485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政治建设方面，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严格落实“第一议题”制度和党工委理论学习中心组学习制度，严格执行民主集中制，定期召开党工委会议、党政班子会议，集体研究决定“三重一大”事项。扎实开展学习贯彻中央八项规定精神学习教育，班子成员带头践行有关要求，以实际行动转作风、树新风。</w:t>
      </w:r>
    </w:p>
    <w:p w14:paraId="34CD0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队伍建设方面，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开办第五期“丁青班”，其中1名提拔为科级干部、2名当选为社区党总支书记、多名成为业务骨干。在全区“强担当、拼经济、抓发展”评选表彰中，1名班子成员获评“优秀个人”，班子集体、1名中层干部获“提名奖”。</w:t>
      </w:r>
    </w:p>
    <w:p w14:paraId="58481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落实意识形态工作责任制方面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定期研判意识形态领域形势，与3所高校建立意识形态工作联动机制，强化正能量引导和宣传品意识形态把关，建立意识形态风险排查台账和舆情处置应急预案，全年未发生重大舆情事件。</w:t>
      </w:r>
    </w:p>
    <w:p w14:paraId="7D1D85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二、2025年主要工作成效​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​</w:t>
      </w:r>
    </w:p>
    <w:p w14:paraId="6AD386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1.聚力党建引领，强化组织合力。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区域化党建走深走实。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探索形成“1+3+N”区域化党建工作机制，推出五大类50余项共建项目，其中“石乡夜市”“李家湖社区校外创业实践基地”初见成效。相关做法和经验获市委组织部重点推介，获区委主要领导肯定。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组织建设持续夯实。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严格党员发展与管理，全年新增入党积极分子38名，新发展党员21名，转正预备党员25名，全街1009名党员践诺1618件、60个基层党组织践诺170件。全力推进“两个覆盖”提质增效，49家有党员未建党组织企业“三有”覆盖率达100%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精准赋能人才发展。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立足“事业共闯”目标，精准对接高校、社区资源需求，吸引怡程摄影、振新影视等项目入驻。贴心扶持非遗手艺人郝冠雄，提升“小娇漆”品牌影响力。全年新获评望城区“E类人才”5人、“兴望合伙人”1人。</w:t>
      </w:r>
    </w:p>
    <w:p w14:paraId="7A522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2.聚力经济发展，培育产业动能。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经济指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标稳中向好。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强化经济运行调度，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全年完成规模工业产值13.17亿元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（同比增速19.3%）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固投5.04亿元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（全年目标4.2亿元）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、批发105.9亿元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（增速16.66%）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、社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零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5.01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亿元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（增速12.93%）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，招引4家楼宇企业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（全年目标2家）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、7家财税“四上”企业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（其中引进纳税30万以上企业4家，全年目标4家）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、3家湘商回归企业，实现地方口径财政税收目标2.725亿元。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产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业人气集聚积蓄。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助推落实嘉宝家居二期用地签订商务协议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配合土储、产投等部门，对精金玻璃进行评估及收储洽谈。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支持美来美、嘉新、湾田等举办消费节等活动，片区人气持续升腾。运营“丁城纪”视频号，推出40条作品宣传丁字故事，持续为片区升值引流。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三是营商服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务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精准高效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认真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落实“千人联千企”机制，组织开展4轮全覆盖走访，主动解决盖希娅公司等反映的相关问题。强化创新驱动，申报高新技术企业9家，其中3家已认定成功，6家正在认定。</w:t>
      </w:r>
    </w:p>
    <w:p w14:paraId="2D0830A5"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highlight w:val="none"/>
          <w:lang w:val="en-US" w:eastAsia="zh-CN" w:bidi="ar-SA"/>
        </w:rPr>
        <w:t>聚力开发建设，优化片区形象</w:t>
      </w: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保障拓展发展空间。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编制片区产业发展规划，初排重点产业项目落位和时序，为建设发展提供指引。全力完成建设腾地，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全年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铺拆迁项目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个</w:t>
      </w:r>
      <w:r>
        <w:rPr>
          <w:rFonts w:hint="eastAsia" w:ascii="楷体_GB2312" w:hAnsi="楷体_GB2312" w:eastAsia="楷体_GB2312" w:cs="楷体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（4个暂未通知启动、1个暂停）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、转接项目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8个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，其中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丁字湾城市稻田公园项目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提前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实现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“四清”交地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正在加速建设；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湘江东岸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体育公园项目5户房屋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全部签约倒地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正在办理结算及扫尾工作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持续完善配套设施。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推动石湾路、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丁江路二期、荷叶路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二期、丁源路二期等路网通车或竣工，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龙武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、太阳山路改造正在推进，完成6条村道大中修，片区路网进一步织密织牢。支持服务雅礼丁江小学扩建项目，1栋教学楼已交付使用，另外4栋主体已完工，优质学位进一步补强。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有力提升环境品质。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全力保障丁字湾城市稻田公园加快建设，提升芙蓉北路两厢城市品质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，新增5处节点景观，拓展100余个停车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位，建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设“石乡夜市”引导摊贩文明经营，城区面貌焕然一新。推进双桥小区提质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改造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，预计春节前完工。</w:t>
      </w:r>
    </w:p>
    <w:p w14:paraId="55276AB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4.聚力综合治理，提升安稳水平。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深化多元共治格局。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依托街道“大工委”机制，聚拢辖区高校、企业、驻街单位、后盾单位等资源，形成治理合力。街道联动交警、派出所开展交通整治、反电诈宣传，将安全教育融入日常。强化小区物业监管，指导4个小区完成物业选聘、6个物业小区成立业委会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化解各类风险矛盾。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整改重大事故隐患51项</w:t>
      </w:r>
      <w:r>
        <w:rPr>
          <w:rFonts w:hint="eastAsia" w:ascii="楷体_GB2312" w:hAnsi="楷体_GB2312" w:eastAsia="楷体_GB2312" w:cs="楷体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（全区排第一）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，整治8处道路安全隐患点，组织应急演练85场次，全力防范安全事故。勤密调度各专班，彻底解决乐都景苑居民用电问题，5个保交楼项目整体稳定。全年化解信访积案9件、办结“12345”热线工单2453条，街道司法所获评“湖南省规范化司法所”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精准整治城乡乱象。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办理环保案件66起，拆除违建65处6670平米，增设标准化逃生窗口1021处。强化农安小区治理，南苑小区选定为全市开放式小区治理观摩点</w:t>
      </w:r>
      <w:r>
        <w:rPr>
          <w:rFonts w:hint="eastAsia" w:ascii="楷体_GB2312" w:hAnsi="楷体_GB2312" w:eastAsia="楷体_GB2312" w:cs="楷体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（全区仅2个）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。强力整改双桥村历史安葬点，清理“活人墓”214座。</w:t>
      </w:r>
    </w:p>
    <w:p w14:paraId="0A2BBC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5.聚力民生保障，增进群众福祉。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抓好“三农”事业。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扛牢粮食安全和耕地保护政治责任，全年种植早稻2557.71亩</w:t>
      </w:r>
      <w:r>
        <w:rPr>
          <w:rFonts w:hint="eastAsia" w:ascii="楷体_GB2312" w:hAnsi="楷体_GB2312" w:eastAsia="楷体_GB2312" w:cs="楷体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（完成年度目标的159.85%）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，督促落实3000余亩恢复耕地落实耕种“回头看”。全力壮大农村集体经济，四个农业村（社区）集体经济年度总收入401.88万元，同比实现稳增长。稳定做好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145户358人的结对帮扶工作。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扎实推进二轮土地延包工作，完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成率97.88%。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兜牢民生底线。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严把低保申请条件，173户332人应保尽保，同时做好残疾人、高龄老人、低收入家庭、孤儿等群体的关心关爱工作。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完成城乡居民医保参保4.1万余人，超额完成年度参保目标。开展技能和创业培训11场次，帮助485人提升就业创业技能。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完善公共服务。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推进公共服务设施建设，新建养老助餐点8处，在学府星城、李家湖社区打造智慧健身房及公共文化服务中心。开展防溺水宣传教育，组织校园及周边环境整治2次、校车专项检查4轮，全方位保障学生安全。精心办好老年大学，240余名学员乐在其中。</w:t>
      </w:r>
    </w:p>
    <w:p w14:paraId="196B4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三、问题和不足​</w:t>
      </w:r>
    </w:p>
    <w:p w14:paraId="485A18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在总结成绩的同时，我们也清醒认识到工作中还存在以下问题和不足：​</w:t>
      </w:r>
    </w:p>
    <w:p w14:paraId="0E2D2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1.产业转型升级压力较大。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传统家居建材产业面临销售萎缩、商户外流等问题，在研发、设计、加工、仓储、体验、售后等环节存在短板，与新消费群体对个性化、体验化、高效化的需求有差距。</w:t>
      </w:r>
    </w:p>
    <w:p w14:paraId="2ADF1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2.城市配套还有提升空间。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现有学校尚未形成品牌效应，难以有效带动人气聚集。市政管网老旧、污水处理能力不足，部分小区配套设施滞后，居民投诉集中。商圈周边环境不佳，停车场等配套不足，制约消费体验感提升。</w:t>
      </w:r>
    </w:p>
    <w:p w14:paraId="5B408D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3.疑难问题处置任重道远。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部分楼盘小区业主与物业、开发商之间存在矛盾纠纷，个别涉及保交楼、征地拆迁、工程项目等问题成因复杂、时间跨度长，需持续投入大量精力。</w:t>
      </w:r>
    </w:p>
    <w:p w14:paraId="1F74F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4.干部素质能力还需提升。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面对产业转型、跨境电商、校地融合等新领域、新任务，干部知识储备有限，眼界思维和能力水平还需全面拓展。​</w:t>
      </w:r>
    </w:p>
    <w:p w14:paraId="349B79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四、下一步工作计划</w:t>
      </w:r>
    </w:p>
    <w:p w14:paraId="22563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2026年，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是“十五五”开局之年，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街道班子将坚定践行区委“一二三六”发展思路，围绕建设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“商贸物流城、融城桥头堡、治理样板区”目标，着力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补短板、强优势、育新极，奋力推动街道经济社会发展再上新台阶，为打造“省会新高地、幸福新望城”贡献丁字力量。重点从以下方面发力：​</w:t>
      </w:r>
    </w:p>
    <w:p w14:paraId="011D4D67"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" w:hAnsi="楷体" w:eastAsia="楷体" w:cs="楷体"/>
          <w:b/>
          <w:bCs/>
          <w:kern w:val="2"/>
          <w:sz w:val="32"/>
          <w:szCs w:val="32"/>
          <w:highlight w:val="none"/>
          <w:lang w:val="en-US" w:eastAsia="zh-CN" w:bidi="ar-SA"/>
        </w:rPr>
        <w:t>1.提速开发建设，塑造精美两岸新形象。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聚焦功能完善与品质提升，增强片区综合承载力和吸引力。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畅通交通网络闭环。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全力保障龙武路、双湖路、太阳山路（提质）等道路加快建设，努力推动地铁1号线北延二期、云巴线路尽快启动，加速融城步伐。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打造滨江精美样板。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依托湘江东岸体育公园和李家湖稻田公园建设，集中力量打造湘江北路两厢精致景观带。推动片区市政道路、园林、环卫及供水系统移交管理，优先保障新建楼盘供水。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优化公共服务供给。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推动附中星城实验青石学校初中部、雅礼丁江小学部加快建设，并推动提升办学影响力。协调推动丁字消防站加快建设和现有医疗机构扩容提质。浓厚商业氛围，推动丁字商圈提档升级，引导嘉新、美来美、金子湾等商业主体差异发展，打造河东品质商圈。</w:t>
      </w:r>
    </w:p>
    <w:p w14:paraId="0C3B4017"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" w:hAnsi="楷体" w:eastAsia="楷体" w:cs="楷体"/>
          <w:b/>
          <w:bCs/>
          <w:kern w:val="2"/>
          <w:sz w:val="32"/>
          <w:szCs w:val="32"/>
          <w:highlight w:val="none"/>
          <w:lang w:val="en-US" w:eastAsia="zh-CN" w:bidi="ar-SA"/>
        </w:rPr>
        <w:t>2.培优多元产业，激发区域发展新动能。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围绕产业集聚与创新融合，培育更具竞争力的现代产业。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促进主导产业集聚。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用好用足各类惠企政策，支持湾田市场招商稳商，打造区域总仓基地。加快推进嘉宝家居二期建设投产。探索引入物流头部企业，赋能家居建材产业链发展。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深化校地融合创新。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深化“校地企”联动，支持高校围绕家居产业开展研发孵化。发挥人才优势，链接跨境电商资源，培育电商人才。积极谋划，探索将河东大学城打造为大泽湖海归小镇的配套补充，促进“产学研”就地转化。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谋划培育新兴业态。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明确产业发展路径与时序，持续推进精金玻璃等项目收储工作。依托沿江风光带、麻潭山、老街、工业遗存等资源，盘活闲置资产，积极培育非遗、文商旅等业态，激发片区焕新动能。</w:t>
      </w:r>
    </w:p>
    <w:p w14:paraId="50B80690"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" w:hAnsi="楷体" w:eastAsia="楷体" w:cs="楷体"/>
          <w:b/>
          <w:bCs/>
          <w:kern w:val="2"/>
          <w:sz w:val="32"/>
          <w:szCs w:val="32"/>
          <w:highlight w:val="none"/>
          <w:lang w:val="en-US" w:eastAsia="zh-CN" w:bidi="ar-SA"/>
        </w:rPr>
        <w:t>3.强化系统治理，筑牢和谐稳定新基底。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统筹发展与安全，提升治理精细化、法治化、智能化水平。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严守安全发展底线。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扛牢属地责任，压实各方安全生产职责，全面排查整治风险隐患，重点加强交通安全整治，提升应急处突能力，确保整体平安。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全力维护社会稳定。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开展涉访涉稳攻坚行动，着力化解信访积案和疑难个案，力争实现“清存量、零增量”。妥善高效处置“12345”热线投诉，将矛盾纠纷化解在萌芽状态。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提升小区治理效能。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配强工作专班，综合施策，分步解决剩余保交房项目问题。加强物业服务质量引导与监督，化解物业矛盾纠纷。持续提升农安小区和已交付小区的治理水平，构建共建共治共享的社区治理格局。</w:t>
      </w:r>
    </w:p>
    <w:p w14:paraId="763DD5AE"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</w:p>
    <w:p w14:paraId="6046F95A"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highlight w:val="none"/>
          <w:fitText w:val="5760" w:id="1452936056"/>
          <w:lang w:val="en-US" w:eastAsia="zh-CN" w:bidi="ar-SA"/>
        </w:rPr>
        <w:t>中共长沙市望城区丁字湾街道工作委员会</w:t>
      </w:r>
    </w:p>
    <w:p w14:paraId="598083A9"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 xml:space="preserve">                2026年1月15日</w:t>
      </w:r>
    </w:p>
    <w:p w14:paraId="0FF8039C"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</w:p>
    <w:p w14:paraId="6ABA1C9D"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（联系人：梁  畅，联系方式：18874291848）</w:t>
      </w:r>
    </w:p>
    <w:p w14:paraId="75B9A35D"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</w:p>
    <w:p w14:paraId="0BBBC608"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</w:p>
    <w:p w14:paraId="0DAE1B34"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</w:p>
    <w:p w14:paraId="6A832927"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</w:p>
    <w:p w14:paraId="738EB2CF"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</w:p>
    <w:p w14:paraId="14CA38FB">
      <w:pPr>
        <w:pStyle w:val="10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1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lang w:val="en-US" w:eastAsia="zh-CN"/>
        </w:rPr>
      </w:pPr>
    </w:p>
    <w:p w14:paraId="0DEC96D0">
      <w:pPr>
        <w:pStyle w:val="10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1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lang w:val="en-US" w:eastAsia="zh-CN"/>
        </w:rPr>
      </w:pPr>
    </w:p>
    <w:p w14:paraId="534F7787">
      <w:pPr>
        <w:pStyle w:val="10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1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lang w:val="en-US" w:eastAsia="zh-CN"/>
        </w:rPr>
      </w:pPr>
    </w:p>
    <w:p w14:paraId="121B3649">
      <w:pPr>
        <w:pStyle w:val="10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1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lang w:val="en-US" w:eastAsia="zh-CN"/>
        </w:rPr>
      </w:pPr>
    </w:p>
    <w:p w14:paraId="2275A881">
      <w:pPr>
        <w:pStyle w:val="10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1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lang w:val="en-US" w:eastAsia="zh-CN"/>
        </w:rPr>
      </w:pPr>
    </w:p>
    <w:p w14:paraId="6B8ADD95">
      <w:pPr>
        <w:pStyle w:val="10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1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lang w:val="en-US" w:eastAsia="zh-CN"/>
        </w:rPr>
      </w:pPr>
    </w:p>
    <w:p w14:paraId="43F00CBE">
      <w:pPr>
        <w:pStyle w:val="10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lang w:val="en-US" w:eastAsia="zh-CN"/>
        </w:rPr>
      </w:pPr>
    </w:p>
    <w:p w14:paraId="5448ECBE">
      <w:pPr>
        <w:pStyle w:val="10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lang w:val="en-US" w:eastAsia="zh-CN"/>
        </w:rPr>
      </w:pPr>
    </w:p>
    <w:p w14:paraId="55332F2F">
      <w:pPr>
        <w:pStyle w:val="10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lang w:val="en-US" w:eastAsia="zh-CN"/>
        </w:rPr>
      </w:pPr>
    </w:p>
    <w:p w14:paraId="7E7037F1">
      <w:pPr>
        <w:pStyle w:val="10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jc w:val="both"/>
        <w:textAlignment w:val="auto"/>
        <w:outlineLvl w:val="9"/>
        <w:rPr>
          <w:rFonts w:hint="default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lang w:val="en-US" w:eastAsia="zh-CN"/>
        </w:rPr>
      </w:pPr>
    </w:p>
    <w:p w14:paraId="7D9849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仿宋_GB2312" w:eastAsia="仿宋_GB2312"/>
          <w:i w:val="0"/>
          <w:iCs w:val="0"/>
          <w:color w:val="000000"/>
          <w:spacing w:val="0"/>
          <w:sz w:val="32"/>
          <w:szCs w:val="32"/>
          <w:u w:val="none"/>
        </w:rPr>
      </w:pPr>
      <w:r>
        <w:rPr>
          <w:i w:val="0"/>
          <w:iCs w:val="0"/>
          <w:color w:val="000000"/>
          <w:spacing w:val="0"/>
          <w:u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-75565</wp:posOffset>
                </wp:positionH>
                <wp:positionV relativeFrom="paragraph">
                  <wp:posOffset>635</wp:posOffset>
                </wp:positionV>
                <wp:extent cx="5422265" cy="0"/>
                <wp:effectExtent l="0" t="4445" r="0" b="508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222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95pt;margin-top:0.05pt;height:0pt;width:426.95pt;z-index:251660288;mso-width-relative:page;mso-height-relative:page;" filled="f" stroked="t" coordsize="21600,21600" o:gfxdata="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M7uuX0wAA&#10;AAUBAAAPAAAAAAAAAAEAIAAAACIAAABkcnMvZG93bnJldi54bWxQSwECFAAUAAAACACHTuJAfGYN&#10;R+oBAAC4AwAADgAAAAAAAAABACAAAAAi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i w:val="0"/>
          <w:iCs w:val="0"/>
          <w:color w:val="000000"/>
          <w:spacing w:val="0"/>
          <w:sz w:val="32"/>
          <w:szCs w:val="32"/>
          <w:u w:val="none"/>
        </w:rPr>
        <w:t>丁字湾街道党政办公室</w:t>
      </w:r>
      <w:r>
        <w:rPr>
          <w:rFonts w:eastAsia="仿宋_GB2312"/>
          <w:i w:val="0"/>
          <w:iCs w:val="0"/>
          <w:color w:val="000000"/>
          <w:spacing w:val="0"/>
          <w:sz w:val="32"/>
          <w:szCs w:val="32"/>
          <w:u w:val="none"/>
        </w:rPr>
        <w:t> </w:t>
      </w:r>
      <w:r>
        <w:rPr>
          <w:rFonts w:ascii="仿宋_GB2312" w:eastAsia="仿宋_GB2312"/>
          <w:i w:val="0"/>
          <w:iCs w:val="0"/>
          <w:color w:val="000000"/>
          <w:spacing w:val="0"/>
          <w:sz w:val="32"/>
          <w:szCs w:val="32"/>
          <w:u w:val="none"/>
        </w:rPr>
        <w:t xml:space="preserve">  </w:t>
      </w:r>
      <w:r>
        <w:rPr>
          <w:rFonts w:hint="eastAsia" w:ascii="仿宋_GB2312" w:eastAsia="仿宋_GB2312"/>
          <w:i w:val="0"/>
          <w:iCs w:val="0"/>
          <w:color w:val="000000"/>
          <w:spacing w:val="0"/>
          <w:sz w:val="32"/>
          <w:szCs w:val="32"/>
          <w:u w:val="none"/>
          <w:lang w:val="en-US" w:eastAsia="zh-CN"/>
        </w:rPr>
        <w:t xml:space="preserve">       </w:t>
      </w:r>
      <w:r>
        <w:rPr>
          <w:rFonts w:ascii="仿宋_GB2312" w:eastAsia="仿宋_GB2312"/>
          <w:i w:val="0"/>
          <w:iCs w:val="0"/>
          <w:color w:val="000000"/>
          <w:spacing w:val="0"/>
          <w:sz w:val="32"/>
          <w:szCs w:val="32"/>
          <w:u w:val="none"/>
        </w:rPr>
        <w:t xml:space="preserve"> </w:t>
      </w:r>
      <w:r>
        <w:rPr>
          <w:rFonts w:hint="eastAsia" w:ascii="仿宋_GB2312" w:eastAsia="仿宋_GB2312"/>
          <w:i w:val="0"/>
          <w:iCs w:val="0"/>
          <w:color w:val="000000"/>
          <w:spacing w:val="0"/>
          <w:sz w:val="32"/>
          <w:szCs w:val="32"/>
          <w:u w:val="none"/>
          <w:lang w:val="en-US" w:eastAsia="zh-CN"/>
        </w:rPr>
        <w:t xml:space="preserve"> </w:t>
      </w:r>
      <w:r>
        <w:rPr>
          <w:rFonts w:ascii="仿宋_GB2312" w:eastAsia="仿宋_GB2312"/>
          <w:i w:val="0"/>
          <w:iCs w:val="0"/>
          <w:color w:val="000000"/>
          <w:spacing w:val="0"/>
          <w:sz w:val="32"/>
          <w:szCs w:val="32"/>
          <w:u w:val="none"/>
        </w:rPr>
        <w:t>20</w:t>
      </w:r>
      <w:r>
        <w:rPr>
          <w:rFonts w:hint="eastAsia" w:ascii="仿宋_GB2312" w:eastAsia="仿宋_GB2312"/>
          <w:i w:val="0"/>
          <w:iCs w:val="0"/>
          <w:color w:val="000000"/>
          <w:spacing w:val="0"/>
          <w:sz w:val="32"/>
          <w:szCs w:val="32"/>
          <w:u w:val="none"/>
        </w:rPr>
        <w:t>2</w:t>
      </w:r>
      <w:r>
        <w:rPr>
          <w:rFonts w:hint="eastAsia" w:ascii="仿宋_GB2312" w:eastAsia="仿宋_GB2312"/>
          <w:i w:val="0"/>
          <w:iCs w:val="0"/>
          <w:color w:val="000000"/>
          <w:spacing w:val="0"/>
          <w:sz w:val="32"/>
          <w:szCs w:val="32"/>
          <w:u w:val="none"/>
          <w:lang w:val="en-US" w:eastAsia="zh-CN"/>
        </w:rPr>
        <w:t>6</w:t>
      </w:r>
      <w:r>
        <w:rPr>
          <w:rFonts w:hint="eastAsia" w:ascii="仿宋_GB2312" w:eastAsia="仿宋_GB2312"/>
          <w:i w:val="0"/>
          <w:iCs w:val="0"/>
          <w:color w:val="000000"/>
          <w:spacing w:val="0"/>
          <w:sz w:val="32"/>
          <w:szCs w:val="32"/>
          <w:u w:val="none"/>
        </w:rPr>
        <w:t>年</w:t>
      </w:r>
      <w:r>
        <w:rPr>
          <w:rFonts w:hint="eastAsia" w:ascii="仿宋_GB2312" w:eastAsia="仿宋_GB2312"/>
          <w:i w:val="0"/>
          <w:iCs w:val="0"/>
          <w:color w:val="000000"/>
          <w:spacing w:val="0"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eastAsia="仿宋_GB2312"/>
          <w:i w:val="0"/>
          <w:iCs w:val="0"/>
          <w:color w:val="000000"/>
          <w:spacing w:val="0"/>
          <w:sz w:val="32"/>
          <w:szCs w:val="32"/>
          <w:u w:val="none"/>
        </w:rPr>
        <w:t>月</w:t>
      </w:r>
      <w:r>
        <w:rPr>
          <w:rFonts w:hint="eastAsia" w:ascii="仿宋_GB2312"/>
          <w:i w:val="0"/>
          <w:iCs w:val="0"/>
          <w:color w:val="000000"/>
          <w:spacing w:val="0"/>
          <w:sz w:val="32"/>
          <w:szCs w:val="32"/>
          <w:u w:val="none"/>
          <w:lang w:val="en-US" w:eastAsia="zh-CN"/>
        </w:rPr>
        <w:t>15</w:t>
      </w:r>
      <w:r>
        <w:rPr>
          <w:rFonts w:hint="eastAsia" w:ascii="仿宋_GB2312" w:eastAsia="仿宋_GB2312"/>
          <w:i w:val="0"/>
          <w:iCs w:val="0"/>
          <w:color w:val="000000"/>
          <w:spacing w:val="0"/>
          <w:sz w:val="32"/>
          <w:szCs w:val="32"/>
          <w:u w:val="none"/>
        </w:rPr>
        <w:t>日印发</w:t>
      </w:r>
    </w:p>
    <w:p w14:paraId="79670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420" w:firstLineChars="200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lang w:val="en-US" w:eastAsia="zh-CN" w:bidi="ar-SA"/>
        </w:rPr>
      </w:pPr>
      <w:r>
        <w:rPr>
          <w:i w:val="0"/>
          <w:iCs w:val="0"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-83820</wp:posOffset>
                </wp:positionH>
                <wp:positionV relativeFrom="paragraph">
                  <wp:posOffset>45720</wp:posOffset>
                </wp:positionV>
                <wp:extent cx="5438140" cy="0"/>
                <wp:effectExtent l="0" t="4445" r="0" b="508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381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6.6pt;margin-top:3.6pt;height:0pt;width:428.2pt;z-index:251661312;mso-width-relative:page;mso-height-relative:page;" filled="f" stroked="t" coordsize="21600,21600" o:gfxdata="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NrUJktQA&#10;AAAHAQAADwAAAAAAAAABACAAAAAiAAAAZHJzL2Rvd25yZXYueG1sUEsBAhQAFAAAAAgAh07iQBe7&#10;bGjqAQAAuAMAAA4AAAAAAAAAAQAgAAAAIw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6E8A859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</w:pPr>
    </w:p>
    <w:p w14:paraId="391CFD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/>
          <w:lang w:val="en-US" w:eastAsia="zh-CN"/>
        </w:rPr>
      </w:pPr>
    </w:p>
    <w:p w14:paraId="2E1A76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151D3A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4B6D52">
                          <w:pPr>
                            <w:pStyle w:val="8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4B6D52">
                    <w:pPr>
                      <w:pStyle w:val="8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3C7F4F">
    <w:pPr>
      <w:pStyle w:val="9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hNTdkZTdkODAwZmJiZWQ4NTcxYjc1ODAyZjUxMWUifQ=="/>
    <w:docVar w:name="KSO_WPS_MARK_KEY" w:val="60625f56-b333-46da-babc-ff8ccc1b73c8"/>
  </w:docVars>
  <w:rsids>
    <w:rsidRoot w:val="76670739"/>
    <w:rsid w:val="03E5151A"/>
    <w:rsid w:val="049C7DEF"/>
    <w:rsid w:val="04FA19CD"/>
    <w:rsid w:val="072004C0"/>
    <w:rsid w:val="07F40498"/>
    <w:rsid w:val="088C0A16"/>
    <w:rsid w:val="0B0C64AC"/>
    <w:rsid w:val="0C4C2659"/>
    <w:rsid w:val="131431DB"/>
    <w:rsid w:val="17836BED"/>
    <w:rsid w:val="1B684130"/>
    <w:rsid w:val="1C1B3898"/>
    <w:rsid w:val="1EF76F5D"/>
    <w:rsid w:val="20220C48"/>
    <w:rsid w:val="21B7325D"/>
    <w:rsid w:val="25C02827"/>
    <w:rsid w:val="27347E8E"/>
    <w:rsid w:val="28D728F5"/>
    <w:rsid w:val="29C8211A"/>
    <w:rsid w:val="2A1E48EC"/>
    <w:rsid w:val="2AD469C5"/>
    <w:rsid w:val="2E0A551A"/>
    <w:rsid w:val="2F3565C7"/>
    <w:rsid w:val="317F1B79"/>
    <w:rsid w:val="323E5792"/>
    <w:rsid w:val="339813BD"/>
    <w:rsid w:val="34A44BD2"/>
    <w:rsid w:val="38E970D4"/>
    <w:rsid w:val="39630EB6"/>
    <w:rsid w:val="3AC0143A"/>
    <w:rsid w:val="40AE1240"/>
    <w:rsid w:val="423E52E3"/>
    <w:rsid w:val="42660B19"/>
    <w:rsid w:val="43810880"/>
    <w:rsid w:val="439416B6"/>
    <w:rsid w:val="46202341"/>
    <w:rsid w:val="4AD056CA"/>
    <w:rsid w:val="4B7A73E4"/>
    <w:rsid w:val="4E3C637F"/>
    <w:rsid w:val="5B724E28"/>
    <w:rsid w:val="5FF53D09"/>
    <w:rsid w:val="604767EB"/>
    <w:rsid w:val="627A4B71"/>
    <w:rsid w:val="686F47C1"/>
    <w:rsid w:val="69112B6D"/>
    <w:rsid w:val="6A183A44"/>
    <w:rsid w:val="6C367E96"/>
    <w:rsid w:val="6E0D56AE"/>
    <w:rsid w:val="6E5E34B9"/>
    <w:rsid w:val="6F9D5C13"/>
    <w:rsid w:val="70967176"/>
    <w:rsid w:val="73763CFB"/>
    <w:rsid w:val="75B374DF"/>
    <w:rsid w:val="76670739"/>
    <w:rsid w:val="772B5411"/>
    <w:rsid w:val="7973709D"/>
    <w:rsid w:val="7D071BB9"/>
    <w:rsid w:val="7DC2553F"/>
    <w:rsid w:val="7EE0646D"/>
    <w:rsid w:val="FD43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630"/>
    </w:pPr>
    <w:rPr>
      <w:rFonts w:eastAsia="仿宋_GB2312"/>
      <w:kern w:val="0"/>
      <w:sz w:val="32"/>
      <w:szCs w:val="20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99"/>
    <w:pPr>
      <w:spacing w:after="120"/>
    </w:pPr>
  </w:style>
  <w:style w:type="paragraph" w:styleId="6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7">
    <w:name w:val="Block Text"/>
    <w:basedOn w:val="1"/>
    <w:qFormat/>
    <w:uiPriority w:val="0"/>
    <w:pPr>
      <w:spacing w:after="120" w:afterLines="0" w:afterAutospacing="0"/>
      <w:ind w:left="1440" w:leftChars="700" w:rightChars="7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11">
    <w:name w:val="annotation subject"/>
    <w:basedOn w:val="4"/>
    <w:next w:val="1"/>
    <w:qFormat/>
    <w:uiPriority w:val="0"/>
    <w:rPr>
      <w:b/>
      <w:bCs/>
    </w:rPr>
  </w:style>
  <w:style w:type="paragraph" w:styleId="12">
    <w:name w:val="Body Text First Indent 2"/>
    <w:basedOn w:val="6"/>
    <w:next w:val="1"/>
    <w:qFormat/>
    <w:uiPriority w:val="0"/>
    <w:pPr>
      <w:ind w:firstLine="420" w:firstLineChars="200"/>
    </w:pPr>
  </w:style>
  <w:style w:type="character" w:styleId="15">
    <w:name w:val="page number"/>
    <w:basedOn w:val="14"/>
    <w:qFormat/>
    <w:uiPriority w:val="0"/>
  </w:style>
  <w:style w:type="paragraph" w:customStyle="1" w:styleId="16">
    <w:name w:val="Body text|1"/>
    <w:basedOn w:val="1"/>
    <w:qFormat/>
    <w:uiPriority w:val="0"/>
    <w:pPr>
      <w:spacing w:line="427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3766</Words>
  <Characters>3934</Characters>
  <Lines>0</Lines>
  <Paragraphs>0</Paragraphs>
  <TotalTime>6</TotalTime>
  <ScaleCrop>false</ScaleCrop>
  <LinksUpToDate>false</LinksUpToDate>
  <CharactersWithSpaces>3986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2024-09-09T16:23:00Z</dcterms:created>
  <dc:creator>Administrator</dc:creator>
  <cp:lastModifiedBy>ZZjier</cp:lastModifiedBy>
  <cp:lastPrinted>2026-01-15T02:16:00Z</cp:lastPrinted>
  <dcterms:modified xsi:type="dcterms:W3CDTF">2026-03-04T06:56:22Z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E9F46F2AE263430CBABC67E93AFA751C_13</vt:lpwstr>
  </property>
  <property fmtid="{D5CDD505-2E9C-101B-9397-08002B2CF9AE}" pid="4" name="KSOTemplateDocerSaveRecord">
    <vt:lpwstr>eyJoZGlkIjoiMWVhMTM3YTc4NzRlYjM1Mzg2YmY4YmQ0YzNkZGM5ODQiLCJ1c2VySWQiOiI0NTExNDc2MjUifQ==</vt:lpwstr>
  </property>
</Properties>
</file>