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0C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BBC2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丁字湾街道法治政府建设报告</w:t>
      </w:r>
    </w:p>
    <w:p w14:paraId="68200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8E9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丁字湾街道深入贯彻落实中共中央、国务院《法治政府建设实施纲要（2021-2025年）》及《长沙市法治政府建设实施方案(2022-2025年)》等文件精神，坚持以习近平法治思想为引领，将法治政府建设融入街道发展全局，与经济社会发展同部署、同推进、同考核，扎实推进各项工作落地见效，为辖区高质量发展筑牢法治根基。现将本年度法治政府建设情况报告如下：</w:t>
      </w:r>
    </w:p>
    <w:p w14:paraId="09250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一、强化思想引领，筑牢法治建设政治根基</w:t>
      </w:r>
    </w:p>
    <w:p w14:paraId="244DF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（一）压实法治建设领导责任</w:t>
      </w:r>
    </w:p>
    <w:p w14:paraId="3B62B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街道党工委、办事处切实履行推进法治建设主体责任，成立由主要领导任组长的法治建设领导小组，明确职责分工，形成“主要领导亲自抓、分管领导具体抓、各部门协同落实”的工作格局。定期召开法治建设专题会议，研究部署重点任务，破解工作难点问题，确保法治政府建设方向不偏、力度不减。</w:t>
      </w:r>
    </w:p>
    <w:p w14:paraId="0E6B4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（二）深化习近平法治思想学习宣传</w:t>
      </w:r>
    </w:p>
    <w:p w14:paraId="31D02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分层分类开展法治教育：将习近平法治思想纳入党工委理论学习中心组核心学习内容，2025年组织专题学习5次，抓好“关键少数”学法用法；通过工会活动、支部主题党日等载体，以专题讲座、警示教育片等形式强化机关干部宪法学习；聚焦群众需求，开展“农村法制宣传月”“青少年法治宣传周”等主题活动30余次，覆盖征地拆迁、禁毒反诈、民生保障等重点领域。</w:t>
      </w:r>
    </w:p>
    <w:p w14:paraId="2EBD4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创新宣传传播矩阵：构建“线上+线下”全方位宣传体系，线下通过悬挂横幅、张贴标语营造浓厚氛围，线上依托学习强国、云上望城APP、微信朋友圈等平台精准推送法治知识，让法治理念走进千家万户，切实提升群众法治意识和法治素养。</w:t>
      </w:r>
    </w:p>
    <w:p w14:paraId="0EB75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（三）提升依法履职能力</w:t>
      </w:r>
    </w:p>
    <w:p w14:paraId="345D8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领导干部带头尊法学法守法用法，将法治培训纳入干部教育培训体系，通过业务培训、案例研讨等方式，组织全体工作人员系统学习法律法规，不断提升运用法治思维和法治方式深化改革、推动发展、化解矛盾、维护稳定的能力。</w:t>
      </w:r>
    </w:p>
    <w:p w14:paraId="3717B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二、聚焦重点任务，提升法治政府建设质效</w:t>
      </w:r>
    </w:p>
    <w:p w14:paraId="3EABB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（一）健全制度体系，规范行政决策行为</w:t>
      </w:r>
    </w:p>
    <w:p w14:paraId="66249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完善法律顾问机制：聘请长沙坦途法律服务有限公司担任常年法律顾问，深度参与征地拆迁、项目建设、政策执行等领域法律事务，为党委及部门文件、重大决策提供合法合规性审查，全年为村（社区）重大决策提供法律支撑、为群众提供义务法律咨询180余次。</w:t>
      </w:r>
    </w:p>
    <w:p w14:paraId="4790D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规范决策程序流程：对专业性强的重大事项实行专家论证、决策评估制度，对涉及群众利益的重大事项严格执行征求意见、公示、听证制度，保障公众有效参与行政决策；参照浙江省乡镇（街道）合法性审查工作标准，将产业发展、项目建设等领域15件重大决策和规范性文件纳入前置审查，未出现违法违规情形。</w:t>
      </w:r>
    </w:p>
    <w:p w14:paraId="7DF46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深化政务公开工作：依托政府网站、政务公开栏、微信公众号等平台，依法及时公开财政预决算、重点项目、民生政策、行政执法等关键信息，主动接受社会监督，保障群众知情权、参与权、表达权和监督权。</w:t>
      </w:r>
    </w:p>
    <w:p w14:paraId="05C02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（二）优化政务服务，增进民生法治福祉</w:t>
      </w:r>
    </w:p>
    <w:p w14:paraId="4A7CF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深化“放管服”改革：优化街道、村（社区）政务服务窗口设置，推行“一窗受理、集成服务”模式，简化办事流程，落实“最多跑一次”要求。2025年实现服务中心业务按时办结率高位运行，12345热线响应率、办结率及满意率持续提升，基层便民服务站点直办业务范围不断拓展，服务效能显著增强。</w:t>
      </w:r>
    </w:p>
    <w:p w14:paraId="392AC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健全矛盾化解机制：坚持和发展新时代“枫桥经验”，构建街道、村（社区）两级调解组织网络，加强专职人民调解员队伍建设，完善行政调解、司法调解与人民调解联动体系，高效化解征地拆迁、劳动争议、物业管理等重点领域矛盾纠纷。</w:t>
      </w:r>
    </w:p>
    <w:p w14:paraId="38D3A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规范信访工作办理：严格落实《信访工作条例》，规范信访事项受理、办理、回复全流程，引导群众依法理性表达诉求，运用法治方式解决信访问题，全年信访工作均达到省、市、区相关要求。</w:t>
      </w:r>
    </w:p>
    <w:p w14:paraId="43C33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（三）优化营商环境，激发市场主体活力</w:t>
      </w:r>
    </w:p>
    <w:p w14:paraId="1EE99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 提升涉企服务效能：以“法治是最好的营商环境”为导向，建立优化营商环境跟踪评估与考核挂钩机制，对企业反映的审批流程、政策兑现等问题建立台账、逐项销号；推行涉企事项“一件事一次办”“跨省通办”，减少企业跑动次数，压缩办理时限，为企业提供全生命周期服务。</w:t>
      </w:r>
    </w:p>
    <w:p w14:paraId="5271E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 规范涉企行政执法：制定涉企检查事项清单，严格落实“双随机、一公开”监管机制，杜绝重复检查、随意检查；加强执法人员法治素养和执法能力培训，规范行政执法行为，坚决杜绝选择性执法、随意性执法等问题，切实保护企业合法经营权益。</w:t>
      </w:r>
    </w:p>
    <w:p w14:paraId="38EDA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强化行政争议化解：建立行政机关主要负责人出庭应诉台账，2025年出庭应诉率达100%；加强行政复议与行政诉讼衔接，定期分析纠错案例和败诉案例，建立问题整改长效机制，全年行政复议纠错率、行政诉讼败诉率控制在较低水平，未发生重大违法行政案件。</w:t>
      </w:r>
    </w:p>
    <w:p w14:paraId="326EF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三、谋划未来发展，明确法治建设前进方向</w:t>
      </w:r>
    </w:p>
    <w:p w14:paraId="1A61E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（一）深化法治宣传教育</w:t>
      </w:r>
    </w:p>
    <w:p w14:paraId="4A1AD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持续抓好领导干部、机关干部、企业群众分层分类法治教育，创新宣传形式载体，针对企业需求开展定制化法治宣传活动，推动习近平法治思想在基层落地生根，进一步提升全社会法治意识。</w:t>
      </w:r>
    </w:p>
    <w:p w14:paraId="03115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（二）完善长效工作机制</w:t>
      </w:r>
    </w:p>
    <w:p w14:paraId="3028E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细化涉企服务流程，拓展法律顾问涉企服务范围，建立政企法治沟通直通车制度，及时回应企业法律需求；优化合法性审查机制，引入数字化审查工具，提升审查质效，有效防范法律风险。</w:t>
      </w:r>
    </w:p>
    <w:p w14:paraId="47BD3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（三）强化执法规范化建设</w:t>
      </w:r>
    </w:p>
    <w:p w14:paraId="200F0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加大执法人员专业培训力度，推进“互联网+监管”模式应用，提升执法精准度和效率；健全行政争议化解联动机制，加强与司法机关协作，完善矛盾纠纷多元化解体系，及时有效化解各类矛盾问题。</w:t>
      </w:r>
    </w:p>
    <w:p w14:paraId="4E965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（四）压实工作落实责任</w:t>
      </w:r>
    </w:p>
    <w:p w14:paraId="42B44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法治政府建设成效纳入街道各部门、村（社区）绩效考核核心指标，定期开展专项督察，对推进不力、问题较多的单位和个人进行约谈问责，形成一级抓一级、层层抓落实的工作格局，确保法治政府建设各项任务落地见效。</w:t>
      </w:r>
    </w:p>
    <w:p w14:paraId="5276F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A208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63CE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63CE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F4008"/>
    <w:rsid w:val="132B5CE7"/>
    <w:rsid w:val="16AF4008"/>
    <w:rsid w:val="47530136"/>
    <w:rsid w:val="72B6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2270</Words>
  <Characters>2328</Characters>
  <Lines>0</Lines>
  <Paragraphs>0</Paragraphs>
  <TotalTime>36</TotalTime>
  <ScaleCrop>false</ScaleCrop>
  <LinksUpToDate>false</LinksUpToDate>
  <CharactersWithSpaces>2367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2026-01-09T06:57:00Z</dcterms:created>
  <dc:creator>丽莎</dc:creator>
  <cp:lastModifiedBy>ZZjier</cp:lastModifiedBy>
  <dcterms:modified xsi:type="dcterms:W3CDTF">2026-03-04T03:36:12Z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B4D877C5277C467AAAB2CF9727694CD2_11</vt:lpwstr>
  </property>
  <property fmtid="{D5CDD505-2E9C-101B-9397-08002B2CF9AE}" pid="4" name="KSOTemplateDocerSaveRecord">
    <vt:lpwstr>eyJoZGlkIjoiMWVhMTM3YTc4NzRlYjM1Mzg2YmY4YmQ0YzNkZGM5ODQiLCJ1c2VySWQiOiI0NTExNDc2MjUifQ==</vt:lpwstr>
  </property>
</Properties>
</file>