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600"/>
        <w:jc w:val="center"/>
        <w:textAlignment w:val="auto"/>
        <w:rPr>
          <w:rFonts w:hint="eastAsia" w:ascii="仿宋_GB2312" w:eastAsia="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00"/>
        <w:jc w:val="center"/>
        <w:textAlignment w:val="auto"/>
        <w:rPr>
          <w:rFonts w:hint="eastAsia" w:ascii="仿宋_GB2312" w:eastAsia="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00"/>
        <w:jc w:val="center"/>
        <w:textAlignment w:val="auto"/>
        <w:rPr>
          <w:rFonts w:hint="eastAsia" w:ascii="仿宋_GB2312" w:eastAsia="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00"/>
        <w:jc w:val="center"/>
        <w:textAlignment w:val="auto"/>
        <w:rPr>
          <w:rFonts w:hint="eastAsia" w:ascii="仿宋_GB2312" w:eastAsia="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01"/>
        <w:jc w:val="center"/>
        <w:textAlignment w:val="auto"/>
        <w:rPr>
          <w:rFonts w:hint="eastAsia" w:ascii="仿宋_GB2312" w:eastAsia="仿宋_GB2312"/>
          <w:color w:val="auto"/>
          <w:sz w:val="32"/>
          <w:szCs w:val="32"/>
        </w:rPr>
      </w:pPr>
    </w:p>
    <w:p>
      <w:pPr>
        <w:keepNext w:val="0"/>
        <w:keepLines w:val="0"/>
        <w:pageBreakBefore w:val="0"/>
        <w:widowControl w:val="0"/>
        <w:tabs>
          <w:tab w:val="left" w:pos="2520"/>
        </w:tabs>
        <w:kinsoku/>
        <w:wordWrap/>
        <w:overflowPunct/>
        <w:topLinePunct w:val="0"/>
        <w:autoSpaceDE/>
        <w:autoSpaceDN/>
        <w:bidi w:val="0"/>
        <w:adjustRightInd/>
        <w:snapToGrid/>
        <w:spacing w:line="580" w:lineRule="exact"/>
        <w:jc w:val="center"/>
        <w:textAlignment w:val="auto"/>
        <w:rPr>
          <w:rFonts w:hint="eastAsia" w:ascii="仿宋_GB2312" w:eastAsia="仿宋_GB2312"/>
          <w:color w:val="auto"/>
          <w:sz w:val="32"/>
          <w:szCs w:val="32"/>
        </w:rPr>
      </w:pPr>
      <w:r>
        <w:rPr>
          <w:rFonts w:hint="eastAsia" w:ascii="仿宋_GB2312" w:eastAsia="仿宋_GB2312"/>
          <w:color w:val="auto"/>
          <w:sz w:val="32"/>
          <w:szCs w:val="32"/>
        </w:rPr>
        <w:t>高工发〔2023〕</w:t>
      </w:r>
      <w:r>
        <w:rPr>
          <w:rFonts w:hint="eastAsia" w:ascii="仿宋_GB2312"/>
          <w:color w:val="auto"/>
          <w:sz w:val="32"/>
          <w:szCs w:val="32"/>
          <w:lang w:val="en-US" w:eastAsia="zh-CN"/>
        </w:rPr>
        <w:t>17</w:t>
      </w:r>
      <w:r>
        <w:rPr>
          <w:rFonts w:hint="eastAsia" w:ascii="仿宋_GB2312" w:eastAsia="仿宋_GB2312"/>
          <w:color w:val="auto"/>
          <w:sz w:val="32"/>
          <w:szCs w:val="32"/>
        </w:rPr>
        <w:t>号</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eastAsia="仿宋_GB2312"/>
          <w:b/>
          <w:color w:val="auto"/>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b/>
          <w:color w:val="auto"/>
          <w:sz w:val="32"/>
          <w:szCs w:val="32"/>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pacing w:val="-20"/>
          <w:sz w:val="44"/>
          <w:szCs w:val="44"/>
        </w:rPr>
      </w:pPr>
      <w:r>
        <w:rPr>
          <w:rFonts w:hint="eastAsia" w:ascii="方正小标宋简体" w:hAnsi="方正小标宋简体" w:eastAsia="方正小标宋简体" w:cs="方正小标宋简体"/>
          <w:color w:val="auto"/>
          <w:spacing w:val="-20"/>
          <w:sz w:val="44"/>
          <w:szCs w:val="44"/>
        </w:rPr>
        <w:t>中共长沙市望城</w:t>
      </w:r>
      <w:r>
        <w:rPr>
          <w:rFonts w:hint="eastAsia" w:ascii="方正小标宋简体" w:hAnsi="方正小标宋简体" w:eastAsia="方正小标宋简体" w:cs="方正小标宋简体"/>
          <w:color w:val="auto"/>
          <w:spacing w:val="-20"/>
          <w:sz w:val="44"/>
          <w:szCs w:val="44"/>
          <w:lang w:bidi="ar-SA"/>
        </w:rPr>
        <w:t>区</w:t>
      </w:r>
      <w:r>
        <w:rPr>
          <w:rFonts w:hint="eastAsia" w:ascii="方正小标宋简体" w:hAnsi="方正小标宋简体" w:eastAsia="方正小标宋简体" w:cs="方正小标宋简体"/>
          <w:color w:val="auto"/>
          <w:spacing w:val="-20"/>
          <w:sz w:val="44"/>
          <w:szCs w:val="44"/>
        </w:rPr>
        <w:t>高塘岭街道工作委员会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color w:val="auto"/>
          <w:spacing w:val="40"/>
          <w:sz w:val="44"/>
          <w:szCs w:val="44"/>
          <w:lang w:bidi="ar-SA"/>
        </w:rPr>
      </w:pPr>
      <w:r>
        <w:rPr>
          <w:rFonts w:hint="eastAsia" w:ascii="方正小标宋简体" w:hAnsi="方正小标宋简体" w:eastAsia="方正小标宋简体" w:cs="方正小标宋简体"/>
          <w:b w:val="0"/>
          <w:bCs w:val="0"/>
          <w:color w:val="auto"/>
          <w:spacing w:val="40"/>
          <w:sz w:val="44"/>
          <w:szCs w:val="44"/>
        </w:rPr>
        <w:t>长沙市望城</w:t>
      </w:r>
      <w:r>
        <w:rPr>
          <w:rFonts w:hint="eastAsia" w:ascii="方正小标宋简体" w:hAnsi="方正小标宋简体" w:eastAsia="方正小标宋简体" w:cs="方正小标宋简体"/>
          <w:b w:val="0"/>
          <w:bCs w:val="0"/>
          <w:color w:val="auto"/>
          <w:spacing w:val="40"/>
          <w:sz w:val="44"/>
          <w:szCs w:val="44"/>
          <w:lang w:bidi="ar-SA"/>
        </w:rPr>
        <w:t>区</w:t>
      </w:r>
      <w:r>
        <w:rPr>
          <w:rFonts w:hint="eastAsia" w:ascii="方正小标宋简体" w:hAnsi="方正小标宋简体" w:eastAsia="方正小标宋简体" w:cs="方正小标宋简体"/>
          <w:b w:val="0"/>
          <w:bCs w:val="0"/>
          <w:color w:val="auto"/>
          <w:spacing w:val="40"/>
          <w:sz w:val="44"/>
          <w:szCs w:val="44"/>
        </w:rPr>
        <w:t>高塘岭街道</w:t>
      </w:r>
      <w:r>
        <w:rPr>
          <w:rFonts w:hint="eastAsia" w:ascii="方正小标宋简体" w:hAnsi="方正小标宋简体" w:eastAsia="方正小标宋简体" w:cs="方正小标宋简体"/>
          <w:b w:val="0"/>
          <w:bCs w:val="0"/>
          <w:color w:val="auto"/>
          <w:spacing w:val="40"/>
          <w:sz w:val="44"/>
          <w:szCs w:val="44"/>
          <w:lang w:bidi="ar-SA"/>
        </w:rPr>
        <w:t>办事处</w:t>
      </w:r>
    </w:p>
    <w:p>
      <w:pPr>
        <w:spacing w:line="600" w:lineRule="exact"/>
        <w:jc w:val="center"/>
        <w:rPr>
          <w:rFonts w:ascii="方正小标宋简体" w:eastAsia="方正小标宋简体" w:cs="Times New Roman"/>
          <w:sz w:val="44"/>
          <w:szCs w:val="44"/>
        </w:rPr>
      </w:pPr>
      <w:r>
        <w:rPr>
          <w:rFonts w:hint="eastAsia" w:ascii="方正小标宋简体" w:eastAsia="方正小标宋简体" w:cs="方正小标宋简体"/>
          <w:sz w:val="44"/>
          <w:szCs w:val="44"/>
          <w:lang w:eastAsia="zh-CN"/>
        </w:rPr>
        <w:t>关于印发《</w:t>
      </w:r>
      <w:r>
        <w:rPr>
          <w:rFonts w:hint="eastAsia" w:ascii="方正小标宋简体" w:eastAsia="方正小标宋简体" w:cs="方正小标宋简体"/>
          <w:sz w:val="44"/>
          <w:szCs w:val="44"/>
        </w:rPr>
        <w:t>高塘岭街道防溺水工作方案</w:t>
      </w:r>
      <w:r>
        <w:rPr>
          <w:rFonts w:hint="eastAsia" w:ascii="方正小标宋简体" w:eastAsia="方正小标宋简体" w:cs="方正小标宋简体"/>
          <w:sz w:val="44"/>
          <w:szCs w:val="44"/>
          <w:lang w:eastAsia="zh-CN"/>
        </w:rPr>
        <w:t>》的通</w:t>
      </w:r>
      <w:r>
        <w:rPr>
          <w:rFonts w:hint="eastAsia" w:ascii="方正小标宋简体" w:eastAsia="方正小标宋简体" w:cs="方正小标宋简体"/>
          <w:sz w:val="44"/>
          <w:szCs w:val="44"/>
          <w:lang w:val="en-US" w:eastAsia="zh-CN"/>
        </w:rPr>
        <w:t xml:space="preserve">  </w:t>
      </w:r>
      <w:r>
        <w:rPr>
          <w:rFonts w:hint="eastAsia" w:ascii="方正小标宋简体" w:eastAsia="方正小标宋简体" w:cs="方正小标宋简体"/>
          <w:sz w:val="44"/>
          <w:szCs w:val="44"/>
          <w:lang w:eastAsia="zh-CN"/>
        </w:rPr>
        <w:t>知</w:t>
      </w:r>
    </w:p>
    <w:p>
      <w:pPr>
        <w:keepNext w:val="0"/>
        <w:keepLines w:val="0"/>
        <w:pageBreakBefore w:val="0"/>
        <w:widowControl w:val="0"/>
        <w:kinsoku/>
        <w:overflowPunct/>
        <w:topLinePunct w:val="0"/>
        <w:autoSpaceDE/>
        <w:autoSpaceDN/>
        <w:bidi w:val="0"/>
        <w:adjustRightInd/>
        <w:snapToGrid/>
        <w:spacing w:line="600" w:lineRule="atLeast"/>
        <w:ind w:right="0" w:firstLine="640" w:firstLineChars="200"/>
        <w:textAlignment w:val="auto"/>
        <w:outlineLvl w:val="9"/>
        <w:rPr>
          <w:rFonts w:ascii="仿宋_GB2312" w:eastAsia="仿宋_GB2312" w:cs="Times New Roman"/>
          <w:sz w:val="32"/>
          <w:szCs w:val="32"/>
        </w:rPr>
      </w:pPr>
    </w:p>
    <w:p>
      <w:pPr>
        <w:pStyle w:val="2"/>
        <w:keepNext w:val="0"/>
        <w:keepLines w:val="0"/>
        <w:pageBreakBefore w:val="0"/>
        <w:widowControl w:val="0"/>
        <w:kinsoku/>
        <w:overflowPunct/>
        <w:topLinePunct w:val="0"/>
        <w:autoSpaceDE/>
        <w:autoSpaceDN/>
        <w:bidi w:val="0"/>
        <w:adjustRightInd/>
        <w:snapToGrid/>
        <w:spacing w:after="0" w:line="600" w:lineRule="atLeast"/>
        <w:ind w:right="0" w:firstLine="640" w:firstLineChars="200"/>
        <w:textAlignment w:val="auto"/>
        <w:outlineLvl w:val="9"/>
        <w:rPr>
          <w:rFonts w:hint="eastAsia" w:ascii="仿宋_GB2312" w:eastAsia="仿宋_GB2312" w:cs="Times New Roman"/>
          <w:sz w:val="32"/>
          <w:szCs w:val="32"/>
          <w:lang w:val="en-US" w:eastAsia="zh-CN"/>
        </w:rPr>
      </w:pPr>
      <w:r>
        <w:rPr>
          <w:rFonts w:hint="eastAsia" w:ascii="仿宋_GB2312" w:eastAsia="仿宋_GB2312" w:cs="Times New Roman"/>
          <w:sz w:val="32"/>
          <w:szCs w:val="32"/>
          <w:lang w:eastAsia="zh-CN"/>
        </w:rPr>
        <w:t>经街道党工委、办事处研究，现将《高塘岭街道防溺水工作方案》印发给你们，请认真遵照执行。</w:t>
      </w:r>
    </w:p>
    <w:p>
      <w:pPr>
        <w:pStyle w:val="3"/>
        <w:keepNext w:val="0"/>
        <w:keepLines w:val="0"/>
        <w:pageBreakBefore w:val="0"/>
        <w:widowControl w:val="0"/>
        <w:kinsoku/>
        <w:overflowPunct/>
        <w:topLinePunct w:val="0"/>
        <w:autoSpaceDE/>
        <w:autoSpaceDN/>
        <w:bidi w:val="0"/>
        <w:adjustRightInd/>
        <w:snapToGrid/>
        <w:spacing w:after="0" w:line="600" w:lineRule="atLeast"/>
        <w:ind w:right="0"/>
        <w:textAlignment w:val="auto"/>
        <w:outlineLvl w:val="9"/>
        <w:rPr>
          <w:rFonts w:ascii="仿宋_GB2312" w:eastAsia="仿宋_GB2312" w:cs="Times New Roman"/>
          <w:sz w:val="32"/>
          <w:szCs w:val="32"/>
        </w:rPr>
      </w:pPr>
    </w:p>
    <w:p>
      <w:pPr>
        <w:pStyle w:val="3"/>
        <w:keepNext w:val="0"/>
        <w:keepLines w:val="0"/>
        <w:pageBreakBefore w:val="0"/>
        <w:widowControl w:val="0"/>
        <w:kinsoku/>
        <w:overflowPunct/>
        <w:topLinePunct w:val="0"/>
        <w:autoSpaceDE/>
        <w:autoSpaceDN/>
        <w:bidi w:val="0"/>
        <w:adjustRightInd/>
        <w:snapToGrid/>
        <w:spacing w:after="0" w:line="600" w:lineRule="atLeast"/>
        <w:ind w:right="0"/>
        <w:textAlignment w:val="auto"/>
        <w:outlineLvl w:val="9"/>
        <w:rPr>
          <w:rFonts w:ascii="仿宋_GB2312" w:eastAsia="仿宋_GB2312" w:cs="Times New Roman"/>
          <w:sz w:val="32"/>
          <w:szCs w:val="32"/>
        </w:rPr>
      </w:pPr>
    </w:p>
    <w:p>
      <w:pPr>
        <w:keepNext w:val="0"/>
        <w:keepLines w:val="0"/>
        <w:pageBreakBefore w:val="0"/>
        <w:widowControl w:val="0"/>
        <w:kinsoku/>
        <w:wordWrap w:val="0"/>
        <w:overflowPunct/>
        <w:topLinePunct w:val="0"/>
        <w:autoSpaceDE/>
        <w:autoSpaceDN/>
        <w:bidi w:val="0"/>
        <w:adjustRightInd/>
        <w:snapToGrid/>
        <w:spacing w:line="600" w:lineRule="atLeast"/>
        <w:ind w:right="0"/>
        <w:jc w:val="right"/>
        <w:textAlignment w:val="auto"/>
        <w:outlineLvl w:val="9"/>
        <w:rPr>
          <w:rFonts w:hint="eastAsia" w:ascii="仿宋_GB2312" w:eastAsia="仿宋_GB2312"/>
          <w:spacing w:val="-20"/>
          <w:kern w:val="0"/>
          <w:sz w:val="32"/>
          <w:szCs w:val="32"/>
          <w:lang w:val="en-US" w:eastAsia="zh-CN"/>
        </w:rPr>
      </w:pPr>
      <w:r>
        <w:rPr>
          <w:rFonts w:hint="eastAsia" w:ascii="仿宋_GB2312" w:eastAsia="仿宋_GB2312"/>
          <w:spacing w:val="-20"/>
          <w:kern w:val="0"/>
          <w:sz w:val="32"/>
          <w:szCs w:val="32"/>
        </w:rPr>
        <w:t>中共长沙市望城区高塘岭街道工作委员会</w:t>
      </w:r>
      <w:r>
        <w:rPr>
          <w:rFonts w:hint="eastAsia" w:ascii="仿宋_GB2312" w:eastAsia="仿宋_GB2312"/>
          <w:spacing w:val="-20"/>
          <w:kern w:val="0"/>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600" w:lineRule="atLeast"/>
        <w:ind w:right="0" w:firstLine="736" w:firstLineChars="200"/>
        <w:jc w:val="right"/>
        <w:textAlignment w:val="auto"/>
        <w:outlineLvl w:val="9"/>
        <w:rPr>
          <w:rFonts w:hint="eastAsia" w:ascii="仿宋_GB2312" w:eastAsia="仿宋_GB2312"/>
          <w:color w:val="000000"/>
          <w:sz w:val="32"/>
          <w:szCs w:val="32"/>
          <w:lang w:val="en-US" w:eastAsia="zh-CN"/>
        </w:rPr>
      </w:pPr>
      <w:r>
        <w:rPr>
          <w:rFonts w:hint="eastAsia" w:ascii="仿宋_GB2312" w:eastAsia="仿宋_GB2312"/>
          <w:spacing w:val="24"/>
          <w:kern w:val="0"/>
          <w:sz w:val="32"/>
          <w:szCs w:val="32"/>
        </w:rPr>
        <w:t>长沙市望城区</w:t>
      </w:r>
      <w:r>
        <w:rPr>
          <w:rFonts w:hint="eastAsia" w:ascii="仿宋_GB2312" w:eastAsia="仿宋_GB2312"/>
          <w:spacing w:val="24"/>
          <w:sz w:val="32"/>
          <w:szCs w:val="32"/>
        </w:rPr>
        <w:t>高塘岭街道</w:t>
      </w:r>
      <w:r>
        <w:rPr>
          <w:rFonts w:hint="eastAsia" w:ascii="仿宋_GB2312" w:eastAsia="仿宋_GB2312"/>
          <w:spacing w:val="24"/>
          <w:kern w:val="0"/>
          <w:sz w:val="32"/>
          <w:szCs w:val="32"/>
        </w:rPr>
        <w:t>办事</w:t>
      </w:r>
      <w:r>
        <w:rPr>
          <w:rFonts w:hint="eastAsia" w:ascii="仿宋_GB2312" w:eastAsia="仿宋_GB2312"/>
          <w:spacing w:val="28"/>
          <w:kern w:val="0"/>
          <w:sz w:val="32"/>
          <w:szCs w:val="32"/>
        </w:rPr>
        <w:t>处</w:t>
      </w:r>
      <w:r>
        <w:rPr>
          <w:rFonts w:hint="eastAsia" w:ascii="仿宋_GB2312" w:eastAsia="仿宋_GB2312"/>
          <w:spacing w:val="28"/>
          <w:kern w:val="0"/>
          <w:sz w:val="32"/>
          <w:szCs w:val="32"/>
          <w:lang w:val="en-US" w:eastAsia="zh-CN"/>
        </w:rPr>
        <w:t xml:space="preserve"> </w:t>
      </w:r>
    </w:p>
    <w:p>
      <w:pPr>
        <w:pStyle w:val="3"/>
        <w:keepNext w:val="0"/>
        <w:keepLines w:val="0"/>
        <w:pageBreakBefore w:val="0"/>
        <w:widowControl w:val="0"/>
        <w:kinsoku/>
        <w:wordWrap w:val="0"/>
        <w:overflowPunct/>
        <w:topLinePunct w:val="0"/>
        <w:autoSpaceDE/>
        <w:autoSpaceDN/>
        <w:bidi w:val="0"/>
        <w:adjustRightInd/>
        <w:snapToGrid/>
        <w:spacing w:after="0" w:line="600" w:lineRule="atLeast"/>
        <w:ind w:right="0"/>
        <w:jc w:val="right"/>
        <w:textAlignment w:val="auto"/>
        <w:outlineLvl w:val="9"/>
        <w:rPr>
          <w:rFonts w:hint="eastAsia" w:ascii="仿宋_GB2312" w:eastAsia="仿宋_GB2312"/>
          <w:color w:val="000000"/>
          <w:sz w:val="32"/>
          <w:szCs w:val="32"/>
          <w:lang w:val="en-US" w:eastAsia="zh-CN"/>
        </w:rPr>
      </w:pPr>
      <w:r>
        <w:rPr>
          <w:rFonts w:hint="eastAsia" w:ascii="仿宋_GB2312" w:eastAsia="仿宋_GB2312"/>
          <w:color w:val="000000"/>
          <w:sz w:val="32"/>
          <w:szCs w:val="32"/>
        </w:rPr>
        <w:t>2023年</w:t>
      </w:r>
      <w:r>
        <w:rPr>
          <w:rFonts w:hint="eastAsia" w:ascii="仿宋_GB2312" w:eastAsia="仿宋_GB2312"/>
          <w:color w:val="000000"/>
          <w:sz w:val="32"/>
          <w:szCs w:val="32"/>
          <w:lang w:val="en-US" w:eastAsia="zh-CN"/>
        </w:rPr>
        <w:t>5</w:t>
      </w:r>
      <w:r>
        <w:rPr>
          <w:rFonts w:hint="eastAsia" w:ascii="仿宋_GB2312" w:eastAsia="仿宋_GB2312"/>
          <w:color w:val="000000"/>
          <w:sz w:val="32"/>
          <w:szCs w:val="32"/>
        </w:rPr>
        <w:t>月</w:t>
      </w:r>
      <w:r>
        <w:rPr>
          <w:rFonts w:hint="eastAsia" w:ascii="仿宋_GB2312" w:eastAsia="仿宋_GB2312"/>
          <w:color w:val="000000"/>
          <w:sz w:val="32"/>
          <w:szCs w:val="32"/>
          <w:lang w:val="en-US" w:eastAsia="zh-CN"/>
        </w:rPr>
        <w:t>25</w:t>
      </w:r>
      <w:r>
        <w:rPr>
          <w:rFonts w:hint="eastAsia" w:ascii="仿宋_GB2312" w:eastAsia="仿宋_GB2312"/>
          <w:color w:val="000000"/>
          <w:sz w:val="32"/>
          <w:szCs w:val="32"/>
        </w:rPr>
        <w:t>日</w:t>
      </w:r>
      <w:r>
        <w:rPr>
          <w:rFonts w:hint="eastAsia" w:ascii="仿宋_GB2312" w:eastAsia="仿宋_GB2312"/>
          <w:color w:val="000000"/>
          <w:sz w:val="32"/>
          <w:szCs w:val="32"/>
          <w:lang w:val="en-US" w:eastAsia="zh-CN"/>
        </w:rPr>
        <w:t xml:space="preserve">           </w:t>
      </w:r>
    </w:p>
    <w:p>
      <w:pPr>
        <w:pStyle w:val="3"/>
        <w:keepNext w:val="0"/>
        <w:keepLines w:val="0"/>
        <w:pageBreakBefore w:val="0"/>
        <w:kinsoku/>
        <w:wordWrap/>
        <w:overflowPunct/>
        <w:topLinePunct w:val="0"/>
        <w:autoSpaceDE/>
        <w:autoSpaceDN/>
        <w:bidi w:val="0"/>
        <w:adjustRightInd/>
        <w:snapToGrid/>
        <w:spacing w:after="0" w:line="600" w:lineRule="exact"/>
        <w:ind w:left="0" w:leftChars="0"/>
        <w:textAlignment w:val="auto"/>
        <w:outlineLvl w:val="9"/>
        <w:rPr>
          <w:rFonts w:hint="eastAsia" w:ascii="仿宋_GB2312" w:eastAsia="仿宋_GB2312"/>
          <w:color w:val="000000"/>
          <w:sz w:val="32"/>
          <w:szCs w:val="32"/>
        </w:rPr>
      </w:pPr>
      <w:r>
        <w:rPr>
          <w:rFonts w:hint="eastAsia" w:ascii="仿宋_GB2312" w:eastAsia="仿宋_GB2312"/>
          <w:color w:val="000000"/>
          <w:sz w:val="32"/>
          <w:szCs w:val="32"/>
        </w:rPr>
        <w:br w:type="page"/>
      </w:r>
    </w:p>
    <w:p>
      <w:pPr>
        <w:pStyle w:val="3"/>
        <w:keepNext w:val="0"/>
        <w:keepLines w:val="0"/>
        <w:pageBreakBefore w:val="0"/>
        <w:kinsoku/>
        <w:wordWrap/>
        <w:overflowPunct/>
        <w:topLinePunct w:val="0"/>
        <w:autoSpaceDE/>
        <w:autoSpaceDN/>
        <w:bidi w:val="0"/>
        <w:adjustRightInd/>
        <w:snapToGrid/>
        <w:spacing w:after="0" w:line="600" w:lineRule="exact"/>
        <w:ind w:left="0" w:leftChars="0"/>
        <w:jc w:val="center"/>
        <w:textAlignment w:val="auto"/>
        <w:outlineLvl w:val="9"/>
        <w:rPr>
          <w:rFonts w:hint="eastAsia" w:ascii="方正小标宋简体" w:eastAsia="方正小标宋简体" w:cs="方正小标宋简体"/>
          <w:sz w:val="44"/>
          <w:szCs w:val="44"/>
        </w:rPr>
      </w:pPr>
      <w:r>
        <w:rPr>
          <w:rFonts w:hint="eastAsia" w:ascii="方正小标宋简体" w:eastAsia="方正小标宋简体" w:cs="方正小标宋简体"/>
          <w:sz w:val="44"/>
          <w:szCs w:val="44"/>
        </w:rPr>
        <w:t>高塘岭街道防溺水工作方案</w:t>
      </w:r>
    </w:p>
    <w:p>
      <w:pPr>
        <w:pStyle w:val="3"/>
        <w:keepNext w:val="0"/>
        <w:keepLines w:val="0"/>
        <w:pageBreakBefore w:val="0"/>
        <w:kinsoku/>
        <w:wordWrap/>
        <w:overflowPunct/>
        <w:topLinePunct w:val="0"/>
        <w:autoSpaceDE/>
        <w:autoSpaceDN/>
        <w:bidi w:val="0"/>
        <w:adjustRightInd/>
        <w:snapToGrid/>
        <w:spacing w:after="0" w:line="600" w:lineRule="exact"/>
        <w:ind w:left="0" w:leftChars="0"/>
        <w:textAlignment w:val="auto"/>
        <w:outlineLvl w:val="9"/>
        <w:rPr>
          <w:rFonts w:hint="eastAsia" w:ascii="方正小标宋简体" w:eastAsia="方正小标宋简体" w:cs="方正小标宋简体"/>
          <w:sz w:val="44"/>
          <w:szCs w:val="44"/>
        </w:rPr>
      </w:pP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为深入贯彻落实中央、省、市、区关于防范学生溺水工作相关要求，坚决杜绝发生溺水事故，结合本街道实际，特制定本工作实施方案。</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rPr>
        <w:t>一、工作领导机构</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组  </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长：郑文艺</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第一副组长</w:t>
      </w:r>
      <w:r>
        <w:rPr>
          <w:rFonts w:hint="eastAsia" w:ascii="仿宋_GB2312" w:hAnsi="仿宋_GB2312" w:eastAsia="仿宋_GB2312" w:cs="仿宋_GB2312"/>
          <w:b w:val="0"/>
          <w:bCs w:val="0"/>
          <w:sz w:val="32"/>
          <w:szCs w:val="32"/>
        </w:rPr>
        <w:t>：李  书</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副</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组</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长：</w:t>
      </w:r>
      <w:r>
        <w:rPr>
          <w:rFonts w:hint="eastAsia" w:ascii="仿宋_GB2312" w:hAnsi="仿宋_GB2312" w:eastAsia="仿宋_GB2312" w:cs="仿宋_GB2312"/>
          <w:b w:val="0"/>
          <w:bCs w:val="0"/>
          <w:w w:val="100"/>
          <w:kern w:val="0"/>
          <w:sz w:val="32"/>
          <w:szCs w:val="32"/>
        </w:rPr>
        <w:t>王泽林</w:t>
      </w:r>
      <w:r>
        <w:rPr>
          <w:rFonts w:hint="eastAsia" w:ascii="仿宋_GB2312" w:hAnsi="仿宋_GB2312" w:eastAsia="仿宋_GB2312" w:cs="仿宋_GB2312"/>
          <w:b w:val="0"/>
          <w:bCs w:val="0"/>
          <w:w w:val="100"/>
          <w:sz w:val="32"/>
          <w:szCs w:val="32"/>
        </w:rPr>
        <w:t>、</w:t>
      </w:r>
      <w:r>
        <w:rPr>
          <w:rFonts w:hint="eastAsia" w:ascii="仿宋_GB2312" w:hAnsi="仿宋_GB2312" w:eastAsia="仿宋_GB2312" w:cs="仿宋_GB2312"/>
          <w:b w:val="0"/>
          <w:bCs w:val="0"/>
          <w:w w:val="100"/>
          <w:sz w:val="32"/>
          <w:szCs w:val="32"/>
          <w:lang w:eastAsia="zh-CN"/>
        </w:rPr>
        <w:t>陈铁武、</w:t>
      </w:r>
      <w:r>
        <w:rPr>
          <w:rFonts w:hint="eastAsia" w:ascii="仿宋_GB2312" w:hAnsi="仿宋_GB2312" w:eastAsia="仿宋_GB2312" w:cs="仿宋_GB2312"/>
          <w:b w:val="0"/>
          <w:bCs w:val="0"/>
          <w:w w:val="100"/>
          <w:kern w:val="0"/>
          <w:sz w:val="32"/>
          <w:szCs w:val="32"/>
        </w:rPr>
        <w:t>徐铁武</w:t>
      </w:r>
      <w:r>
        <w:rPr>
          <w:rFonts w:hint="eastAsia" w:ascii="仿宋_GB2312" w:hAnsi="仿宋_GB2312" w:eastAsia="仿宋_GB2312" w:cs="仿宋_GB2312"/>
          <w:b w:val="0"/>
          <w:bCs w:val="0"/>
          <w:w w:val="100"/>
          <w:sz w:val="32"/>
          <w:szCs w:val="32"/>
        </w:rPr>
        <w:t>、</w:t>
      </w:r>
      <w:r>
        <w:rPr>
          <w:rFonts w:hint="eastAsia" w:ascii="仿宋_GB2312" w:hAnsi="仿宋_GB2312" w:eastAsia="仿宋_GB2312" w:cs="仿宋_GB2312"/>
          <w:b w:val="0"/>
          <w:bCs w:val="0"/>
          <w:w w:val="100"/>
          <w:kern w:val="0"/>
          <w:sz w:val="32"/>
          <w:szCs w:val="32"/>
        </w:rPr>
        <w:t>何</w:t>
      </w:r>
      <w:r>
        <w:rPr>
          <w:rFonts w:hint="eastAsia" w:ascii="仿宋_GB2312" w:hAnsi="仿宋_GB2312" w:eastAsia="仿宋_GB2312" w:cs="仿宋_GB2312"/>
          <w:b w:val="0"/>
          <w:bCs w:val="0"/>
          <w:w w:val="100"/>
          <w:kern w:val="0"/>
          <w:sz w:val="32"/>
          <w:szCs w:val="32"/>
          <w:lang w:val="en-US" w:eastAsia="zh-CN"/>
        </w:rPr>
        <w:t xml:space="preserve"> </w:t>
      </w:r>
      <w:r>
        <w:rPr>
          <w:rFonts w:hint="eastAsia" w:ascii="仿宋_GB2312" w:hAnsi="仿宋_GB2312" w:eastAsia="仿宋_GB2312" w:cs="仿宋_GB2312"/>
          <w:b w:val="0"/>
          <w:bCs w:val="0"/>
          <w:w w:val="100"/>
          <w:kern w:val="0"/>
          <w:sz w:val="32"/>
          <w:szCs w:val="32"/>
        </w:rPr>
        <w:t xml:space="preserve"> 柳（常务）</w:t>
      </w:r>
      <w:r>
        <w:rPr>
          <w:rFonts w:hint="eastAsia" w:ascii="仿宋_GB2312" w:hAnsi="仿宋_GB2312" w:eastAsia="仿宋_GB2312" w:cs="仿宋_GB2312"/>
          <w:b w:val="0"/>
          <w:bCs w:val="0"/>
          <w:w w:val="100"/>
          <w:sz w:val="32"/>
          <w:szCs w:val="32"/>
        </w:rPr>
        <w:t>、</w:t>
      </w:r>
      <w:r>
        <w:rPr>
          <w:rFonts w:hint="eastAsia" w:ascii="仿宋_GB2312" w:hAnsi="仿宋_GB2312" w:eastAsia="仿宋_GB2312" w:cs="仿宋_GB2312"/>
          <w:b w:val="0"/>
          <w:bCs w:val="0"/>
          <w:w w:val="100"/>
          <w:kern w:val="0"/>
          <w:sz w:val="32"/>
          <w:szCs w:val="32"/>
        </w:rPr>
        <w:t>吕红梅</w:t>
      </w:r>
      <w:r>
        <w:rPr>
          <w:rFonts w:hint="eastAsia" w:ascii="仿宋_GB2312" w:hAnsi="仿宋_GB2312" w:eastAsia="仿宋_GB2312" w:cs="仿宋_GB2312"/>
          <w:b w:val="0"/>
          <w:bCs w:val="0"/>
          <w:w w:val="100"/>
          <w:sz w:val="32"/>
          <w:szCs w:val="32"/>
        </w:rPr>
        <w:t>、</w:t>
      </w:r>
      <w:r>
        <w:rPr>
          <w:rFonts w:hint="eastAsia" w:ascii="仿宋_GB2312" w:hAnsi="仿宋_GB2312" w:eastAsia="仿宋_GB2312" w:cs="仿宋_GB2312"/>
          <w:b w:val="0"/>
          <w:bCs w:val="0"/>
          <w:w w:val="100"/>
          <w:kern w:val="0"/>
          <w:sz w:val="32"/>
          <w:szCs w:val="32"/>
        </w:rPr>
        <w:t>魏  伟、刘  清</w:t>
      </w:r>
      <w:r>
        <w:rPr>
          <w:rFonts w:hint="eastAsia" w:ascii="仿宋_GB2312" w:hAnsi="仿宋_GB2312" w:eastAsia="仿宋_GB2312" w:cs="仿宋_GB2312"/>
          <w:b w:val="0"/>
          <w:bCs w:val="0"/>
          <w:w w:val="100"/>
          <w:sz w:val="32"/>
          <w:szCs w:val="32"/>
        </w:rPr>
        <w:t>、</w:t>
      </w:r>
      <w:r>
        <w:rPr>
          <w:rFonts w:hint="eastAsia" w:ascii="仿宋_GB2312" w:hAnsi="仿宋_GB2312" w:eastAsia="仿宋_GB2312" w:cs="仿宋_GB2312"/>
          <w:b w:val="0"/>
          <w:bCs w:val="0"/>
          <w:w w:val="100"/>
          <w:kern w:val="0"/>
          <w:sz w:val="32"/>
          <w:szCs w:val="32"/>
        </w:rPr>
        <w:t>佘</w:t>
      </w:r>
      <w:r>
        <w:rPr>
          <w:rFonts w:hint="eastAsia" w:ascii="仿宋_GB2312" w:hAnsi="仿宋_GB2312" w:eastAsia="仿宋_GB2312" w:cs="仿宋_GB2312"/>
          <w:b w:val="0"/>
          <w:bCs w:val="0"/>
          <w:w w:val="100"/>
          <w:kern w:val="0"/>
          <w:sz w:val="32"/>
          <w:szCs w:val="32"/>
          <w:lang w:val="en-US" w:eastAsia="zh-CN"/>
        </w:rPr>
        <w:t xml:space="preserve">  </w:t>
      </w:r>
      <w:r>
        <w:rPr>
          <w:rFonts w:hint="eastAsia" w:ascii="仿宋_GB2312" w:hAnsi="仿宋_GB2312" w:eastAsia="仿宋_GB2312" w:cs="仿宋_GB2312"/>
          <w:b w:val="0"/>
          <w:bCs w:val="0"/>
          <w:w w:val="100"/>
          <w:kern w:val="0"/>
          <w:sz w:val="32"/>
          <w:szCs w:val="32"/>
        </w:rPr>
        <w:t>青</w:t>
      </w:r>
      <w:r>
        <w:rPr>
          <w:rFonts w:hint="eastAsia" w:ascii="仿宋_GB2312" w:hAnsi="仿宋_GB2312" w:eastAsia="仿宋_GB2312" w:cs="仿宋_GB2312"/>
          <w:b w:val="0"/>
          <w:bCs w:val="0"/>
          <w:w w:val="100"/>
          <w:sz w:val="32"/>
          <w:szCs w:val="32"/>
        </w:rPr>
        <w:t>、</w:t>
      </w:r>
      <w:r>
        <w:rPr>
          <w:rFonts w:hint="eastAsia" w:ascii="仿宋_GB2312" w:hAnsi="仿宋_GB2312" w:eastAsia="仿宋_GB2312" w:cs="仿宋_GB2312"/>
          <w:b w:val="0"/>
          <w:bCs w:val="0"/>
          <w:w w:val="100"/>
          <w:kern w:val="0"/>
          <w:sz w:val="32"/>
          <w:szCs w:val="32"/>
        </w:rPr>
        <w:t>唐俊鹏</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成员单位:公共服务办、自然资源和生态环境办、</w:t>
      </w:r>
      <w:r>
        <w:rPr>
          <w:rFonts w:hint="eastAsia" w:ascii="仿宋_GB2312" w:hAnsi="仿宋_GB2312" w:eastAsia="仿宋_GB2312" w:cs="仿宋_GB2312"/>
          <w:b w:val="0"/>
          <w:bCs w:val="0"/>
          <w:sz w:val="32"/>
          <w:szCs w:val="32"/>
          <w:lang w:eastAsia="zh-CN"/>
        </w:rPr>
        <w:t>物管办</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eastAsia="zh-CN"/>
        </w:rPr>
        <w:t>公共安全</w:t>
      </w:r>
      <w:r>
        <w:rPr>
          <w:rFonts w:hint="eastAsia" w:ascii="仿宋_GB2312" w:hAnsi="仿宋_GB2312" w:eastAsia="仿宋_GB2312" w:cs="仿宋_GB2312"/>
          <w:b w:val="0"/>
          <w:bCs w:val="0"/>
          <w:sz w:val="32"/>
          <w:szCs w:val="32"/>
        </w:rPr>
        <w:t>办、农业农村综合服务中心、纪工委（监察室）、派出所、</w:t>
      </w:r>
      <w:r>
        <w:rPr>
          <w:rFonts w:hint="eastAsia" w:ascii="仿宋_GB2312" w:hAnsi="仿宋_GB2312" w:eastAsia="仿宋_GB2312" w:cs="仿宋_GB2312"/>
          <w:b w:val="0"/>
          <w:bCs w:val="0"/>
          <w:sz w:val="32"/>
          <w:szCs w:val="32"/>
          <w:lang w:eastAsia="zh-CN"/>
        </w:rPr>
        <w:t>高塘岭卫生院</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eastAsia="zh-CN"/>
        </w:rPr>
        <w:t>新康卫生院</w:t>
      </w:r>
      <w:r>
        <w:rPr>
          <w:rFonts w:hint="eastAsia" w:ascii="仿宋_GB2312" w:hAnsi="仿宋_GB2312" w:eastAsia="仿宋_GB2312" w:cs="仿宋_GB2312"/>
          <w:b w:val="0"/>
          <w:bCs w:val="0"/>
          <w:sz w:val="32"/>
          <w:szCs w:val="32"/>
        </w:rPr>
        <w:t>、学区校、各村（社区）。</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街道、村</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社</w:t>
      </w:r>
      <w:r>
        <w:rPr>
          <w:rFonts w:hint="eastAsia" w:ascii="仿宋_GB2312" w:hAnsi="仿宋_GB2312" w:eastAsia="仿宋_GB2312" w:cs="仿宋_GB2312"/>
          <w:b w:val="0"/>
          <w:bCs w:val="0"/>
          <w:sz w:val="32"/>
          <w:szCs w:val="32"/>
          <w:lang w:eastAsia="zh-CN"/>
        </w:rPr>
        <w:t>区）</w:t>
      </w:r>
      <w:r>
        <w:rPr>
          <w:rFonts w:hint="eastAsia" w:ascii="仿宋_GB2312" w:hAnsi="仿宋_GB2312" w:eastAsia="仿宋_GB2312" w:cs="仿宋_GB2312"/>
          <w:b w:val="0"/>
          <w:bCs w:val="0"/>
          <w:sz w:val="32"/>
          <w:szCs w:val="32"/>
        </w:rPr>
        <w:t>两级主要负责人为第一责任人，常务副组长为分管责任人，副组长和责任办线按照“一岗双责”要求负行业监管责任，学校负宣教主体责任，家长负校外监护主体责任。</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分管副主任兼任街道</w:t>
      </w:r>
      <w:r>
        <w:rPr>
          <w:rFonts w:hint="eastAsia" w:ascii="仿宋_GB2312" w:hAnsi="仿宋_GB2312" w:eastAsia="仿宋_GB2312" w:cs="仿宋_GB2312"/>
          <w:b w:val="0"/>
          <w:bCs w:val="0"/>
          <w:sz w:val="32"/>
          <w:szCs w:val="32"/>
          <w:lang w:eastAsia="zh-CN"/>
        </w:rPr>
        <w:t>范围</w:t>
      </w:r>
      <w:r>
        <w:rPr>
          <w:rFonts w:hint="eastAsia" w:ascii="仿宋_GB2312" w:hAnsi="仿宋_GB2312" w:eastAsia="仿宋_GB2312" w:cs="仿宋_GB2312"/>
          <w:b w:val="0"/>
          <w:bCs w:val="0"/>
          <w:sz w:val="32"/>
          <w:szCs w:val="32"/>
        </w:rPr>
        <w:t>内中小学特聘安全副校长，村</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社区</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党组织书记负责兼任本村</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社区</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小学特聘安全副校长，统筹抓好防溺水工作。</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rPr>
        <w:t>二、责任分工</w:t>
      </w:r>
    </w:p>
    <w:p>
      <w:pPr>
        <w:keepNext w:val="0"/>
        <w:keepLines w:val="0"/>
        <w:pageBreakBefore w:val="0"/>
        <w:kinsoku/>
        <w:wordWrap/>
        <w:overflowPunct/>
        <w:topLinePunct w:val="0"/>
        <w:autoSpaceDE/>
        <w:autoSpaceDN/>
        <w:bidi w:val="0"/>
        <w:adjustRightInd/>
        <w:snapToGrid/>
        <w:spacing w:line="600" w:lineRule="exact"/>
        <w:ind w:left="0" w:leftChars="0" w:firstLine="643" w:firstLineChars="200"/>
        <w:jc w:val="both"/>
        <w:textAlignment w:val="auto"/>
        <w:outlineLvl w:val="9"/>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1.村（社区）</w:t>
      </w:r>
    </w:p>
    <w:p>
      <w:pPr>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（1）实行水域“网格化”管理，以村</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社区</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为大网格、村(居)民小组为中网格、网格员管理区域为小网格，以网格为单元，将监管职责分解到每一个责任单位或家庭(自有水沟或鱼塘的)，将监管任务明确到具体责任人。</w:t>
      </w:r>
    </w:p>
    <w:p>
      <w:pPr>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在容易发生和曾经发生溺水事故的水域(河湖、塘坝、水库、沟渠溪流、鱼塘、水坑等)全面设立防溺水警示牌（含应急及举报电话），配好救生杆、绳、圈或竹杆、木板等本地适用的防溺水救护工具，在危险区域设安全隔离带、防护栏等。</w:t>
      </w:r>
    </w:p>
    <w:p>
      <w:pPr>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（3）村</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社区</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负责组建防溺水巡守队伍，安排防溺水值班巡逻，5—10月，每日10:30—19:30在重点水域“一日三巡查”，并建立巡查台账，在经常有人下水的区域设立固定盯守点，聘请专职人员盯守。</w:t>
      </w:r>
    </w:p>
    <w:p>
      <w:pPr>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（4）组建应急抢救队，一旦发现学生溺水，第一时间通知抢救队赶赴现场，15分钟内报告值班人员（值班电话：88060027）。</w:t>
      </w:r>
    </w:p>
    <w:p>
      <w:pPr>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（5）设立举报电话，凡接到举报并核实学生私自下水游泳的，由村委会(居委会)对学生及其家长进行训诫，并张贴公示。</w:t>
      </w:r>
    </w:p>
    <w:p>
      <w:pPr>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（6）利用“村村响”、“流动宣传车”进行防溺水宣传，每天不少于2次。</w:t>
      </w:r>
    </w:p>
    <w:p>
      <w:pPr>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（7）利用敲门行动，对农村留守儿童和困境儿童建立关爱对象台账，明确帮扶责任人，重点强化对留守儿童、进城务工人员随迁子女、单亲家庭子女等特殊群体的防溺水教育宣传。</w:t>
      </w:r>
    </w:p>
    <w:p>
      <w:pPr>
        <w:keepNext w:val="0"/>
        <w:keepLines w:val="0"/>
        <w:pageBreakBefore w:val="0"/>
        <w:kinsoku/>
        <w:wordWrap/>
        <w:overflowPunct/>
        <w:topLinePunct w:val="0"/>
        <w:autoSpaceDE/>
        <w:autoSpaceDN/>
        <w:bidi w:val="0"/>
        <w:adjustRightInd/>
        <w:snapToGrid/>
        <w:spacing w:line="600" w:lineRule="exact"/>
        <w:ind w:left="0" w:leftChars="0" w:firstLine="643" w:firstLineChars="200"/>
        <w:jc w:val="both"/>
        <w:textAlignment w:val="auto"/>
        <w:outlineLvl w:val="9"/>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2.学区校</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统筹推进防范学生溺水工作，加强调度部署，督促指导各级各类学校树牢安全发展理念，建立健全防范学生溺水安全管理制度。</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抓好防溺水“十个一”活动”(看一次防溺水教育专题片、挂一张图、唱一首歌、发一封信、上一节课、写一篇作文、开一次主题班会、开一次家长会、搞一次演练、走一次家访活动)，组织全体学生及家长观看学习防溺水宣传教育片,普及防溺水“七不两会”安全知识，帮助学生养成安全行为习惯，提高自我防护能力。</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落实“放学前3—5分钟，周末离校前5—10分钟，暑假、劳动节及国庆节前15分钟”安全教育提醒；中小学毕业考试后，学校立即向毕业生和家长发出防溺水提醒；5—10月，学校每周向学生家长推送提示信息不少于1次；组织家长、学生签订防溺水承诺书。</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（3）以幼儿园、小学低年级和智障儿童为重点，学校通过家访、专题家长会、家长微信群或QQ群等形式，提醒监护人落实监护责任，防范失足溺亡。</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（4）对私自下水游泳的学生，由就读学校进行训诫，取消评优评先资格，并纳入学生综合素质评价考评。</w:t>
      </w:r>
    </w:p>
    <w:p>
      <w:pPr>
        <w:keepNext w:val="0"/>
        <w:keepLines w:val="0"/>
        <w:pageBreakBefore w:val="0"/>
        <w:kinsoku/>
        <w:wordWrap/>
        <w:overflowPunct/>
        <w:topLinePunct w:val="0"/>
        <w:autoSpaceDE/>
        <w:autoSpaceDN/>
        <w:bidi w:val="0"/>
        <w:adjustRightInd/>
        <w:snapToGrid/>
        <w:spacing w:line="600" w:lineRule="exact"/>
        <w:ind w:left="0" w:leftChars="0" w:firstLine="643" w:firstLineChars="200"/>
        <w:jc w:val="both"/>
        <w:textAlignment w:val="auto"/>
        <w:outlineLvl w:val="9"/>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3.公共服务办</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_GB2312" w:hAnsi="仿宋_GB2312" w:eastAsia="仿宋_GB2312" w:cs="仿宋_GB2312"/>
          <w:b w:val="0"/>
          <w:bCs w:val="0"/>
          <w:color w:val="FF0000"/>
          <w:sz w:val="32"/>
          <w:szCs w:val="32"/>
        </w:rPr>
      </w:pPr>
      <w:r>
        <w:rPr>
          <w:rFonts w:hint="eastAsia" w:ascii="仿宋_GB2312" w:hAnsi="仿宋_GB2312" w:eastAsia="仿宋_GB2312" w:cs="仿宋_GB2312"/>
          <w:b w:val="0"/>
          <w:bCs w:val="0"/>
          <w:sz w:val="32"/>
          <w:szCs w:val="32"/>
        </w:rPr>
        <w:t>重点针对留守儿童和困境儿童，依托村</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社区</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“儿童之家”，加强防范溺水安全教育；压实村</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社区</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儿童主任职责，及时发现家庭监护缺失和暂时无人监护的农村留守儿童、困境儿童，指定近亲属代为监护或按法定程序由民政部门临时监护，督促村</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社区</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儿童主任加强暑期学生家庭探访和防溺水安全教育；督促各村</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社区</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、景区（点）加强内部水域管理，做好防溺水宣传折页、视频等宣传资料，景区设置安全警示标志及护栏，安排专人巡查并开展应急演练活动。</w:t>
      </w:r>
    </w:p>
    <w:p>
      <w:pPr>
        <w:keepNext w:val="0"/>
        <w:keepLines w:val="0"/>
        <w:pageBreakBefore w:val="0"/>
        <w:kinsoku/>
        <w:wordWrap/>
        <w:overflowPunct/>
        <w:topLinePunct w:val="0"/>
        <w:autoSpaceDE/>
        <w:autoSpaceDN/>
        <w:bidi w:val="0"/>
        <w:adjustRightInd/>
        <w:snapToGrid/>
        <w:spacing w:line="600" w:lineRule="exact"/>
        <w:ind w:left="0" w:leftChars="0" w:firstLine="643" w:firstLineChars="200"/>
        <w:jc w:val="both"/>
        <w:textAlignment w:val="auto"/>
        <w:outlineLvl w:val="9"/>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4.</w:t>
      </w:r>
      <w:r>
        <w:rPr>
          <w:rFonts w:hint="eastAsia" w:ascii="楷体_GB2312" w:hAnsi="楷体_GB2312" w:eastAsia="楷体_GB2312" w:cs="楷体_GB2312"/>
          <w:b/>
          <w:bCs/>
          <w:sz w:val="32"/>
          <w:szCs w:val="32"/>
          <w:lang w:eastAsia="zh-CN"/>
        </w:rPr>
        <w:t>公共安全办</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将防范学生溺水工作纳入年度平安建设（综治工作）考核和安全生产考核体系；发挥安监站的综合协调作用，指导参与学生溺水事故应急救援；指导督促工贸企业设置涉水生产区域的安全警示标志和健全防护设施，消除安全隐患；制定学生溺水事故应急预案，及时组织开展人员搜救、救治工作并妥善处理善后事宜。</w:t>
      </w:r>
    </w:p>
    <w:p>
      <w:pPr>
        <w:keepNext w:val="0"/>
        <w:keepLines w:val="0"/>
        <w:pageBreakBefore w:val="0"/>
        <w:kinsoku/>
        <w:wordWrap/>
        <w:overflowPunct/>
        <w:topLinePunct w:val="0"/>
        <w:autoSpaceDE/>
        <w:autoSpaceDN/>
        <w:bidi w:val="0"/>
        <w:adjustRightInd/>
        <w:snapToGrid/>
        <w:spacing w:line="600" w:lineRule="exact"/>
        <w:ind w:left="0" w:leftChars="0" w:firstLine="643" w:firstLineChars="200"/>
        <w:jc w:val="both"/>
        <w:textAlignment w:val="auto"/>
        <w:outlineLvl w:val="9"/>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5.</w:t>
      </w:r>
      <w:r>
        <w:rPr>
          <w:rFonts w:hint="eastAsia" w:ascii="楷体_GB2312" w:hAnsi="楷体_GB2312" w:eastAsia="楷体_GB2312" w:cs="楷体_GB2312"/>
          <w:b/>
          <w:bCs/>
          <w:sz w:val="32"/>
          <w:szCs w:val="32"/>
          <w:lang w:eastAsia="zh-CN"/>
        </w:rPr>
        <w:t>物管办</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加强所监管的建筑工地施工形成的水池、水坑管理，督促建设、施工及相关企业加强施工安全管理，及时回填危险水池、水坑，无法回填的设立安全警示标识和防护设施；在危险区域设安全隔离带、波形防护栏等设施。加强公路等交通基础设施施工过程监管，排查整治相关工程建设过程中形成的坑、洼、塘等安全隐患，要求施工单位设立安全警示牌。</w:t>
      </w:r>
    </w:p>
    <w:p>
      <w:pPr>
        <w:keepNext w:val="0"/>
        <w:keepLines w:val="0"/>
        <w:pageBreakBefore w:val="0"/>
        <w:kinsoku/>
        <w:wordWrap/>
        <w:overflowPunct/>
        <w:topLinePunct w:val="0"/>
        <w:autoSpaceDE/>
        <w:autoSpaceDN/>
        <w:bidi w:val="0"/>
        <w:adjustRightInd/>
        <w:snapToGrid/>
        <w:spacing w:line="600" w:lineRule="exact"/>
        <w:ind w:left="0" w:leftChars="0" w:firstLine="643" w:firstLineChars="200"/>
        <w:jc w:val="both"/>
        <w:textAlignment w:val="auto"/>
        <w:outlineLvl w:val="9"/>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6.派出所</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明确驻村</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社区</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辅警学生防溺水安全管理职责，结合进村入户警务活动，开展暑期防溺水宣传教育，参加重点时段巡查巡防工作；配备救生圈、救生衣、救援绳等救援设备，加强民警、辅警溺水救援教育培训，积极参与学生溺水事故救援并组织指导现场处置；会同水利、自然资源等部门严厉打击非法采砂、取土以及对塘坝任意改造等违法行为。</w:t>
      </w:r>
    </w:p>
    <w:p>
      <w:pPr>
        <w:keepNext w:val="0"/>
        <w:keepLines w:val="0"/>
        <w:pageBreakBefore w:val="0"/>
        <w:kinsoku/>
        <w:wordWrap/>
        <w:overflowPunct/>
        <w:topLinePunct w:val="0"/>
        <w:autoSpaceDE/>
        <w:autoSpaceDN/>
        <w:bidi w:val="0"/>
        <w:adjustRightInd/>
        <w:snapToGrid/>
        <w:spacing w:line="600" w:lineRule="exact"/>
        <w:ind w:left="0" w:leftChars="0" w:firstLine="643" w:firstLineChars="200"/>
        <w:jc w:val="both"/>
        <w:textAlignment w:val="auto"/>
        <w:outlineLvl w:val="9"/>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7.农业农村综合服务中心</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加强河流、湖泊、权属水库的安全监督管理，按照属地管理、分级负责原则，指导农业企业建立健全管理机制，在易发生溺水安全事故水域设置安全警示标志，配合有关部门或单位加强溺水隐患排查整治和巡查管理工作。</w:t>
      </w:r>
    </w:p>
    <w:p>
      <w:pPr>
        <w:keepNext w:val="0"/>
        <w:keepLines w:val="0"/>
        <w:pageBreakBefore w:val="0"/>
        <w:kinsoku/>
        <w:wordWrap/>
        <w:overflowPunct/>
        <w:topLinePunct w:val="0"/>
        <w:autoSpaceDE/>
        <w:autoSpaceDN/>
        <w:bidi w:val="0"/>
        <w:adjustRightInd/>
        <w:snapToGrid/>
        <w:spacing w:line="600" w:lineRule="exact"/>
        <w:ind w:left="0" w:leftChars="0" w:firstLine="643" w:firstLineChars="200"/>
        <w:jc w:val="both"/>
        <w:textAlignment w:val="auto"/>
        <w:outlineLvl w:val="9"/>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8.社区卫生服务</w:t>
      </w:r>
      <w:r>
        <w:rPr>
          <w:rFonts w:hint="eastAsia" w:ascii="楷体_GB2312" w:hAnsi="楷体_GB2312" w:eastAsia="楷体_GB2312" w:cs="楷体_GB2312"/>
          <w:b/>
          <w:bCs/>
          <w:sz w:val="32"/>
          <w:szCs w:val="32"/>
          <w:lang w:eastAsia="zh-CN"/>
        </w:rPr>
        <w:t>中心</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建立和完善公众急救技能知识普及机制，配合学区校和各中小学开展急救知识和技能培训，帮助学生掌握正确的救护常识；组织医疗卫生力量第一时间赶赴学生溺水现场进行救援，对因溺水送医的群众启动绿色通道进行紧急医学救援。</w:t>
      </w:r>
    </w:p>
    <w:p>
      <w:pPr>
        <w:keepNext w:val="0"/>
        <w:keepLines w:val="0"/>
        <w:pageBreakBefore w:val="0"/>
        <w:kinsoku/>
        <w:wordWrap/>
        <w:overflowPunct/>
        <w:topLinePunct w:val="0"/>
        <w:autoSpaceDE/>
        <w:autoSpaceDN/>
        <w:bidi w:val="0"/>
        <w:adjustRightInd/>
        <w:snapToGrid/>
        <w:spacing w:line="600" w:lineRule="exact"/>
        <w:ind w:left="0" w:leftChars="0" w:firstLine="643" w:firstLineChars="200"/>
        <w:jc w:val="both"/>
        <w:textAlignment w:val="auto"/>
        <w:outlineLvl w:val="9"/>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val="en-US" w:eastAsia="zh-CN"/>
        </w:rPr>
        <w:t>9</w:t>
      </w:r>
      <w:r>
        <w:rPr>
          <w:rFonts w:hint="eastAsia" w:ascii="楷体_GB2312" w:hAnsi="楷体_GB2312" w:eastAsia="楷体_GB2312" w:cs="楷体_GB2312"/>
          <w:b/>
          <w:bCs/>
          <w:sz w:val="32"/>
          <w:szCs w:val="32"/>
        </w:rPr>
        <w:t>.纪工委（监察室）</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建立预防学生溺水责任清单和暗访督查机制，每年开展督查不少于2次并通报情况，凡因职责落实不到位、措施不力导致学生溺水事故的，一律组织调查，从严追究责任，做到精准问责。</w:t>
      </w:r>
    </w:p>
    <w:p>
      <w:pPr>
        <w:keepNext w:val="0"/>
        <w:keepLines w:val="0"/>
        <w:pageBreakBefore w:val="0"/>
        <w:kinsoku/>
        <w:wordWrap/>
        <w:overflowPunct/>
        <w:topLinePunct w:val="0"/>
        <w:autoSpaceDE/>
        <w:autoSpaceDN/>
        <w:bidi w:val="0"/>
        <w:adjustRightInd/>
        <w:snapToGrid/>
        <w:spacing w:line="600" w:lineRule="exact"/>
        <w:ind w:left="0" w:leftChars="0" w:firstLine="643" w:firstLineChars="200"/>
        <w:jc w:val="both"/>
        <w:textAlignment w:val="auto"/>
        <w:outlineLvl w:val="9"/>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10.自然资源和生态环境办</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协助公共服务办处理疏导私自在水塘、河流等无人看管水域游泳人员，做好政策性宣传。</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rPr>
        <w:t>三、工作要求</w:t>
      </w:r>
    </w:p>
    <w:p>
      <w:pPr>
        <w:keepNext w:val="0"/>
        <w:keepLines w:val="0"/>
        <w:pageBreakBefore w:val="0"/>
        <w:kinsoku/>
        <w:wordWrap/>
        <w:overflowPunct/>
        <w:topLinePunct w:val="0"/>
        <w:autoSpaceDE/>
        <w:autoSpaceDN/>
        <w:bidi w:val="0"/>
        <w:adjustRightInd/>
        <w:snapToGrid/>
        <w:spacing w:line="600" w:lineRule="exact"/>
        <w:ind w:left="0" w:leftChars="0" w:firstLine="643" w:firstLineChars="200"/>
        <w:jc w:val="both"/>
        <w:textAlignment w:val="auto"/>
        <w:outlineLvl w:val="9"/>
        <w:rPr>
          <w:rFonts w:hint="eastAsia" w:ascii="仿宋_GB2312" w:hAnsi="仿宋_GB2312" w:eastAsia="仿宋_GB2312" w:cs="仿宋_GB2312"/>
          <w:b w:val="0"/>
          <w:bCs w:val="0"/>
          <w:sz w:val="32"/>
          <w:szCs w:val="32"/>
        </w:rPr>
      </w:pPr>
      <w:r>
        <w:rPr>
          <w:rFonts w:hint="eastAsia" w:ascii="楷体_GB2312" w:hAnsi="楷体_GB2312" w:eastAsia="楷体_GB2312" w:cs="楷体_GB2312"/>
          <w:b/>
          <w:bCs/>
          <w:sz w:val="32"/>
          <w:szCs w:val="32"/>
        </w:rPr>
        <w:t>1.联防联控，织牢安全网。</w:t>
      </w:r>
      <w:r>
        <w:rPr>
          <w:rFonts w:hint="eastAsia" w:ascii="仿宋_GB2312" w:hAnsi="仿宋_GB2312" w:eastAsia="仿宋_GB2312" w:cs="仿宋_GB2312"/>
          <w:b w:val="0"/>
          <w:bCs w:val="0"/>
          <w:sz w:val="32"/>
          <w:szCs w:val="32"/>
        </w:rPr>
        <w:t>按照“党委政府领导、部门分工协作、社会广泛参与、家校联防联控”的要求，各村</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社区</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要加强巡查、建立台账，落实学生安全网格化管理、群防群治、联防联控机制和防范学生溺水工作责任制。建立防溺水有奖举报制度，广泛发动群众群防群控。</w:t>
      </w:r>
    </w:p>
    <w:p>
      <w:pPr>
        <w:keepNext w:val="0"/>
        <w:keepLines w:val="0"/>
        <w:pageBreakBefore w:val="0"/>
        <w:kinsoku/>
        <w:wordWrap/>
        <w:overflowPunct/>
        <w:topLinePunct w:val="0"/>
        <w:autoSpaceDE/>
        <w:autoSpaceDN/>
        <w:bidi w:val="0"/>
        <w:adjustRightInd/>
        <w:snapToGrid/>
        <w:spacing w:line="600" w:lineRule="exact"/>
        <w:ind w:left="0" w:leftChars="0" w:firstLine="643" w:firstLineChars="200"/>
        <w:jc w:val="both"/>
        <w:textAlignment w:val="auto"/>
        <w:outlineLvl w:val="9"/>
        <w:rPr>
          <w:rFonts w:hint="eastAsia" w:ascii="仿宋_GB2312" w:hAnsi="仿宋_GB2312" w:eastAsia="仿宋_GB2312" w:cs="仿宋_GB2312"/>
          <w:b w:val="0"/>
          <w:bCs w:val="0"/>
          <w:sz w:val="32"/>
          <w:szCs w:val="32"/>
        </w:rPr>
      </w:pPr>
      <w:r>
        <w:rPr>
          <w:rFonts w:hint="eastAsia" w:ascii="楷体_GB2312" w:hAnsi="楷体_GB2312" w:eastAsia="楷体_GB2312" w:cs="楷体_GB2312"/>
          <w:b/>
          <w:bCs/>
          <w:sz w:val="32"/>
          <w:szCs w:val="32"/>
        </w:rPr>
        <w:t>2.强化责任，绷紧安全弦。</w:t>
      </w:r>
      <w:r>
        <w:rPr>
          <w:rFonts w:hint="eastAsia" w:ascii="仿宋_GB2312" w:hAnsi="仿宋_GB2312" w:eastAsia="仿宋_GB2312" w:cs="仿宋_GB2312"/>
          <w:b w:val="0"/>
          <w:bCs w:val="0"/>
          <w:sz w:val="32"/>
          <w:szCs w:val="32"/>
        </w:rPr>
        <w:t>各责任领导、办线、单位、村</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社区</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要严格履职，按照失职追责、尽职免责原则将预防学生溺水纳入平安建设考评、安全生产巡查与考评，坚决杜绝发生学生溺亡事故。</w:t>
      </w:r>
    </w:p>
    <w:p>
      <w:pPr>
        <w:keepNext w:val="0"/>
        <w:keepLines w:val="0"/>
        <w:pageBreakBefore w:val="0"/>
        <w:kinsoku/>
        <w:wordWrap/>
        <w:overflowPunct/>
        <w:topLinePunct w:val="0"/>
        <w:autoSpaceDE/>
        <w:autoSpaceDN/>
        <w:bidi w:val="0"/>
        <w:adjustRightInd/>
        <w:snapToGrid/>
        <w:spacing w:line="600" w:lineRule="exact"/>
        <w:ind w:left="0" w:leftChars="0" w:firstLine="643" w:firstLineChars="200"/>
        <w:jc w:val="both"/>
        <w:textAlignment w:val="auto"/>
        <w:outlineLvl w:val="9"/>
        <w:rPr>
          <w:rFonts w:hint="eastAsia" w:ascii="仿宋_GB2312" w:hAnsi="仿宋_GB2312" w:eastAsia="仿宋_GB2312" w:cs="仿宋_GB2312"/>
          <w:b w:val="0"/>
          <w:bCs w:val="0"/>
          <w:sz w:val="32"/>
          <w:szCs w:val="32"/>
        </w:rPr>
      </w:pPr>
      <w:r>
        <w:rPr>
          <w:rFonts w:hint="eastAsia" w:ascii="楷体_GB2312" w:hAnsi="楷体_GB2312" w:eastAsia="楷体_GB2312" w:cs="楷体_GB2312"/>
          <w:b/>
          <w:bCs/>
          <w:sz w:val="32"/>
          <w:szCs w:val="32"/>
        </w:rPr>
        <w:t>3.全面宣传，下好先手棋。</w:t>
      </w:r>
      <w:r>
        <w:rPr>
          <w:rFonts w:hint="eastAsia" w:ascii="仿宋_GB2312" w:hAnsi="仿宋_GB2312" w:eastAsia="仿宋_GB2312" w:cs="仿宋_GB2312"/>
          <w:b w:val="0"/>
          <w:bCs w:val="0"/>
          <w:sz w:val="32"/>
          <w:szCs w:val="32"/>
        </w:rPr>
        <w:t>全方位开展防范学生溺水宣传教育，提高人民群众和广大学生安全意识和防护能力，增强广大家长儿童的防溺水安全意识，促进形成上下联动、社会共建的积极氛围。</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9"/>
        <w:rPr>
          <w:rFonts w:ascii="仿宋_GB2312"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9"/>
        <w:rPr>
          <w:rFonts w:ascii="仿宋_GB2312" w:eastAsia="仿宋_GB2312" w:cs="Times New Roman"/>
          <w:sz w:val="32"/>
          <w:szCs w:val="32"/>
        </w:rPr>
      </w:pPr>
    </w:p>
    <w:p>
      <w:pPr>
        <w:pStyle w:val="2"/>
        <w:rPr>
          <w:rFonts w:ascii="仿宋_GB2312" w:eastAsia="仿宋_GB2312" w:cs="Times New Roman"/>
          <w:sz w:val="32"/>
          <w:szCs w:val="32"/>
        </w:rPr>
      </w:pPr>
    </w:p>
    <w:p>
      <w:pPr>
        <w:pStyle w:val="3"/>
        <w:rPr>
          <w:rFonts w:ascii="仿宋_GB2312" w:eastAsia="仿宋_GB2312" w:cs="Times New Roman"/>
          <w:sz w:val="32"/>
          <w:szCs w:val="32"/>
        </w:rPr>
      </w:pPr>
    </w:p>
    <w:p>
      <w:pPr>
        <w:pStyle w:val="3"/>
        <w:rPr>
          <w:rFonts w:ascii="仿宋_GB2312" w:eastAsia="仿宋_GB2312" w:cs="Times New Roman"/>
          <w:sz w:val="32"/>
          <w:szCs w:val="32"/>
        </w:rPr>
      </w:pPr>
    </w:p>
    <w:p>
      <w:pPr>
        <w:pStyle w:val="3"/>
        <w:rPr>
          <w:rFonts w:ascii="仿宋_GB2312" w:eastAsia="仿宋_GB2312" w:cs="Times New Roman"/>
          <w:sz w:val="32"/>
          <w:szCs w:val="32"/>
        </w:rPr>
        <w:sectPr>
          <w:footerReference r:id="rId3" w:type="default"/>
          <w:pgSz w:w="11906" w:h="16838"/>
          <w:pgMar w:top="1440" w:right="1800" w:bottom="1440" w:left="1800" w:header="851" w:footer="992" w:gutter="0"/>
          <w:pgNumType w:fmt="numberInDash"/>
          <w:docGrid w:type="lines" w:linePitch="312" w:charSpace="0"/>
        </w:sectPr>
      </w:pPr>
    </w:p>
    <w:p>
      <w:pPr>
        <w:pStyle w:val="3"/>
        <w:rPr>
          <w:rFonts w:ascii="仿宋_GB2312" w:eastAsia="仿宋_GB2312" w:cs="Times New Roman"/>
          <w:sz w:val="32"/>
          <w:szCs w:val="32"/>
        </w:rPr>
      </w:pPr>
    </w:p>
    <w:p>
      <w:pPr>
        <w:pStyle w:val="3"/>
        <w:rPr>
          <w:rFonts w:ascii="仿宋_GB2312" w:eastAsia="仿宋_GB2312" w:cs="Times New Roman"/>
          <w:sz w:val="32"/>
          <w:szCs w:val="32"/>
        </w:rPr>
      </w:pPr>
    </w:p>
    <w:p>
      <w:pPr>
        <w:pStyle w:val="3"/>
        <w:rPr>
          <w:rFonts w:ascii="仿宋_GB2312" w:eastAsia="仿宋_GB2312" w:cs="Times New Roman"/>
          <w:sz w:val="32"/>
          <w:szCs w:val="32"/>
        </w:rPr>
      </w:pPr>
    </w:p>
    <w:p>
      <w:pPr>
        <w:pStyle w:val="3"/>
        <w:rPr>
          <w:rFonts w:ascii="仿宋_GB2312" w:eastAsia="仿宋_GB2312" w:cs="Times New Roman"/>
          <w:sz w:val="32"/>
          <w:szCs w:val="32"/>
        </w:rPr>
      </w:pPr>
    </w:p>
    <w:p>
      <w:pPr>
        <w:pStyle w:val="3"/>
        <w:rPr>
          <w:rFonts w:ascii="仿宋_GB2312" w:eastAsia="仿宋_GB2312" w:cs="Times New Roman"/>
          <w:sz w:val="32"/>
          <w:szCs w:val="32"/>
        </w:rPr>
      </w:pPr>
    </w:p>
    <w:p>
      <w:pPr>
        <w:pStyle w:val="3"/>
        <w:rPr>
          <w:rFonts w:ascii="仿宋_GB2312" w:eastAsia="仿宋_GB2312" w:cs="Times New Roman"/>
          <w:sz w:val="32"/>
          <w:szCs w:val="32"/>
        </w:rPr>
      </w:pPr>
    </w:p>
    <w:p>
      <w:pPr>
        <w:pStyle w:val="3"/>
        <w:rPr>
          <w:rFonts w:ascii="仿宋_GB2312" w:eastAsia="仿宋_GB2312" w:cs="Times New Roman"/>
          <w:sz w:val="32"/>
          <w:szCs w:val="32"/>
        </w:rPr>
      </w:pPr>
    </w:p>
    <w:p>
      <w:pPr>
        <w:pStyle w:val="3"/>
        <w:rPr>
          <w:rFonts w:ascii="仿宋_GB2312" w:eastAsia="仿宋_GB2312" w:cs="Times New Roman"/>
          <w:sz w:val="32"/>
          <w:szCs w:val="32"/>
        </w:rPr>
      </w:pPr>
    </w:p>
    <w:p>
      <w:pPr>
        <w:pStyle w:val="3"/>
        <w:rPr>
          <w:rFonts w:ascii="仿宋_GB2312" w:eastAsia="仿宋_GB2312" w:cs="Times New Roman"/>
          <w:sz w:val="32"/>
          <w:szCs w:val="32"/>
        </w:rPr>
      </w:pPr>
    </w:p>
    <w:p>
      <w:pPr>
        <w:pStyle w:val="3"/>
        <w:rPr>
          <w:rFonts w:ascii="仿宋_GB2312" w:eastAsia="仿宋_GB2312" w:cs="Times New Roman"/>
          <w:sz w:val="32"/>
          <w:szCs w:val="32"/>
        </w:rPr>
      </w:pPr>
    </w:p>
    <w:p>
      <w:pPr>
        <w:pStyle w:val="3"/>
        <w:rPr>
          <w:rFonts w:ascii="仿宋_GB2312" w:eastAsia="仿宋_GB2312" w:cs="Times New Roman"/>
          <w:sz w:val="32"/>
          <w:szCs w:val="32"/>
        </w:rPr>
      </w:pPr>
    </w:p>
    <w:p>
      <w:pPr>
        <w:pStyle w:val="3"/>
        <w:rPr>
          <w:rFonts w:ascii="仿宋_GB2312" w:eastAsia="仿宋_GB2312" w:cs="Times New Roman"/>
          <w:sz w:val="32"/>
          <w:szCs w:val="32"/>
        </w:rPr>
      </w:pPr>
    </w:p>
    <w:p>
      <w:pPr>
        <w:pStyle w:val="3"/>
        <w:rPr>
          <w:rFonts w:ascii="仿宋_GB2312" w:eastAsia="仿宋_GB2312" w:cs="Times New Roman"/>
          <w:sz w:val="32"/>
          <w:szCs w:val="32"/>
        </w:rPr>
      </w:pPr>
    </w:p>
    <w:p>
      <w:pPr>
        <w:pStyle w:val="3"/>
        <w:rPr>
          <w:rFonts w:ascii="仿宋_GB2312" w:eastAsia="仿宋_GB2312" w:cs="Times New Roman"/>
          <w:sz w:val="32"/>
          <w:szCs w:val="32"/>
        </w:rPr>
      </w:pPr>
    </w:p>
    <w:p>
      <w:pPr>
        <w:pStyle w:val="3"/>
        <w:rPr>
          <w:rFonts w:ascii="仿宋_GB2312" w:eastAsia="仿宋_GB2312" w:cs="Times New Roman"/>
          <w:sz w:val="32"/>
          <w:szCs w:val="32"/>
        </w:rPr>
      </w:pPr>
    </w:p>
    <w:p>
      <w:pPr>
        <w:pStyle w:val="3"/>
        <w:rPr>
          <w:rFonts w:ascii="仿宋_GB2312" w:eastAsia="仿宋_GB2312" w:cs="Times New Roman"/>
          <w:sz w:val="32"/>
          <w:szCs w:val="32"/>
        </w:rPr>
      </w:pPr>
    </w:p>
    <w:p>
      <w:pPr>
        <w:pStyle w:val="3"/>
        <w:keepNext w:val="0"/>
        <w:keepLines w:val="0"/>
        <w:pageBreakBefore w:val="0"/>
        <w:widowControl w:val="0"/>
        <w:kinsoku/>
        <w:wordWrap/>
        <w:overflowPunct/>
        <w:topLinePunct w:val="0"/>
        <w:autoSpaceDE/>
        <w:autoSpaceDN/>
        <w:bidi w:val="0"/>
        <w:adjustRightInd/>
        <w:snapToGrid/>
        <w:spacing w:after="0" w:line="1400" w:lineRule="exact"/>
        <w:textAlignment w:val="auto"/>
        <w:outlineLvl w:val="9"/>
        <w:rPr>
          <w:rFonts w:ascii="仿宋_GB2312" w:eastAsia="仿宋_GB2312" w:cs="Times New Roman"/>
          <w:sz w:val="32"/>
          <w:szCs w:val="32"/>
        </w:rPr>
      </w:pP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Borders>
              <w:left w:val="nil"/>
              <w:right w:val="nil"/>
            </w:tcBorders>
            <w:vAlign w:val="top"/>
          </w:tcPr>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ascii="仿宋_GB2312" w:hAnsi="仿宋_GB2312" w:eastAsia="仿宋_GB2312" w:cs="仿宋_GB2312"/>
                <w:color w:val="000000"/>
              </w:rPr>
            </w:pPr>
            <w:r>
              <w:rPr>
                <w:rFonts w:hint="eastAsia" w:ascii="仿宋_GB2312" w:hAnsi="仿宋_GB2312" w:eastAsia="仿宋_GB2312" w:cs="仿宋_GB2312"/>
                <w:color w:val="000000"/>
                <w:spacing w:val="-10"/>
                <w:sz w:val="28"/>
                <w:szCs w:val="28"/>
                <w:lang w:val="en-US" w:eastAsia="zh-CN"/>
              </w:rPr>
              <w:t xml:space="preserve"> </w:t>
            </w:r>
            <w:r>
              <w:rPr>
                <w:rFonts w:hint="eastAsia" w:ascii="仿宋_GB2312" w:hAnsi="仿宋_GB2312" w:eastAsia="仿宋_GB2312" w:cs="仿宋_GB2312"/>
                <w:color w:val="000000"/>
                <w:spacing w:val="-10"/>
                <w:sz w:val="28"/>
                <w:szCs w:val="28"/>
              </w:rPr>
              <w:t>高塘岭街道党政综合办</w:t>
            </w:r>
            <w:r>
              <w:rPr>
                <w:rFonts w:hint="eastAsia" w:ascii="仿宋_GB2312" w:eastAsia="仿宋_GB2312" w:cs="仿宋_GB2312"/>
                <w:sz w:val="28"/>
                <w:szCs w:val="28"/>
              </w:rPr>
              <w:t>公</w:t>
            </w:r>
            <w:r>
              <w:rPr>
                <w:rFonts w:hint="eastAsia" w:ascii="仿宋_GB2312" w:eastAsia="仿宋_GB2312" w:cs="仿宋_GB2312"/>
                <w:sz w:val="28"/>
                <w:szCs w:val="28"/>
                <w:lang w:val="en-US" w:eastAsia="zh-CN"/>
              </w:rPr>
              <w:t>室</w:t>
            </w:r>
            <w:r>
              <w:rPr>
                <w:rFonts w:hint="eastAsia" w:ascii="仿宋_GB2312" w:hAnsi="仿宋_GB2312" w:eastAsia="仿宋_GB2312" w:cs="仿宋_GB2312"/>
                <w:color w:val="000000"/>
                <w:spacing w:val="-10"/>
                <w:sz w:val="28"/>
                <w:szCs w:val="28"/>
              </w:rPr>
              <w:t xml:space="preserve">                   </w:t>
            </w:r>
            <w:r>
              <w:rPr>
                <w:rFonts w:hint="eastAsia" w:ascii="仿宋_GB2312" w:hAnsi="仿宋_GB2312" w:eastAsia="仿宋_GB2312" w:cs="仿宋_GB2312"/>
                <w:color w:val="000000"/>
                <w:spacing w:val="-10"/>
                <w:sz w:val="28"/>
                <w:szCs w:val="28"/>
                <w:lang w:val="en-US" w:eastAsia="zh-CN"/>
              </w:rPr>
              <w:t xml:space="preserve">  </w:t>
            </w:r>
            <w:r>
              <w:rPr>
                <w:rFonts w:hint="eastAsia" w:ascii="仿宋_GB2312" w:hAnsi="仿宋_GB2312" w:eastAsia="仿宋_GB2312" w:cs="仿宋_GB2312"/>
                <w:color w:val="000000"/>
                <w:spacing w:val="-10"/>
                <w:sz w:val="28"/>
                <w:szCs w:val="28"/>
              </w:rPr>
              <w:t>202</w:t>
            </w:r>
            <w:r>
              <w:rPr>
                <w:rFonts w:hint="eastAsia" w:ascii="仿宋_GB2312" w:hAnsi="仿宋_GB2312" w:eastAsia="仿宋_GB2312" w:cs="仿宋_GB2312"/>
                <w:color w:val="000000"/>
                <w:spacing w:val="-10"/>
                <w:sz w:val="28"/>
                <w:szCs w:val="28"/>
                <w:lang w:val="en-US" w:eastAsia="zh-CN"/>
              </w:rPr>
              <w:t>3</w:t>
            </w:r>
            <w:r>
              <w:rPr>
                <w:rFonts w:hint="eastAsia" w:ascii="仿宋_GB2312" w:hAnsi="仿宋_GB2312" w:eastAsia="仿宋_GB2312" w:cs="仿宋_GB2312"/>
                <w:color w:val="000000"/>
                <w:spacing w:val="-10"/>
                <w:sz w:val="28"/>
                <w:szCs w:val="28"/>
              </w:rPr>
              <w:t>年</w:t>
            </w:r>
            <w:r>
              <w:rPr>
                <w:rFonts w:hint="eastAsia" w:ascii="仿宋_GB2312" w:hAnsi="仿宋_GB2312" w:cs="仿宋_GB2312"/>
                <w:color w:val="000000"/>
                <w:spacing w:val="-10"/>
                <w:sz w:val="28"/>
                <w:szCs w:val="28"/>
                <w:lang w:val="en-US" w:eastAsia="zh-CN"/>
              </w:rPr>
              <w:t>5</w:t>
            </w:r>
            <w:r>
              <w:rPr>
                <w:rFonts w:hint="eastAsia" w:ascii="仿宋_GB2312" w:hAnsi="仿宋_GB2312" w:eastAsia="仿宋_GB2312" w:cs="仿宋_GB2312"/>
                <w:color w:val="000000"/>
                <w:spacing w:val="-10"/>
                <w:sz w:val="28"/>
                <w:szCs w:val="28"/>
              </w:rPr>
              <w:t>月</w:t>
            </w:r>
            <w:r>
              <w:rPr>
                <w:rFonts w:hint="eastAsia" w:ascii="仿宋_GB2312" w:hAnsi="仿宋_GB2312" w:cs="仿宋_GB2312"/>
                <w:color w:val="000000"/>
                <w:spacing w:val="-10"/>
                <w:sz w:val="28"/>
                <w:szCs w:val="28"/>
                <w:lang w:val="en-US" w:eastAsia="zh-CN"/>
              </w:rPr>
              <w:t>25</w:t>
            </w:r>
            <w:r>
              <w:rPr>
                <w:rFonts w:hint="eastAsia" w:ascii="仿宋_GB2312" w:hAnsi="仿宋_GB2312" w:eastAsia="仿宋_GB2312" w:cs="仿宋_GB2312"/>
                <w:color w:val="000000"/>
                <w:spacing w:val="-10"/>
                <w:sz w:val="28"/>
                <w:szCs w:val="28"/>
              </w:rPr>
              <w:t>日印发</w:t>
            </w:r>
          </w:p>
        </w:tc>
      </w:tr>
    </w:tbl>
    <w:p>
      <w:pPr>
        <w:keepNext w:val="0"/>
        <w:keepLines w:val="0"/>
        <w:pageBreakBefore w:val="0"/>
        <w:widowControl w:val="0"/>
        <w:kinsoku/>
        <w:wordWrap/>
        <w:overflowPunct/>
        <w:topLinePunct w:val="0"/>
        <w:autoSpaceDE/>
        <w:autoSpaceDN/>
        <w:bidi w:val="0"/>
        <w:adjustRightInd/>
        <w:snapToGrid/>
        <w:spacing w:line="20" w:lineRule="exact"/>
        <w:textAlignment w:val="auto"/>
        <w:outlineLvl w:val="9"/>
        <w:rPr>
          <w:rFonts w:ascii="仿宋_GB2312" w:eastAsia="仿宋_GB2312" w:cs="Times New Roman"/>
          <w:sz w:val="32"/>
          <w:szCs w:val="32"/>
        </w:rPr>
      </w:pPr>
    </w:p>
    <w:sectPr>
      <w:footerReference r:id="rId4" w:type="default"/>
      <w:pgSz w:w="11906" w:h="16838"/>
      <w:pgMar w:top="1440" w:right="1800" w:bottom="1440" w:left="1800" w:header="851" w:footer="992" w:gutter="0"/>
      <w:pgNumType w:fmt="numberInDash"/>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360"/>
      <w:rPr>
        <w:rFonts w:cs="Times New Roman"/>
      </w:rPr>
    </w:pPr>
    <w:r>
      <w:rPr>
        <w:sz w:val="18"/>
      </w:rPr>
      <w:pict>
        <v:shape id="_x0000_s4097" o:spid="_x0000_s4097"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8"/>
                  <w:rPr>
                    <w:rStyle w:val="11"/>
                    <w:rFonts w:cs="Times New Roman"/>
                  </w:rPr>
                </w:pPr>
                <w:r>
                  <w:rPr>
                    <w:rStyle w:val="11"/>
                    <w:rFonts w:hint="eastAsia" w:asciiTheme="minorEastAsia" w:hAnsiTheme="minorEastAsia" w:eastAsiaTheme="minorEastAsia" w:cstheme="minorEastAsia"/>
                    <w:sz w:val="28"/>
                    <w:szCs w:val="28"/>
                  </w:rPr>
                  <w:fldChar w:fldCharType="begin"/>
                </w:r>
                <w:r>
                  <w:rPr>
                    <w:rStyle w:val="11"/>
                    <w:rFonts w:hint="eastAsia" w:asciiTheme="minorEastAsia" w:hAnsiTheme="minorEastAsia" w:eastAsiaTheme="minorEastAsia" w:cstheme="minorEastAsia"/>
                    <w:sz w:val="28"/>
                    <w:szCs w:val="28"/>
                  </w:rPr>
                  <w:instrText xml:space="preserve">PAGE  </w:instrText>
                </w:r>
                <w:r>
                  <w:rPr>
                    <w:rStyle w:val="11"/>
                    <w:rFonts w:hint="eastAsia" w:asciiTheme="minorEastAsia" w:hAnsiTheme="minorEastAsia" w:eastAsiaTheme="minorEastAsia" w:cstheme="minorEastAsia"/>
                    <w:sz w:val="28"/>
                    <w:szCs w:val="28"/>
                  </w:rPr>
                  <w:fldChar w:fldCharType="separate"/>
                </w:r>
                <w:r>
                  <w:rPr>
                    <w:rStyle w:val="11"/>
                    <w:rFonts w:hint="eastAsia" w:asciiTheme="minorEastAsia" w:hAnsiTheme="minorEastAsia" w:eastAsiaTheme="minorEastAsia" w:cstheme="minorEastAsia"/>
                    <w:sz w:val="28"/>
                    <w:szCs w:val="28"/>
                  </w:rPr>
                  <w:t>7</w:t>
                </w:r>
                <w:r>
                  <w:rPr>
                    <w:rStyle w:val="11"/>
                    <w:rFonts w:hint="eastAsia" w:asciiTheme="minorEastAsia" w:hAnsiTheme="minorEastAsia" w:eastAsiaTheme="minorEastAsia" w:cstheme="minorEastAsia"/>
                    <w:sz w:val="28"/>
                    <w:szCs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360"/>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ulTrailSpace/>
    <w:doNotExpandShiftReturn/>
    <w:adjustLineHeightInTable/>
    <w:useFELayout/>
    <w:doNotUseIndentAsNumberingTabStop/>
    <w:useAltKinsokuLineBreakRules/>
    <w:splitPgBreakAndParaMark/>
    <w:compatSetting w:name="compatibilityMode" w:uri="http://schemas.microsoft.com/office/word" w:val="11"/>
  </w:compat>
  <w:rsids>
    <w:rsidRoot w:val="00000000"/>
    <w:rsid w:val="08D93574"/>
    <w:rsid w:val="0BB3067D"/>
    <w:rsid w:val="0F991A3E"/>
    <w:rsid w:val="13A67E5C"/>
    <w:rsid w:val="1C76093F"/>
    <w:rsid w:val="30220A5F"/>
    <w:rsid w:val="382C57EE"/>
    <w:rsid w:val="3D833CE9"/>
    <w:rsid w:val="42FF59FB"/>
    <w:rsid w:val="43DD0296"/>
    <w:rsid w:val="49754DDF"/>
    <w:rsid w:val="4EE27956"/>
    <w:rsid w:val="4F4357D1"/>
    <w:rsid w:val="56205CA1"/>
    <w:rsid w:val="56F80E3A"/>
    <w:rsid w:val="58AB06F0"/>
    <w:rsid w:val="59D12BA1"/>
    <w:rsid w:val="5A300F30"/>
    <w:rsid w:val="5C64162E"/>
    <w:rsid w:val="6BE2180D"/>
    <w:rsid w:val="71050083"/>
    <w:rsid w:val="73905329"/>
    <w:rsid w:val="788A6A61"/>
    <w:rsid w:val="7EFA4B2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宋体" w:cs="Calibri"/>
      <w:kern w:val="2"/>
      <w:sz w:val="21"/>
      <w:szCs w:val="21"/>
      <w:lang w:val="en-US" w:eastAsia="zh-CN" w:bidi="ar-SA"/>
    </w:rPr>
  </w:style>
  <w:style w:type="paragraph" w:styleId="4">
    <w:name w:val="heading 1"/>
    <w:basedOn w:val="1"/>
    <w:next w:val="1"/>
    <w:uiPriority w:val="0"/>
    <w:pPr>
      <w:keepNext/>
      <w:keepLines/>
      <w:widowControl w:val="0"/>
      <w:spacing w:before="340" w:after="330" w:line="578" w:lineRule="auto"/>
      <w:outlineLvl w:val="0"/>
    </w:pPr>
    <w:rPr>
      <w:b/>
      <w:bCs/>
      <w:kern w:val="44"/>
      <w:sz w:val="44"/>
      <w:szCs w:val="44"/>
    </w:rPr>
  </w:style>
  <w:style w:type="paragraph" w:styleId="5">
    <w:name w:val="heading 2"/>
    <w:basedOn w:val="1"/>
    <w:next w:val="1"/>
    <w:uiPriority w:val="0"/>
    <w:pPr>
      <w:keepNext/>
      <w:keepLines/>
      <w:widowControl w:val="0"/>
      <w:spacing w:before="260" w:after="260" w:line="415" w:lineRule="auto"/>
      <w:outlineLvl w:val="1"/>
    </w:pPr>
    <w:rPr>
      <w:rFonts w:ascii="Times New Roman" w:hAnsi="Times New Roman" w:eastAsia="黑体"/>
      <w:b/>
      <w:bCs/>
      <w:sz w:val="32"/>
      <w:szCs w:val="32"/>
    </w:rPr>
  </w:style>
  <w:style w:type="paragraph" w:styleId="6">
    <w:name w:val="heading 3"/>
    <w:basedOn w:val="1"/>
    <w:next w:val="1"/>
    <w:uiPriority w:val="0"/>
    <w:pPr>
      <w:keepNext/>
      <w:keepLines/>
      <w:widowControl w:val="0"/>
      <w:spacing w:before="260" w:after="260" w:line="415" w:lineRule="auto"/>
      <w:outlineLvl w:val="2"/>
    </w:pPr>
    <w:rPr>
      <w:b/>
      <w:bCs/>
      <w:sz w:val="32"/>
      <w:szCs w:val="32"/>
    </w:rPr>
  </w:style>
  <w:style w:type="character" w:default="1" w:styleId="10">
    <w:name w:val="Default Paragraph Font"/>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Body Text 2"/>
    <w:basedOn w:val="1"/>
    <w:qFormat/>
    <w:uiPriority w:val="99"/>
    <w:pPr>
      <w:spacing w:after="120" w:line="480" w:lineRule="auto"/>
    </w:pPr>
  </w:style>
  <w:style w:type="paragraph" w:styleId="7">
    <w:name w:val="Block Text"/>
    <w:basedOn w:val="1"/>
    <w:qFormat/>
    <w:uiPriority w:val="0"/>
    <w:pPr>
      <w:adjustRightInd w:val="0"/>
      <w:snapToGrid w:val="0"/>
    </w:p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0"/>
        <w:left w:val="none" w:color="auto" w:sz="0" w:space="0"/>
        <w:bottom w:val="none" w:color="auto" w:sz="0" w:space="0"/>
        <w:right w:val="none" w:color="auto" w:sz="0" w:space="0"/>
      </w:pBdr>
      <w:tabs>
        <w:tab w:val="center" w:pos="4153"/>
        <w:tab w:val="right" w:pos="8306"/>
      </w:tabs>
      <w:snapToGrid w:val="0"/>
    </w:pPr>
    <w:rPr>
      <w:sz w:val="18"/>
      <w:szCs w:val="18"/>
    </w:rPr>
  </w:style>
  <w:style w:type="character" w:styleId="11">
    <w:name w:val="page number"/>
    <w:basedOn w:val="10"/>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Exts>
</s:customData>
</file>

<file path=customXml/item2.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5D36C5-80F7-4FB2-A4BC-3573F42B9310}">
  <ds:schemaRefs/>
</ds:datastoreItem>
</file>

<file path=docProps/app.xml><?xml version="1.0" encoding="utf-8"?>
<Properties xmlns="http://schemas.openxmlformats.org/officeDocument/2006/extended-properties" xmlns:vt="http://schemas.openxmlformats.org/officeDocument/2006/docPropsVTypes">
  <Template>Normal.eit</Template>
  <Company>Microsoft</Company>
  <Pages>7</Pages>
  <Words>2688</Words>
  <Characters>2732</Characters>
  <Lines>136</Lines>
  <Paragraphs>46</Paragraphs>
  <TotalTime>22</TotalTime>
  <ScaleCrop>false</ScaleCrop>
  <LinksUpToDate>false</LinksUpToDate>
  <CharactersWithSpaces>2797</CharactersWithSpaces>
  <Application>WPS Office_10.8.2.6837_F1E327BC-269C-435d-A152-05C5408002CA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2021-07-12T06:43:00Z</dcterms:created>
  <dc:creator>user</dc:creator>
  <cp:lastModifiedBy>Administrator</cp:lastModifiedBy>
  <cp:lastPrinted>2023-05-12T01:05:00Z</cp:lastPrinted>
  <dcterms:modified xsi:type="dcterms:W3CDTF">2023-06-09T00:36:43Z</dcterms:modified>
  <cp:revision>108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4C0EA3A8915A496597F143AD9763BF8D</vt:lpwstr>
  </property>
</Properties>
</file>