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jc w:val="center"/>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1"/>
        <w:jc w:val="center"/>
        <w:textAlignment w:val="auto"/>
        <w:rPr>
          <w:rFonts w:hint="eastAsia" w:ascii="仿宋_GB2312" w:eastAsia="仿宋_GB2312"/>
          <w:color w:val="auto"/>
          <w:sz w:val="32"/>
          <w:szCs w:val="32"/>
        </w:rPr>
      </w:pPr>
    </w:p>
    <w:p>
      <w:pPr>
        <w:keepNext w:val="0"/>
        <w:keepLines w:val="0"/>
        <w:pageBreakBefore w:val="0"/>
        <w:widowControl w:val="0"/>
        <w:tabs>
          <w:tab w:val="left" w:pos="2520"/>
        </w:tabs>
        <w:kinsoku/>
        <w:wordWrap/>
        <w:overflowPunct/>
        <w:topLinePunct w:val="0"/>
        <w:autoSpaceDE/>
        <w:autoSpaceDN/>
        <w:bidi w:val="0"/>
        <w:adjustRightInd/>
        <w:snapToGrid/>
        <w:spacing w:line="58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高工发〔2023〕</w:t>
      </w:r>
      <w:r>
        <w:rPr>
          <w:rFonts w:hint="eastAsia" w:ascii="仿宋_GB2312"/>
          <w:color w:val="auto"/>
          <w:sz w:val="32"/>
          <w:szCs w:val="32"/>
          <w:lang w:val="en-US" w:eastAsia="zh-CN"/>
        </w:rPr>
        <w:t>24</w:t>
      </w:r>
      <w:r>
        <w:rPr>
          <w:rFonts w:hint="eastAsia" w:ascii="仿宋_GB2312" w:eastAsia="仿宋_GB2312"/>
          <w:color w:val="auto"/>
          <w:sz w:val="32"/>
          <w:szCs w:val="32"/>
        </w:rPr>
        <w:t>号</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eastAsia="仿宋_GB2312"/>
          <w:b/>
          <w:color w:val="auto"/>
          <w:sz w:val="32"/>
          <w:szCs w:val="32"/>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_GB2312" w:eastAsia="仿宋_GB2312"/>
          <w:b/>
          <w:color w:val="auto"/>
          <w:sz w:val="32"/>
          <w:szCs w:val="32"/>
        </w:rPr>
      </w:pPr>
    </w:p>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pacing w:val="0"/>
          <w:sz w:val="44"/>
          <w:szCs w:val="44"/>
        </w:rPr>
      </w:pPr>
      <w:r>
        <w:rPr>
          <w:rFonts w:hint="eastAsia" w:ascii="方正小标宋简体" w:hAnsi="方正小标宋简体" w:eastAsia="方正小标宋简体" w:cs="方正小标宋简体"/>
          <w:color w:val="auto"/>
          <w:spacing w:val="0"/>
          <w:sz w:val="44"/>
          <w:szCs w:val="44"/>
        </w:rPr>
        <w:t>中共长沙市望城</w:t>
      </w:r>
      <w:r>
        <w:rPr>
          <w:rFonts w:hint="eastAsia" w:ascii="方正小标宋简体" w:hAnsi="方正小标宋简体" w:eastAsia="方正小标宋简体" w:cs="方正小标宋简体"/>
          <w:color w:val="auto"/>
          <w:spacing w:val="0"/>
          <w:sz w:val="44"/>
          <w:szCs w:val="44"/>
          <w:lang w:bidi="ar-SA"/>
        </w:rPr>
        <w:t>区</w:t>
      </w:r>
      <w:r>
        <w:rPr>
          <w:rFonts w:hint="eastAsia" w:ascii="方正小标宋简体" w:hAnsi="方正小标宋简体" w:eastAsia="方正小标宋简体" w:cs="方正小标宋简体"/>
          <w:color w:val="auto"/>
          <w:spacing w:val="0"/>
          <w:sz w:val="44"/>
          <w:szCs w:val="44"/>
        </w:rPr>
        <w:t>高塘岭街道工作委员会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方正小标宋简体" w:hAnsi="方正小标宋简体" w:eastAsia="方正小标宋简体" w:cs="方正小标宋简体"/>
          <w:b w:val="0"/>
          <w:bCs w:val="0"/>
          <w:color w:val="auto"/>
          <w:spacing w:val="68"/>
          <w:sz w:val="44"/>
          <w:szCs w:val="44"/>
          <w:lang w:bidi="ar-SA"/>
        </w:rPr>
      </w:pPr>
      <w:r>
        <w:rPr>
          <w:rFonts w:hint="eastAsia" w:ascii="方正小标宋简体" w:hAnsi="方正小标宋简体" w:eastAsia="方正小标宋简体" w:cs="方正小标宋简体"/>
          <w:b w:val="0"/>
          <w:bCs w:val="0"/>
          <w:color w:val="auto"/>
          <w:spacing w:val="68"/>
          <w:sz w:val="44"/>
          <w:szCs w:val="44"/>
        </w:rPr>
        <w:t>长沙市望城</w:t>
      </w:r>
      <w:r>
        <w:rPr>
          <w:rFonts w:hint="eastAsia" w:ascii="方正小标宋简体" w:hAnsi="方正小标宋简体" w:eastAsia="方正小标宋简体" w:cs="方正小标宋简体"/>
          <w:b w:val="0"/>
          <w:bCs w:val="0"/>
          <w:color w:val="auto"/>
          <w:spacing w:val="68"/>
          <w:sz w:val="44"/>
          <w:szCs w:val="44"/>
          <w:lang w:bidi="ar-SA"/>
        </w:rPr>
        <w:t>区</w:t>
      </w:r>
      <w:r>
        <w:rPr>
          <w:rFonts w:hint="eastAsia" w:ascii="方正小标宋简体" w:hAnsi="方正小标宋简体" w:eastAsia="方正小标宋简体" w:cs="方正小标宋简体"/>
          <w:b w:val="0"/>
          <w:bCs w:val="0"/>
          <w:color w:val="auto"/>
          <w:spacing w:val="68"/>
          <w:sz w:val="44"/>
          <w:szCs w:val="44"/>
        </w:rPr>
        <w:t>高塘岭街道</w:t>
      </w:r>
      <w:r>
        <w:rPr>
          <w:rFonts w:hint="eastAsia" w:ascii="方正小标宋简体" w:hAnsi="方正小标宋简体" w:eastAsia="方正小标宋简体" w:cs="方正小标宋简体"/>
          <w:b w:val="0"/>
          <w:bCs w:val="0"/>
          <w:color w:val="auto"/>
          <w:spacing w:val="68"/>
          <w:sz w:val="44"/>
          <w:szCs w:val="44"/>
          <w:lang w:bidi="ar-SA"/>
        </w:rPr>
        <w:t>办事处</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highlight w:val="none"/>
          <w:shd w:val="clear" w:color="auto" w:fill="auto"/>
        </w:rPr>
      </w:pPr>
      <w:r>
        <w:rPr>
          <w:rFonts w:hint="eastAsia" w:ascii="方正小标宋简体" w:hAnsi="方正小标宋简体" w:eastAsia="方正小标宋简体" w:cs="方正小标宋简体"/>
          <w:color w:val="auto"/>
          <w:sz w:val="44"/>
          <w:szCs w:val="44"/>
          <w:highlight w:val="none"/>
          <w:shd w:val="clear" w:color="auto" w:fill="auto"/>
        </w:rPr>
        <w:t>关于印发《长沙市望城区高塘岭街道生态</w:t>
      </w:r>
    </w:p>
    <w:p>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highlight w:val="none"/>
          <w:shd w:val="clear" w:color="auto" w:fill="auto"/>
        </w:rPr>
      </w:pPr>
      <w:r>
        <w:rPr>
          <w:rFonts w:hint="eastAsia" w:ascii="方正小标宋简体" w:hAnsi="方正小标宋简体" w:eastAsia="方正小标宋简体" w:cs="方正小标宋简体"/>
          <w:color w:val="auto"/>
          <w:sz w:val="44"/>
          <w:szCs w:val="44"/>
          <w:highlight w:val="none"/>
          <w:shd w:val="clear" w:color="auto" w:fill="auto"/>
        </w:rPr>
        <w:t>文明建设示范街道实施方案》的通知</w:t>
      </w:r>
    </w:p>
    <w:p>
      <w:pPr>
        <w:keepNext w:val="0"/>
        <w:keepLines w:val="0"/>
        <w:pageBreakBefore w:val="0"/>
        <w:widowControl w:val="0"/>
        <w:shd w:val="clear"/>
        <w:kinsoku/>
        <w:wordWrap/>
        <w:overflowPunct/>
        <w:topLinePunct w:val="0"/>
        <w:autoSpaceDE/>
        <w:autoSpaceDN/>
        <w:bidi w:val="0"/>
        <w:adjustRightInd/>
        <w:snapToGrid/>
        <w:spacing w:line="480" w:lineRule="exact"/>
        <w:jc w:val="left"/>
        <w:textAlignment w:val="auto"/>
        <w:outlineLvl w:val="9"/>
        <w:rPr>
          <w:rFonts w:hint="eastAsia" w:ascii="仿宋_GB2312" w:hAnsi="仿宋_GB2312" w:eastAsia="仿宋_GB2312" w:cs="仿宋_GB2312"/>
          <w:color w:val="auto"/>
          <w:sz w:val="32"/>
          <w:szCs w:val="32"/>
          <w:highlight w:val="none"/>
          <w:shd w:val="clear" w:color="auto" w:fill="auto"/>
        </w:rPr>
      </w:pPr>
    </w:p>
    <w:p>
      <w:pPr>
        <w:keepNext w:val="0"/>
        <w:keepLines w:val="0"/>
        <w:pageBreakBefore w:val="0"/>
        <w:widowControl w:val="0"/>
        <w:shd w:val="clear"/>
        <w:kinsoku/>
        <w:overflowPunct/>
        <w:topLinePunct w:val="0"/>
        <w:autoSpaceDE/>
        <w:autoSpaceDN/>
        <w:bidi w:val="0"/>
        <w:adjustRightInd/>
        <w:snapToGrid/>
        <w:spacing w:line="560" w:lineRule="exact"/>
        <w:ind w:left="0" w:leftChars="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各村（社区）：</w:t>
      </w:r>
    </w:p>
    <w:p>
      <w:pPr>
        <w:keepNext w:val="0"/>
        <w:keepLines w:val="0"/>
        <w:pageBreakBefore w:val="0"/>
        <w:widowControl w:val="0"/>
        <w:shd w:val="clea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根据省、市、区生态环境保护委员会指示要求，为切实改善生态环境质量，提升群众环境幸福感、获得感，经街道党工委、办事处研究，制定了《长沙市望城区高塘岭街道生态文明建设示范街道实施方案》，现印发给你们，请结合实际情况，认真组织实施，抓好贯彻落实。</w:t>
      </w:r>
    </w:p>
    <w:p>
      <w:pPr>
        <w:keepNext w:val="0"/>
        <w:keepLines w:val="0"/>
        <w:pageBreakBefore w:val="0"/>
        <w:widowControl w:val="0"/>
        <w:shd w:val="clea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shd w:val="clear" w:color="auto" w:fill="auto"/>
          <w:lang w:val="en-US" w:eastAsia="zh-CN"/>
        </w:rPr>
      </w:pPr>
    </w:p>
    <w:p>
      <w:pPr>
        <w:keepNext w:val="0"/>
        <w:keepLines w:val="0"/>
        <w:pageBreakBefore w:val="0"/>
        <w:widowControl w:val="0"/>
        <w:shd w:val="clear"/>
        <w:kinsoku/>
        <w:wordWrap/>
        <w:overflowPunct/>
        <w:topLinePunct w:val="0"/>
        <w:autoSpaceDE/>
        <w:autoSpaceDN/>
        <w:bidi w:val="0"/>
        <w:adjustRightInd/>
        <w:snapToGrid/>
        <w:spacing w:line="600" w:lineRule="exact"/>
        <w:ind w:left="0" w:leftChars="0"/>
        <w:jc w:val="left"/>
        <w:textAlignment w:val="auto"/>
        <w:outlineLvl w:val="9"/>
        <w:rPr>
          <w:rFonts w:hint="eastAsia" w:ascii="仿宋_GB2312" w:hAnsi="仿宋_GB2312" w:eastAsia="仿宋_GB2312" w:cs="仿宋_GB2312"/>
          <w:color w:val="auto"/>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540" w:lineRule="exact"/>
        <w:ind w:right="0"/>
        <w:jc w:val="right"/>
        <w:textAlignment w:val="auto"/>
        <w:outlineLvl w:val="9"/>
        <w:rPr>
          <w:rFonts w:hint="eastAsia" w:ascii="仿宋_GB2312" w:eastAsia="仿宋_GB2312"/>
          <w:spacing w:val="-20"/>
          <w:kern w:val="0"/>
          <w:sz w:val="32"/>
          <w:szCs w:val="32"/>
          <w:lang w:val="en-US" w:eastAsia="zh-CN"/>
        </w:rPr>
      </w:pPr>
      <w:r>
        <w:rPr>
          <w:rFonts w:hint="eastAsia" w:ascii="仿宋_GB2312" w:eastAsia="仿宋_GB2312"/>
          <w:spacing w:val="-20"/>
          <w:kern w:val="0"/>
          <w:sz w:val="32"/>
          <w:szCs w:val="32"/>
        </w:rPr>
        <w:t>中共长沙市望城区高塘岭街道工作委员会</w:t>
      </w:r>
      <w:r>
        <w:rPr>
          <w:rFonts w:hint="eastAsia" w:ascii="仿宋_GB2312" w:eastAsia="仿宋_GB2312"/>
          <w:spacing w:val="-20"/>
          <w:ker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40" w:lineRule="exact"/>
        <w:ind w:right="0" w:firstLine="736" w:firstLineChars="200"/>
        <w:jc w:val="right"/>
        <w:textAlignment w:val="auto"/>
        <w:outlineLvl w:val="9"/>
        <w:rPr>
          <w:rFonts w:hint="eastAsia" w:ascii="仿宋_GB2312" w:eastAsia="仿宋_GB2312"/>
          <w:color w:val="000000"/>
          <w:sz w:val="32"/>
          <w:szCs w:val="32"/>
          <w:lang w:val="en-US" w:eastAsia="zh-CN"/>
        </w:rPr>
      </w:pPr>
      <w:r>
        <w:rPr>
          <w:rFonts w:hint="eastAsia" w:ascii="仿宋_GB2312" w:eastAsia="仿宋_GB2312"/>
          <w:spacing w:val="24"/>
          <w:kern w:val="0"/>
          <w:sz w:val="32"/>
          <w:szCs w:val="32"/>
        </w:rPr>
        <w:t>长沙市望城区</w:t>
      </w:r>
      <w:r>
        <w:rPr>
          <w:rFonts w:hint="eastAsia" w:ascii="仿宋_GB2312" w:eastAsia="仿宋_GB2312"/>
          <w:spacing w:val="24"/>
          <w:sz w:val="32"/>
          <w:szCs w:val="32"/>
        </w:rPr>
        <w:t>高塘岭街道</w:t>
      </w:r>
      <w:r>
        <w:rPr>
          <w:rFonts w:hint="eastAsia" w:ascii="仿宋_GB2312" w:eastAsia="仿宋_GB2312"/>
          <w:spacing w:val="24"/>
          <w:kern w:val="0"/>
          <w:sz w:val="32"/>
          <w:szCs w:val="32"/>
        </w:rPr>
        <w:t>办事</w:t>
      </w:r>
      <w:r>
        <w:rPr>
          <w:rFonts w:hint="eastAsia" w:ascii="仿宋_GB2312" w:eastAsia="仿宋_GB2312"/>
          <w:spacing w:val="28"/>
          <w:kern w:val="0"/>
          <w:sz w:val="32"/>
          <w:szCs w:val="32"/>
        </w:rPr>
        <w:t>处</w:t>
      </w:r>
      <w:r>
        <w:rPr>
          <w:rFonts w:hint="eastAsia" w:ascii="仿宋_GB2312" w:eastAsia="仿宋_GB2312"/>
          <w:spacing w:val="28"/>
          <w:ker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firstLine="320" w:firstLineChars="100"/>
        <w:jc w:val="right"/>
        <w:textAlignment w:val="auto"/>
        <w:outlineLvl w:val="9"/>
        <w:rPr>
          <w:rFonts w:hint="eastAsia" w:ascii="仿宋_GB2312" w:eastAsia="仿宋_GB2312"/>
          <w:color w:val="000000"/>
          <w:sz w:val="32"/>
          <w:szCs w:val="32"/>
          <w:lang w:val="en-US" w:eastAsia="zh-CN"/>
        </w:rPr>
      </w:pPr>
      <w:r>
        <w:rPr>
          <w:rFonts w:hint="eastAsia" w:ascii="仿宋_GB2312" w:eastAsia="仿宋_GB2312"/>
          <w:color w:val="000000"/>
          <w:sz w:val="32"/>
          <w:szCs w:val="32"/>
        </w:rPr>
        <w:t>2023年</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日</w:t>
      </w:r>
      <w:r>
        <w:rPr>
          <w:rFonts w:hint="eastAsia" w:ascii="仿宋_GB2312" w:eastAsia="仿宋_GB2312"/>
          <w:color w:val="000000"/>
          <w:sz w:val="32"/>
          <w:szCs w:val="32"/>
          <w:lang w:val="en-US" w:eastAsia="zh-CN"/>
        </w:rPr>
        <w:t xml:space="preserve">          </w:t>
      </w:r>
    </w:p>
    <w:p>
      <w:pPr>
        <w:shd w:val="clear"/>
        <w:rPr>
          <w:rFonts w:hint="eastAsia" w:ascii="仿宋_GB2312" w:hAnsi="仿宋_GB2312" w:eastAsia="仿宋_GB2312" w:cs="仿宋_GB2312"/>
          <w:color w:val="auto"/>
          <w:sz w:val="32"/>
          <w:szCs w:val="32"/>
          <w:highlight w:val="none"/>
          <w:shd w:val="clear" w:color="auto" w:fill="auto"/>
          <w:lang w:val="en-US" w:eastAsia="zh-CN"/>
        </w:rPr>
      </w:pPr>
    </w:p>
    <w:p>
      <w:pPr>
        <w:shd w:val="clear"/>
        <w:rPr>
          <w:rFonts w:hint="eastAsia" w:ascii="仿宋_GB2312" w:hAnsi="仿宋_GB2312" w:eastAsia="仿宋_GB2312" w:cs="仿宋_GB2312"/>
          <w:color w:val="auto"/>
          <w:sz w:val="32"/>
          <w:szCs w:val="32"/>
          <w:highlight w:val="none"/>
          <w:shd w:val="clear" w:color="auto" w:fill="auto"/>
          <w:lang w:val="en-US" w:eastAsia="zh-CN"/>
        </w:rPr>
      </w:pPr>
    </w:p>
    <w:p>
      <w:pPr>
        <w:shd w:val="clear"/>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br w:type="page"/>
      </w:r>
    </w:p>
    <w:p>
      <w:pPr>
        <w:keepNext w:val="0"/>
        <w:keepLines w:val="0"/>
        <w:pageBreakBefore w:val="0"/>
        <w:widowControl w:val="0"/>
        <w:kinsoku/>
        <w:wordWrap/>
        <w:overflowPunct/>
        <w:topLinePunct w:val="0"/>
        <w:autoSpaceDE/>
        <w:autoSpaceDN/>
        <w:bidi w:val="0"/>
        <w:adjustRightInd/>
        <w:snapToGrid w:val="0"/>
        <w:spacing w:line="700" w:lineRule="exact"/>
        <w:jc w:val="center"/>
        <w:textAlignment w:val="auto"/>
        <w:outlineLvl w:val="9"/>
        <w:rPr>
          <w:rFonts w:hint="eastAsia" w:ascii="方正小标宋简体" w:hAnsi="方正小标宋简体" w:eastAsia="方正小标宋简体" w:cs="方正小标宋简体"/>
          <w:b w:val="0"/>
          <w:bCs/>
          <w:color w:val="auto"/>
          <w:spacing w:val="-10"/>
          <w:sz w:val="48"/>
          <w:szCs w:val="48"/>
          <w:lang w:val="en-US" w:eastAsia="zh-CN"/>
        </w:rPr>
      </w:pPr>
    </w:p>
    <w:p>
      <w:pPr>
        <w:keepNext w:val="0"/>
        <w:keepLines w:val="0"/>
        <w:pageBreakBefore w:val="0"/>
        <w:widowControl w:val="0"/>
        <w:kinsoku/>
        <w:wordWrap/>
        <w:overflowPunct/>
        <w:topLinePunct w:val="0"/>
        <w:autoSpaceDE/>
        <w:autoSpaceDN/>
        <w:bidi w:val="0"/>
        <w:adjustRightInd/>
        <w:snapToGrid w:val="0"/>
        <w:spacing w:line="700" w:lineRule="exact"/>
        <w:jc w:val="center"/>
        <w:textAlignment w:val="auto"/>
        <w:outlineLvl w:val="9"/>
        <w:rPr>
          <w:rFonts w:hint="eastAsia" w:ascii="方正小标宋简体" w:hAnsi="方正小标宋简体" w:eastAsia="方正小标宋简体" w:cs="方正小标宋简体"/>
          <w:b w:val="0"/>
          <w:bCs/>
          <w:color w:val="auto"/>
          <w:sz w:val="48"/>
          <w:szCs w:val="48"/>
        </w:rPr>
      </w:pPr>
      <w:r>
        <w:rPr>
          <w:rFonts w:hint="eastAsia" w:ascii="方正小标宋简体" w:hAnsi="方正小标宋简体" w:eastAsia="方正小标宋简体" w:cs="方正小标宋简体"/>
          <w:b w:val="0"/>
          <w:bCs/>
          <w:color w:val="auto"/>
          <w:spacing w:val="-10"/>
          <w:sz w:val="48"/>
          <w:szCs w:val="48"/>
          <w:lang w:val="en-US" w:eastAsia="zh-CN"/>
        </w:rPr>
        <w:t>长沙市</w:t>
      </w:r>
      <w:r>
        <w:rPr>
          <w:rFonts w:hint="eastAsia" w:ascii="方正小标宋简体" w:hAnsi="方正小标宋简体" w:eastAsia="方正小标宋简体" w:cs="方正小标宋简体"/>
          <w:b w:val="0"/>
          <w:bCs/>
          <w:color w:val="auto"/>
          <w:spacing w:val="-10"/>
          <w:sz w:val="48"/>
          <w:szCs w:val="48"/>
          <w:lang w:eastAsia="zh-CN"/>
        </w:rPr>
        <w:t>望城区高塘岭街道</w:t>
      </w:r>
      <w:r>
        <w:rPr>
          <w:rFonts w:hint="eastAsia" w:ascii="方正小标宋简体" w:hAnsi="方正小标宋简体" w:eastAsia="方正小标宋简体" w:cs="方正小标宋简体"/>
          <w:b w:val="0"/>
          <w:bCs/>
          <w:color w:val="auto"/>
          <w:spacing w:val="-10"/>
          <w:sz w:val="48"/>
          <w:szCs w:val="48"/>
        </w:rPr>
        <w:t>生态文明</w:t>
      </w:r>
      <w:r>
        <w:rPr>
          <w:rFonts w:hint="eastAsia" w:ascii="方正小标宋简体" w:hAnsi="方正小标宋简体" w:eastAsia="方正小标宋简体" w:cs="方正小标宋简体"/>
          <w:b w:val="0"/>
          <w:bCs/>
          <w:color w:val="auto"/>
          <w:sz w:val="48"/>
          <w:szCs w:val="48"/>
        </w:rPr>
        <w:t>建设</w:t>
      </w:r>
    </w:p>
    <w:p>
      <w:pPr>
        <w:keepNext w:val="0"/>
        <w:keepLines w:val="0"/>
        <w:pageBreakBefore w:val="0"/>
        <w:widowControl w:val="0"/>
        <w:kinsoku/>
        <w:wordWrap/>
        <w:overflowPunct/>
        <w:topLinePunct w:val="0"/>
        <w:autoSpaceDE/>
        <w:autoSpaceDN/>
        <w:bidi w:val="0"/>
        <w:adjustRightInd/>
        <w:snapToGrid w:val="0"/>
        <w:spacing w:line="700" w:lineRule="exact"/>
        <w:jc w:val="center"/>
        <w:textAlignment w:val="auto"/>
        <w:outlineLvl w:val="9"/>
        <w:rPr>
          <w:rFonts w:hint="eastAsia" w:ascii="方正小标宋简体" w:hAnsi="方正小标宋简体" w:eastAsia="方正小标宋简体" w:cs="方正小标宋简体"/>
          <w:b w:val="0"/>
          <w:bCs/>
          <w:color w:val="auto"/>
          <w:sz w:val="48"/>
          <w:szCs w:val="48"/>
          <w:lang w:val="en-US" w:eastAsia="zh-CN"/>
        </w:rPr>
      </w:pPr>
      <w:r>
        <w:rPr>
          <w:rFonts w:hint="eastAsia" w:ascii="方正小标宋简体" w:hAnsi="方正小标宋简体" w:eastAsia="方正小标宋简体" w:cs="方正小标宋简体"/>
          <w:b w:val="0"/>
          <w:bCs/>
          <w:color w:val="auto"/>
          <w:sz w:val="48"/>
          <w:szCs w:val="48"/>
        </w:rPr>
        <w:t>示范</w:t>
      </w:r>
      <w:r>
        <w:rPr>
          <w:rFonts w:hint="eastAsia" w:ascii="方正小标宋简体" w:hAnsi="方正小标宋简体" w:eastAsia="方正小标宋简体" w:cs="方正小标宋简体"/>
          <w:b w:val="0"/>
          <w:bCs/>
          <w:color w:val="auto"/>
          <w:sz w:val="48"/>
          <w:szCs w:val="48"/>
          <w:lang w:val="en-US" w:eastAsia="zh-CN"/>
        </w:rPr>
        <w:t>街道实施方案</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line="700" w:lineRule="exact"/>
        <w:jc w:val="center"/>
        <w:textAlignment w:val="auto"/>
        <w:outlineLvl w:val="9"/>
        <w:rPr>
          <w:rFonts w:hint="eastAsia" w:ascii="方正小标宋简体" w:hAnsi="方正小标宋简体" w:eastAsia="方正小标宋简体" w:cs="方正小标宋简体"/>
          <w:b/>
          <w:color w:val="0000FF"/>
          <w:sz w:val="44"/>
          <w:szCs w:val="44"/>
        </w:rPr>
      </w:pPr>
      <w:r>
        <w:rPr>
          <w:rFonts w:hint="eastAsia" w:ascii="方正小标宋简体" w:hAnsi="方正小标宋简体" w:eastAsia="方正小标宋简体" w:cs="方正小标宋简体"/>
          <w:color w:val="auto"/>
          <w:sz w:val="44"/>
          <w:szCs w:val="44"/>
          <w:lang w:eastAsia="zh-CN"/>
        </w:rPr>
        <w:t>（202</w:t>
      </w:r>
      <w:r>
        <w:rPr>
          <w:rFonts w:hint="eastAsia" w:ascii="方正小标宋简体" w:hAnsi="方正小标宋简体" w:eastAsia="方正小标宋简体" w:cs="方正小标宋简体"/>
          <w:color w:val="auto"/>
          <w:sz w:val="44"/>
          <w:szCs w:val="44"/>
          <w:lang w:val="en-US" w:eastAsia="zh-CN"/>
        </w:rPr>
        <w:t>3</w:t>
      </w:r>
      <w:r>
        <w:rPr>
          <w:rFonts w:hint="eastAsia" w:ascii="方正小标宋简体" w:hAnsi="方正小标宋简体" w:eastAsia="方正小标宋简体" w:cs="方正小标宋简体"/>
          <w:color w:val="auto"/>
          <w:sz w:val="44"/>
          <w:szCs w:val="44"/>
          <w:lang w:eastAsia="zh-CN"/>
        </w:rPr>
        <w:t>-202</w:t>
      </w:r>
      <w:r>
        <w:rPr>
          <w:rFonts w:hint="eastAsia" w:ascii="方正小标宋简体" w:hAnsi="方正小标宋简体" w:eastAsia="方正小标宋简体" w:cs="方正小标宋简体"/>
          <w:color w:val="auto"/>
          <w:sz w:val="44"/>
          <w:szCs w:val="44"/>
          <w:lang w:val="en-US" w:eastAsia="zh-CN"/>
        </w:rPr>
        <w:t>5</w:t>
      </w:r>
      <w:r>
        <w:rPr>
          <w:rFonts w:hint="eastAsia" w:ascii="方正小标宋简体" w:hAnsi="方正小标宋简体" w:eastAsia="方正小标宋简体" w:cs="方正小标宋简体"/>
          <w:color w:val="auto"/>
          <w:sz w:val="44"/>
          <w:szCs w:val="44"/>
          <w:lang w:eastAsia="zh-CN"/>
        </w:rPr>
        <w:t>）</w:t>
      </w:r>
    </w:p>
    <w:p>
      <w:pPr>
        <w:pStyle w:val="2"/>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after="0" w:line="600" w:lineRule="exact"/>
        <w:jc w:val="center"/>
        <w:textAlignment w:val="auto"/>
        <w:outlineLvl w:val="9"/>
        <w:rPr>
          <w:rFonts w:hint="default" w:ascii="Times New Roman" w:hAnsi="Times New Roman" w:cs="Times New Roman"/>
          <w:b/>
          <w:color w:val="0000FF"/>
          <w:sz w:val="48"/>
          <w:szCs w:val="84"/>
        </w:rPr>
      </w:pP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line="600" w:lineRule="exact"/>
        <w:jc w:val="center"/>
        <w:textAlignment w:val="auto"/>
        <w:outlineLvl w:val="9"/>
        <w:rPr>
          <w:rFonts w:hint="default" w:ascii="Times New Roman" w:hAnsi="Times New Roman" w:eastAsia="宋体" w:cs="Times New Roman"/>
          <w:b/>
          <w:color w:val="0000FF"/>
          <w:sz w:val="48"/>
          <w:szCs w:val="84"/>
          <w:lang w:eastAsia="zh-CN"/>
        </w:rPr>
      </w:pPr>
    </w:p>
    <w:p>
      <w:pPr>
        <w:pStyle w:val="2"/>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after="0" w:line="600" w:lineRule="exact"/>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before="100" w:beforeLines="0" w:after="100" w:afterLines="0"/>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before="100" w:beforeLines="0" w:after="100" w:afterLines="0"/>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before="100" w:beforeLines="0" w:after="100" w:afterLines="0"/>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before="100" w:beforeLines="0" w:after="100" w:afterLines="0"/>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before="0" w:beforeLines="0" w:after="0" w:afterLines="0" w:line="600" w:lineRule="exact"/>
        <w:jc w:val="center"/>
        <w:textAlignment w:val="auto"/>
        <w:outlineLvl w:val="9"/>
        <w:rPr>
          <w:rFonts w:hint="default" w:ascii="Times New Roman" w:hAnsi="Times New Roman" w:eastAsia="宋体" w:cs="Times New Roman"/>
          <w:b/>
          <w:color w:val="0000FF"/>
          <w:sz w:val="48"/>
          <w:szCs w:val="84"/>
          <w:lang w:eastAsia="zh-CN"/>
        </w:rPr>
      </w:pPr>
    </w:p>
    <w:p>
      <w:pPr>
        <w:pStyle w:val="16"/>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before="0" w:beforeLines="0" w:after="0" w:afterLines="0" w:line="600" w:lineRule="exact"/>
        <w:jc w:val="center"/>
        <w:textAlignment w:val="auto"/>
        <w:outlineLvl w:val="9"/>
        <w:rPr>
          <w:rFonts w:hint="default" w:ascii="Times New Roman" w:hAnsi="Times New Roman" w:eastAsia="宋体" w:cs="Times New Roman"/>
          <w:b/>
          <w:color w:val="0000FF"/>
          <w:sz w:val="48"/>
          <w:szCs w:val="84"/>
          <w:lang w:eastAsia="zh-CN"/>
        </w:rPr>
      </w:pPr>
    </w:p>
    <w:p>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line="600" w:lineRule="exact"/>
        <w:jc w:val="both"/>
        <w:textAlignment w:val="auto"/>
        <w:outlineLvl w:val="9"/>
        <w:rPr>
          <w:rFonts w:hint="default" w:ascii="Times New Roman" w:hAnsi="Times New Roman" w:cs="Times New Roman"/>
          <w:b/>
          <w:color w:val="auto"/>
          <w:sz w:val="36"/>
          <w:szCs w:val="36"/>
          <w:lang w:val="en-US" w:eastAsia="zh-CN"/>
        </w:rPr>
      </w:pPr>
    </w:p>
    <w:p>
      <w:pPr>
        <w:pStyle w:val="3"/>
        <w:keepNext w:val="0"/>
        <w:keepLines w:val="0"/>
        <w:pageBreakBefore w:val="0"/>
        <w:widowControl w:val="0"/>
        <w:kinsoku/>
        <w:wordWrap/>
        <w:overflowPunct/>
        <w:topLinePunct w:val="0"/>
        <w:autoSpaceDE/>
        <w:autoSpaceDN/>
        <w:bidi w:val="0"/>
        <w:adjustRightInd/>
        <w:snapToGrid/>
        <w:spacing w:line="800" w:lineRule="exact"/>
        <w:textAlignment w:val="auto"/>
        <w:outlineLvl w:val="9"/>
        <w:rPr>
          <w:rFonts w:hint="default"/>
          <w:lang w:val="en-US" w:eastAsia="zh-CN"/>
        </w:rPr>
      </w:pPr>
    </w:p>
    <w:p>
      <w:pPr>
        <w:pStyle w:val="2"/>
        <w:rPr>
          <w:rFonts w:hint="eastAsia"/>
        </w:rPr>
      </w:pPr>
    </w:p>
    <w:p>
      <w:pPr>
        <w:pStyle w:val="3"/>
        <w:rPr>
          <w:rFonts w:hint="eastAsia"/>
        </w:rPr>
      </w:pPr>
    </w:p>
    <w:p>
      <w:pPr>
        <w:bidi w:val="0"/>
        <w:rPr>
          <w:rFonts w:hint="default" w:ascii="Times New Roman" w:hAnsi="Times New Roman" w:cs="Times New Roman"/>
        </w:rPr>
      </w:pPr>
    </w:p>
    <w:p>
      <w:pPr>
        <w:jc w:val="center"/>
        <w:rPr>
          <w:rFonts w:hint="default" w:ascii="Times New Roman" w:hAnsi="Times New Roman" w:cs="Times New Roman"/>
          <w:b/>
          <w:color w:val="0000FF"/>
          <w:sz w:val="44"/>
          <w:szCs w:val="44"/>
        </w:rPr>
      </w:pPr>
    </w:p>
    <w:p>
      <w:pPr>
        <w:pStyle w:val="2"/>
        <w:rPr>
          <w:rFonts w:hint="default"/>
        </w:rPr>
        <w:sectPr>
          <w:headerReference r:id="rId4" w:type="first"/>
          <w:headerReference r:id="rId3" w:type="default"/>
          <w:footerReference r:id="rId5" w:type="even"/>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start="1"/>
          <w:cols w:space="720" w:num="1"/>
          <w:titlePg/>
          <w:rtlGutter w:val="0"/>
          <w:docGrid w:type="lines" w:linePitch="312" w:charSpace="0"/>
        </w:sectPr>
      </w:pPr>
    </w:p>
    <w:p>
      <w:pPr>
        <w:keepNext w:val="0"/>
        <w:keepLines w:val="0"/>
        <w:pageBreakBefore w:val="0"/>
        <w:widowControl w:val="0"/>
        <w:kinsoku/>
        <w:wordWrap/>
        <w:overflowPunct/>
        <w:topLinePunct w:val="0"/>
        <w:autoSpaceDE/>
        <w:autoSpaceDN/>
        <w:bidi w:val="0"/>
        <w:snapToGrid/>
        <w:spacing w:line="600" w:lineRule="exact"/>
        <w:jc w:val="center"/>
        <w:textAlignment w:val="auto"/>
        <w:outlineLvl w:val="9"/>
        <w:rPr>
          <w:rFonts w:hint="eastAsia" w:ascii="方正小标宋简体" w:hAnsi="方正小标宋简体" w:eastAsia="方正小标宋简体" w:cs="方正小标宋简体"/>
          <w:b w:val="0"/>
          <w:bCs/>
          <w:color w:val="auto"/>
          <w:sz w:val="44"/>
          <w:szCs w:val="44"/>
        </w:rPr>
      </w:pPr>
      <w:bookmarkStart w:id="0" w:name="_Toc5246"/>
      <w:bookmarkStart w:id="1" w:name="_Toc491852076"/>
      <w:bookmarkStart w:id="2" w:name="_Toc23675"/>
      <w:bookmarkStart w:id="3" w:name="_Toc2020"/>
      <w:bookmarkStart w:id="4" w:name="_Toc2776580"/>
      <w:bookmarkStart w:id="5" w:name="_Toc363"/>
      <w:bookmarkStart w:id="6" w:name="_Toc1945"/>
      <w:bookmarkStart w:id="7" w:name="_Toc277"/>
      <w:bookmarkStart w:id="8" w:name="_Toc37400819"/>
      <w:bookmarkStart w:id="9" w:name="_Toc34508498"/>
      <w:bookmarkStart w:id="10" w:name="_Toc28579"/>
      <w:bookmarkStart w:id="11" w:name="_Toc500168651"/>
      <w:bookmarkStart w:id="12" w:name="_Toc5954"/>
      <w:bookmarkStart w:id="13" w:name="_Toc32230"/>
      <w:bookmarkStart w:id="14" w:name="_Toc2290"/>
      <w:bookmarkStart w:id="15" w:name="_Toc2195"/>
      <w:bookmarkStart w:id="16" w:name="_Toc37234078"/>
      <w:r>
        <w:rPr>
          <w:rFonts w:hint="eastAsia" w:ascii="方正小标宋简体" w:hAnsi="方正小标宋简体" w:eastAsia="方正小标宋简体" w:cs="方正小标宋简体"/>
          <w:b w:val="0"/>
          <w:bCs/>
          <w:color w:val="auto"/>
          <w:sz w:val="44"/>
          <w:szCs w:val="44"/>
        </w:rPr>
        <w:t>目</w:t>
      </w:r>
      <w:r>
        <w:rPr>
          <w:rFonts w:hint="eastAsia" w:ascii="方正小标宋简体" w:hAnsi="方正小标宋简体" w:eastAsia="方正小标宋简体" w:cs="方正小标宋简体"/>
          <w:b w:val="0"/>
          <w:bCs/>
          <w:color w:val="auto"/>
          <w:sz w:val="44"/>
          <w:szCs w:val="44"/>
          <w:lang w:val="en-US" w:eastAsia="zh-CN"/>
        </w:rPr>
        <w:t xml:space="preserve">  </w:t>
      </w:r>
      <w:r>
        <w:rPr>
          <w:rFonts w:hint="eastAsia" w:ascii="方正小标宋简体" w:hAnsi="方正小标宋简体" w:eastAsia="方正小标宋简体" w:cs="方正小标宋简体"/>
          <w:b w:val="0"/>
          <w:bCs/>
          <w:color w:val="auto"/>
          <w:sz w:val="44"/>
          <w:szCs w:val="44"/>
        </w:rPr>
        <w:t>录</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sdt>
      <w:sdtPr>
        <w:rPr>
          <w:rFonts w:ascii="宋体" w:hAnsi="宋体" w:eastAsia="宋体"/>
          <w:sz w:val="21"/>
        </w:rPr>
        <w:id w:val="147474738"/>
        <w:docPartObj>
          <w:docPartGallery w:val="Table of Contents"/>
          <w:docPartUnique/>
        </w:docPartObj>
      </w:sdtPr>
      <w:sdtEndPr>
        <w:rPr>
          <w:rFonts w:ascii="宋体" w:hAnsi="宋体" w:eastAsia="宋体"/>
          <w:sz w:val="20"/>
          <w:szCs w:val="20"/>
        </w:rPr>
      </w:sdtEndPr>
      <w:sdtContent>
        <w:p>
          <w:pPr>
            <w:jc w:val="center"/>
            <w:rPr>
              <w:b w:val="0"/>
              <w:bCs w:val="0"/>
              <w:sz w:val="32"/>
              <w:szCs w:val="32"/>
            </w:rPr>
          </w:pP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_Toc6704 </w:instrText>
          </w:r>
          <w:r>
            <w:rPr>
              <w:rFonts w:hint="eastAsia" w:ascii="仿宋_GB2312" w:hAnsi="仿宋_GB2312" w:eastAsia="仿宋_GB2312" w:cs="仿宋_GB2312"/>
              <w:b w:val="0"/>
              <w:bCs w:val="0"/>
              <w:sz w:val="32"/>
              <w:szCs w:val="32"/>
            </w:rPr>
            <w:fldChar w:fldCharType="separate"/>
          </w:r>
          <w:sdt>
            <w:sdtPr>
              <w:rPr>
                <w:rFonts w:hint="eastAsia" w:ascii="黑体" w:hAnsi="黑体" w:eastAsia="黑体" w:cs="黑体"/>
                <w:b w:val="0"/>
                <w:bCs w:val="0"/>
                <w:kern w:val="2"/>
                <w:sz w:val="32"/>
                <w:szCs w:val="32"/>
                <w:lang w:val="en-US" w:eastAsia="zh-CN" w:bidi="ar-SA"/>
              </w:rPr>
              <w:id w:val="147474738"/>
              <w:placeholder>
                <w:docPart w:val="{ec6eb3b4-1ba1-4b02-b215-20ee9023a962}"/>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sz w:val="32"/>
                  <w:szCs w:val="32"/>
                </w:rPr>
                <w:t>第一章 总  则</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_Toc11736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5668a5a6-40ae-43a5-89f6-7386c2cad30e}"/>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（一）任务由来</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_Toc982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934b2404-e2b6-471b-8ede-dae9971e7abc}"/>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（二）指导思想和基本原则</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_Toc617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cee33df2-7b06-44a5-af19-66a41fc614c0}"/>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（三）编制依据</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3</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_Toc4919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600fbd03-14a7-49de-8939-77b46b87844d}"/>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（四）实施范围</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_Toc20649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9932df1b-6595-4664-8609-27e8f2e05d79}"/>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（五）方案时限</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_Toc18543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08ff9c31-9b44-491e-a782-fcb40cae1e16}"/>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（六）与其他相关规划的衔接和符合性分析</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w:t>
          </w:r>
          <w:r>
            <w:rPr>
              <w:rFonts w:hint="eastAsia" w:ascii="仿宋_GB2312" w:hAnsi="仿宋_GB2312" w:eastAsia="仿宋_GB2312" w:cs="仿宋_GB2312"/>
              <w:b w:val="0"/>
              <w:bCs w:val="0"/>
              <w:sz w:val="32"/>
              <w:szCs w:val="32"/>
            </w:rPr>
            <w:fldChar w:fldCharType="end"/>
          </w: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_Toc4540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d034def2-fde2-4701-ae1c-7bb6c8d66872}"/>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kern w:val="2"/>
                  <w:sz w:val="32"/>
                  <w:szCs w:val="32"/>
                  <w:lang w:val="en-US" w:eastAsia="zh-CN" w:bidi="ar-SA"/>
                </w:rPr>
                <w:t>第二章 区域现状</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7</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_Toc8492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82ea3b52-f490-4684-8ec2-69d9c8e1efd6}"/>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（一）自然地理状况</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7</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_Toc31044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b253f6b0-2799-4cc2-bedf-18651af6becc}"/>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（二）社会经济发展状况</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9</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_Toc17520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44de607f-f088-4e83-98f1-d84d4423dfc9}"/>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（三）创建基础</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12</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_Toc29829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3e19efec-2427-4c6b-9627-6845e9d1a3cc}"/>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（四）存在的问题</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19</w:t>
          </w:r>
          <w:r>
            <w:rPr>
              <w:rFonts w:hint="eastAsia" w:ascii="仿宋_GB2312" w:hAnsi="仿宋_GB2312" w:eastAsia="仿宋_GB2312" w:cs="仿宋_GB2312"/>
              <w:b w:val="0"/>
              <w:bCs w:val="0"/>
              <w:sz w:val="32"/>
              <w:szCs w:val="32"/>
            </w:rPr>
            <w:fldChar w:fldCharType="end"/>
          </w: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_Toc19370 </w:instrText>
          </w:r>
          <w:r>
            <w:rPr>
              <w:rFonts w:hint="eastAsia" w:ascii="仿宋_GB2312" w:hAnsi="仿宋_GB2312" w:eastAsia="仿宋_GB2312" w:cs="仿宋_GB2312"/>
              <w:b w:val="0"/>
              <w:bCs w:val="0"/>
              <w:sz w:val="32"/>
              <w:szCs w:val="32"/>
            </w:rPr>
            <w:fldChar w:fldCharType="separate"/>
          </w:r>
          <w:sdt>
            <w:sdtPr>
              <w:rPr>
                <w:rFonts w:hint="eastAsia" w:ascii="黑体" w:hAnsi="黑体" w:eastAsia="黑体" w:cs="黑体"/>
                <w:b w:val="0"/>
                <w:bCs w:val="0"/>
                <w:kern w:val="2"/>
                <w:sz w:val="32"/>
                <w:szCs w:val="32"/>
                <w:lang w:val="en-US" w:eastAsia="zh-CN" w:bidi="ar-SA"/>
              </w:rPr>
              <w:id w:val="147474738"/>
              <w:placeholder>
                <w:docPart w:val="{c8dd566f-e090-4d05-afff-502d2142f356}"/>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kern w:val="2"/>
                  <w:sz w:val="32"/>
                  <w:szCs w:val="32"/>
                  <w:lang w:val="en-US" w:eastAsia="zh-CN" w:bidi="ar-SA"/>
                </w:rPr>
                <w:t>第三章 总体目标与指标体系</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21</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_Toc31614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f64940ce-0bd9-4d72-8b17-7a9b3f3b205d}"/>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（一）总体目标</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21</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_Toc18919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b31bc873-cb81-4095-97e9-7e0177ad623b}"/>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（二）阶段性目标</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21</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_Toc3052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c404c79d-c2c4-4ac5-80ed-4824662fbb10}"/>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（三）指标体系</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22</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_Toc10571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f1258f1d-fd37-4c6e-849e-39e7d1a3de9c}"/>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（四）指标达标分析</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26</w:t>
          </w:r>
          <w:r>
            <w:rPr>
              <w:rFonts w:hint="eastAsia" w:ascii="仿宋_GB2312" w:hAnsi="仿宋_GB2312" w:eastAsia="仿宋_GB2312" w:cs="仿宋_GB2312"/>
              <w:b w:val="0"/>
              <w:bCs w:val="0"/>
              <w:sz w:val="32"/>
              <w:szCs w:val="32"/>
            </w:rPr>
            <w:fldChar w:fldCharType="end"/>
          </w: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_Toc9561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cbf4acd0-55e1-4481-a600-dae1586edadb}"/>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kern w:val="2"/>
                  <w:sz w:val="32"/>
                  <w:szCs w:val="32"/>
                  <w:lang w:val="en-US" w:eastAsia="zh-CN" w:bidi="ar-SA"/>
                </w:rPr>
                <w:t>第四章 重点任务</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33</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_Toc31073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4635ba37-734e-481b-bd0d-e88a08c79782}"/>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（一）强化生态制度管控</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33</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_Toc5790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9c747264-0e65-4757-a3bb-88bd2feb1c08}"/>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（二）维护生态环境安全</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35</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_Toc23832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b4d9c55e-f65a-4fcd-a480-c49c58d1516f}"/>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（三）发展特色生态经济</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35</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_Toc12422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3f5d6a5f-6327-4ba9-8060-29144083a0ab}"/>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（四）推进生态生活建设</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40</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_Toc32091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7eb2dadf-ba21-42d3-b044-c38a41c039a5}"/>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（五）完善生态文化制度</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43</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_Toc20081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1d59570f-800f-4873-a119-389009874a20}"/>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（六）力促“清绿融合”</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46</w:t>
          </w:r>
          <w:r>
            <w:rPr>
              <w:rFonts w:hint="eastAsia" w:ascii="仿宋_GB2312" w:hAnsi="仿宋_GB2312" w:eastAsia="仿宋_GB2312" w:cs="仿宋_GB2312"/>
              <w:b w:val="0"/>
              <w:bCs w:val="0"/>
              <w:sz w:val="32"/>
              <w:szCs w:val="32"/>
            </w:rPr>
            <w:fldChar w:fldCharType="end"/>
          </w: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_Toc19873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92557801-73b2-44fd-814b-3f78a1842853}"/>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kern w:val="2"/>
                  <w:sz w:val="32"/>
                  <w:szCs w:val="32"/>
                  <w:lang w:val="en-US" w:eastAsia="zh-CN" w:bidi="ar-SA"/>
                </w:rPr>
                <w:t>第五章 重点项目</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48</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_Toc27944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004a98e0-6df3-479f-a636-dd2198dddc54}"/>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重点建设工程一览表</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49</w:t>
          </w:r>
          <w:r>
            <w:rPr>
              <w:rFonts w:hint="eastAsia" w:ascii="仿宋_GB2312" w:hAnsi="仿宋_GB2312" w:eastAsia="仿宋_GB2312" w:cs="仿宋_GB2312"/>
              <w:b w:val="0"/>
              <w:bCs w:val="0"/>
              <w:sz w:val="32"/>
              <w:szCs w:val="32"/>
            </w:rPr>
            <w:fldChar w:fldCharType="end"/>
          </w: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_Toc6649 </w:instrText>
          </w:r>
          <w:r>
            <w:rPr>
              <w:rFonts w:hint="eastAsia" w:ascii="仿宋_GB2312" w:hAnsi="仿宋_GB2312" w:eastAsia="仿宋_GB2312" w:cs="仿宋_GB2312"/>
              <w:b w:val="0"/>
              <w:bCs w:val="0"/>
              <w:sz w:val="32"/>
              <w:szCs w:val="32"/>
            </w:rPr>
            <w:fldChar w:fldCharType="separate"/>
          </w:r>
          <w:sdt>
            <w:sdtPr>
              <w:rPr>
                <w:rFonts w:hint="eastAsia" w:ascii="黑体" w:hAnsi="黑体" w:eastAsia="黑体" w:cs="黑体"/>
                <w:b w:val="0"/>
                <w:bCs w:val="0"/>
                <w:kern w:val="2"/>
                <w:sz w:val="32"/>
                <w:szCs w:val="32"/>
                <w:lang w:val="en-US" w:eastAsia="zh-CN" w:bidi="ar-SA"/>
              </w:rPr>
              <w:id w:val="147474738"/>
              <w:placeholder>
                <w:docPart w:val="{613c6b29-17e9-4ab2-9f7b-247b29da911e}"/>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kern w:val="2"/>
                  <w:sz w:val="32"/>
                  <w:szCs w:val="32"/>
                  <w:lang w:val="en-US" w:eastAsia="zh-CN" w:bidi="ar-SA"/>
                </w:rPr>
                <w:t>第六章 实施步骤</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50</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_Toc2375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c87777c9-a3c6-4433-accc-be038ec5bfb1}"/>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（一）宣传发动阶段</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50</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_Toc21070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b1a8056a-bfab-44a3-b2a9-a4d30959977f}"/>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（二）创建落实阶段</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50</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_Toc2523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632b0ce6-519c-4b99-b79e-e9585864ab1e}"/>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（三）考核验收阶段</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52</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_Toc25851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c919e6cc-d720-4dc0-85b4-2944b110ccda}"/>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（四）总体提升阶段</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52</w:t>
          </w:r>
          <w:r>
            <w:rPr>
              <w:rFonts w:hint="eastAsia" w:ascii="仿宋_GB2312" w:hAnsi="仿宋_GB2312" w:eastAsia="仿宋_GB2312" w:cs="仿宋_GB2312"/>
              <w:b w:val="0"/>
              <w:bCs w:val="0"/>
              <w:sz w:val="32"/>
              <w:szCs w:val="32"/>
            </w:rPr>
            <w:fldChar w:fldCharType="end"/>
          </w: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_Toc24884 </w:instrText>
          </w:r>
          <w:r>
            <w:rPr>
              <w:rFonts w:hint="eastAsia" w:ascii="仿宋_GB2312" w:hAnsi="仿宋_GB2312" w:eastAsia="仿宋_GB2312" w:cs="仿宋_GB2312"/>
              <w:b w:val="0"/>
              <w:bCs w:val="0"/>
              <w:sz w:val="32"/>
              <w:szCs w:val="32"/>
            </w:rPr>
            <w:fldChar w:fldCharType="separate"/>
          </w:r>
          <w:sdt>
            <w:sdtPr>
              <w:rPr>
                <w:rFonts w:hint="eastAsia" w:ascii="黑体" w:hAnsi="黑体" w:eastAsia="黑体" w:cs="黑体"/>
                <w:b w:val="0"/>
                <w:bCs w:val="0"/>
                <w:kern w:val="2"/>
                <w:sz w:val="32"/>
                <w:szCs w:val="32"/>
                <w:lang w:val="en-US" w:eastAsia="zh-CN" w:bidi="ar-SA"/>
              </w:rPr>
              <w:id w:val="147474738"/>
              <w:placeholder>
                <w:docPart w:val="{57c716a0-98e2-4ae4-86b7-383723a37e9f}"/>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kern w:val="2"/>
                  <w:sz w:val="32"/>
                  <w:szCs w:val="32"/>
                  <w:lang w:val="en-US" w:eastAsia="zh-CN" w:bidi="ar-SA"/>
                </w:rPr>
                <w:t>第七章 效益分析</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53</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_Toc19184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9bcc4fd3-dbbd-4fdb-be9a-22778ce84c14}"/>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（一）经济效益</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53</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_Toc7413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acd5dcdb-5277-435a-abe4-8c4f27587739}"/>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（二）环境效益</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54</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_Toc14828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d0637153-371b-4dd1-b802-b7d1d302edd0}"/>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（三）社会效益</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55</w:t>
          </w:r>
          <w:r>
            <w:rPr>
              <w:rFonts w:hint="eastAsia" w:ascii="仿宋_GB2312" w:hAnsi="仿宋_GB2312" w:eastAsia="仿宋_GB2312" w:cs="仿宋_GB2312"/>
              <w:b w:val="0"/>
              <w:bCs w:val="0"/>
              <w:sz w:val="32"/>
              <w:szCs w:val="32"/>
            </w:rPr>
            <w:fldChar w:fldCharType="end"/>
          </w:r>
        </w:p>
        <w:p>
          <w:pPr>
            <w:pStyle w:val="21"/>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_Toc10211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c2651723-1b1f-4d38-ab29-b3dfdc1aec4b}"/>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黑体" w:hAnsi="黑体" w:eastAsia="黑体" w:cs="黑体"/>
                  <w:b w:val="0"/>
                  <w:bCs w:val="0"/>
                  <w:kern w:val="2"/>
                  <w:sz w:val="32"/>
                  <w:szCs w:val="32"/>
                  <w:lang w:val="en-US" w:eastAsia="zh-CN" w:bidi="ar-SA"/>
                </w:rPr>
                <w:t>第八章 保障措施</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57</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_Toc21915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394aeee6-6d51-40aa-af9d-0e75ee17cc2a}"/>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（一）加强组织领导</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57</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_Toc21260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7196d5b4-1310-49c7-b985-549c72d4661b}"/>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（二）强化考核目标</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57</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_Toc16028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b11ba4db-f40d-4483-a75b-e34ea26343cd}"/>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（三）完善资金机制</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57</w:t>
          </w:r>
          <w:r>
            <w:rPr>
              <w:rFonts w:hint="eastAsia" w:ascii="仿宋_GB2312" w:hAnsi="仿宋_GB2312" w:eastAsia="仿宋_GB2312" w:cs="仿宋_GB2312"/>
              <w:b w:val="0"/>
              <w:bCs w:val="0"/>
              <w:sz w:val="32"/>
              <w:szCs w:val="32"/>
            </w:rPr>
            <w:fldChar w:fldCharType="end"/>
          </w:r>
        </w:p>
        <w:p>
          <w:pPr>
            <w:pStyle w:val="22"/>
            <w:tabs>
              <w:tab w:val="right" w:leader="dot" w:pos="8306"/>
            </w:tabs>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_Toc10549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2a3cfd1f-922d-42a0-88c7-5e6bca5ac2a2}"/>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（四）建立维护制度</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57</w:t>
          </w:r>
          <w:r>
            <w:rPr>
              <w:rFonts w:hint="eastAsia" w:ascii="仿宋_GB2312" w:hAnsi="仿宋_GB2312" w:eastAsia="仿宋_GB2312" w:cs="仿宋_GB2312"/>
              <w:b w:val="0"/>
              <w:bCs w:val="0"/>
              <w:sz w:val="32"/>
              <w:szCs w:val="32"/>
            </w:rPr>
            <w:fldChar w:fldCharType="end"/>
          </w:r>
        </w:p>
        <w:p>
          <w:pPr>
            <w:pStyle w:val="22"/>
            <w:tabs>
              <w:tab w:val="right" w:leader="dot" w:pos="8306"/>
            </w:tabs>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_Toc5816 </w:instrText>
          </w:r>
          <w:r>
            <w:rPr>
              <w:rFonts w:hint="eastAsia" w:ascii="仿宋_GB2312" w:hAnsi="仿宋_GB2312" w:eastAsia="仿宋_GB2312" w:cs="仿宋_GB2312"/>
              <w:b w:val="0"/>
              <w:bCs w:val="0"/>
              <w:sz w:val="32"/>
              <w:szCs w:val="32"/>
            </w:rPr>
            <w:fldChar w:fldCharType="separate"/>
          </w:r>
          <w:sdt>
            <w:sdtPr>
              <w:rPr>
                <w:rFonts w:hint="eastAsia" w:ascii="仿宋_GB2312" w:hAnsi="仿宋_GB2312" w:eastAsia="仿宋_GB2312" w:cs="仿宋_GB2312"/>
                <w:b w:val="0"/>
                <w:bCs w:val="0"/>
                <w:kern w:val="2"/>
                <w:sz w:val="32"/>
                <w:szCs w:val="32"/>
                <w:lang w:val="en-US" w:eastAsia="zh-CN" w:bidi="ar-SA"/>
              </w:rPr>
              <w:id w:val="147474738"/>
              <w:placeholder>
                <w:docPart w:val="{8ebcf7dc-2ed3-47d6-a712-3fcc86f178c9}"/>
              </w:placeholder>
            </w:sdtPr>
            <w:sdtEndPr>
              <w:rPr>
                <w:rFonts w:hint="eastAsia" w:ascii="仿宋_GB2312" w:hAnsi="仿宋_GB2312" w:eastAsia="仿宋_GB2312" w:cs="仿宋_GB2312"/>
                <w:b w:val="0"/>
                <w:bCs w:val="0"/>
                <w:kern w:val="2"/>
                <w:sz w:val="32"/>
                <w:szCs w:val="32"/>
                <w:lang w:val="en-US" w:eastAsia="zh-CN" w:bidi="ar-SA"/>
              </w:rPr>
            </w:sdtEndPr>
            <w:sdtContent>
              <w:r>
                <w:rPr>
                  <w:rFonts w:hint="eastAsia" w:ascii="仿宋_GB2312" w:hAnsi="仿宋_GB2312" w:eastAsia="仿宋_GB2312" w:cs="仿宋_GB2312"/>
                  <w:b w:val="0"/>
                  <w:bCs w:val="0"/>
                  <w:sz w:val="32"/>
                  <w:szCs w:val="32"/>
                </w:rPr>
                <w:t>（五）全民参与</w:t>
              </w:r>
            </w:sdtContent>
          </w:sdt>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t>58</w:t>
          </w:r>
          <w:r>
            <w:rPr>
              <w:rFonts w:hint="eastAsia" w:ascii="仿宋_GB2312" w:hAnsi="仿宋_GB2312" w:eastAsia="仿宋_GB2312" w:cs="仿宋_GB2312"/>
              <w:b w:val="0"/>
              <w:bCs w:val="0"/>
              <w:sz w:val="32"/>
              <w:szCs w:val="32"/>
            </w:rPr>
            <w:fldChar w:fldCharType="end"/>
          </w:r>
        </w:p>
      </w:sdtContent>
    </w:sdt>
    <w:p>
      <w:pPr>
        <w:pStyle w:val="2"/>
        <w:rPr>
          <w:rFonts w:hint="default"/>
        </w:rPr>
      </w:pPr>
    </w:p>
    <w:p>
      <w:pPr>
        <w:widowControl/>
        <w:adjustRightInd w:val="0"/>
        <w:snapToGrid w:val="0"/>
        <w:spacing w:line="360" w:lineRule="auto"/>
        <w:rPr>
          <w:rFonts w:hint="default" w:ascii="Times New Roman" w:hAnsi="Times New Roman" w:cs="Times New Roman"/>
          <w:color w:val="0000FF"/>
          <w:sz w:val="24"/>
        </w:rPr>
        <w:sectPr>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start="1"/>
          <w:cols w:space="720" w:num="1"/>
          <w:titlePg/>
          <w:rtlGutter w:val="0"/>
          <w:docGrid w:type="lines" w:linePitch="312" w:charSpace="0"/>
        </w:sectPr>
      </w:pPr>
    </w:p>
    <w:p>
      <w:pPr>
        <w:pStyle w:val="4"/>
        <w:keepNext/>
        <w:keepLines/>
        <w:pageBreakBefore w:val="0"/>
        <w:widowControl w:val="0"/>
        <w:tabs>
          <w:tab w:val="clear" w:pos="432"/>
        </w:tabs>
        <w:kinsoku/>
        <w:wordWrap w:val="0"/>
        <w:overflowPunct/>
        <w:topLinePunct w:val="0"/>
        <w:autoSpaceDE/>
        <w:autoSpaceDN/>
        <w:bidi w:val="0"/>
        <w:adjustRightInd/>
        <w:snapToGrid/>
        <w:spacing w:before="0" w:after="0" w:line="400" w:lineRule="exact"/>
        <w:ind w:left="0" w:leftChars="0" w:firstLine="0" w:firstLineChars="0"/>
        <w:jc w:val="both"/>
        <w:textAlignment w:val="auto"/>
        <w:outlineLvl w:val="0"/>
        <w:rPr>
          <w:rFonts w:hint="eastAsia" w:ascii="黑体" w:hAnsi="黑体" w:eastAsia="黑体" w:cs="黑体"/>
          <w:b w:val="0"/>
          <w:bCs w:val="0"/>
          <w:color w:val="auto"/>
          <w:spacing w:val="-16"/>
          <w:sz w:val="32"/>
          <w:szCs w:val="32"/>
        </w:rPr>
      </w:pPr>
      <w:bookmarkStart w:id="17" w:name="_Toc1759"/>
      <w:bookmarkStart w:id="18" w:name="_Toc12034"/>
      <w:bookmarkStart w:id="19" w:name="_Toc32510"/>
      <w:bookmarkStart w:id="20" w:name="_Toc29369"/>
      <w:bookmarkStart w:id="21" w:name="_Toc13336"/>
      <w:bookmarkStart w:id="22" w:name="_Toc414979303"/>
    </w:p>
    <w:p>
      <w:pPr>
        <w:pStyle w:val="4"/>
        <w:pageBreakBefore w:val="0"/>
        <w:tabs>
          <w:tab w:val="clear" w:pos="432"/>
        </w:tabs>
        <w:kinsoku/>
        <w:overflowPunct/>
        <w:topLinePunct w:val="0"/>
        <w:autoSpaceDE/>
        <w:autoSpaceDN/>
        <w:bidi w:val="0"/>
        <w:adjustRightInd/>
        <w:spacing w:before="0" w:after="0" w:line="600" w:lineRule="exact"/>
        <w:ind w:left="0" w:firstLine="576" w:firstLineChars="200"/>
        <w:jc w:val="center"/>
        <w:textAlignment w:val="auto"/>
        <w:rPr>
          <w:rFonts w:hint="eastAsia" w:ascii="黑体" w:hAnsi="黑体" w:eastAsia="黑体" w:cs="黑体"/>
          <w:b w:val="0"/>
          <w:bCs w:val="0"/>
          <w:color w:val="auto"/>
          <w:spacing w:val="-16"/>
          <w:sz w:val="32"/>
          <w:szCs w:val="32"/>
        </w:rPr>
      </w:pPr>
      <w:bookmarkStart w:id="23" w:name="_Toc6704"/>
      <w:r>
        <w:rPr>
          <w:rFonts w:hint="eastAsia" w:ascii="黑体" w:hAnsi="黑体" w:eastAsia="黑体" w:cs="黑体"/>
          <w:b w:val="0"/>
          <w:bCs w:val="0"/>
          <w:color w:val="auto"/>
          <w:spacing w:val="-16"/>
          <w:sz w:val="32"/>
          <w:szCs w:val="32"/>
        </w:rPr>
        <w:t>第</w:t>
      </w:r>
      <w:r>
        <w:rPr>
          <w:rFonts w:hint="eastAsia" w:ascii="黑体" w:hAnsi="黑体" w:eastAsia="黑体" w:cs="黑体"/>
          <w:b w:val="0"/>
          <w:bCs w:val="0"/>
          <w:color w:val="auto"/>
          <w:spacing w:val="-16"/>
          <w:sz w:val="32"/>
          <w:szCs w:val="32"/>
          <w:lang w:eastAsia="zh-CN"/>
        </w:rPr>
        <w:t>一</w:t>
      </w:r>
      <w:r>
        <w:rPr>
          <w:rFonts w:hint="eastAsia" w:ascii="黑体" w:hAnsi="黑体" w:eastAsia="黑体" w:cs="黑体"/>
          <w:b w:val="0"/>
          <w:bCs w:val="0"/>
          <w:color w:val="auto"/>
          <w:spacing w:val="-16"/>
          <w:sz w:val="32"/>
          <w:szCs w:val="32"/>
        </w:rPr>
        <w:t>章</w:t>
      </w:r>
      <w:r>
        <w:rPr>
          <w:rFonts w:hint="eastAsia" w:ascii="黑体" w:hAnsi="黑体" w:eastAsia="黑体" w:cs="黑体"/>
          <w:b w:val="0"/>
          <w:bCs w:val="0"/>
          <w:color w:val="auto"/>
          <w:spacing w:val="-16"/>
          <w:sz w:val="32"/>
          <w:szCs w:val="32"/>
          <w:lang w:val="en-US" w:eastAsia="zh-CN"/>
        </w:rPr>
        <w:t xml:space="preserve"> </w:t>
      </w:r>
      <w:r>
        <w:rPr>
          <w:rFonts w:hint="eastAsia" w:ascii="黑体" w:hAnsi="黑体" w:eastAsia="黑体" w:cs="黑体"/>
          <w:b w:val="0"/>
          <w:bCs w:val="0"/>
          <w:color w:val="auto"/>
          <w:spacing w:val="-16"/>
          <w:sz w:val="32"/>
          <w:szCs w:val="32"/>
        </w:rPr>
        <w:t>总</w:t>
      </w:r>
      <w:r>
        <w:rPr>
          <w:rFonts w:hint="eastAsia" w:ascii="黑体" w:hAnsi="黑体" w:eastAsia="黑体" w:cs="黑体"/>
          <w:b w:val="0"/>
          <w:bCs w:val="0"/>
          <w:color w:val="auto"/>
          <w:spacing w:val="-16"/>
          <w:sz w:val="32"/>
          <w:szCs w:val="32"/>
          <w:lang w:val="en-US" w:eastAsia="zh-CN"/>
        </w:rPr>
        <w:t xml:space="preserve">  </w:t>
      </w:r>
      <w:r>
        <w:rPr>
          <w:rFonts w:hint="eastAsia" w:ascii="黑体" w:hAnsi="黑体" w:eastAsia="黑体" w:cs="黑体"/>
          <w:b w:val="0"/>
          <w:bCs w:val="0"/>
          <w:color w:val="auto"/>
          <w:spacing w:val="-16"/>
          <w:sz w:val="32"/>
          <w:szCs w:val="32"/>
        </w:rPr>
        <w:t>则</w:t>
      </w:r>
      <w:bookmarkEnd w:id="17"/>
      <w:bookmarkEnd w:id="18"/>
      <w:bookmarkEnd w:id="19"/>
      <w:bookmarkEnd w:id="20"/>
      <w:bookmarkEnd w:id="21"/>
      <w:bookmarkEnd w:id="23"/>
    </w:p>
    <w:p>
      <w:pPr>
        <w:rPr>
          <w:rFonts w:hint="eastAsia"/>
        </w:rPr>
      </w:pPr>
    </w:p>
    <w:p>
      <w:pPr>
        <w:pStyle w:val="5"/>
        <w:pageBreakBefore w:val="0"/>
        <w:tabs>
          <w:tab w:val="clear" w:pos="576"/>
        </w:tabs>
        <w:kinsoku/>
        <w:wordWrap/>
        <w:overflowPunct w:val="0"/>
        <w:topLinePunct w:val="0"/>
        <w:autoSpaceDE w:val="0"/>
        <w:autoSpaceDN w:val="0"/>
        <w:bidi w:val="0"/>
        <w:adjustRightIn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rPr>
      </w:pPr>
      <w:bookmarkStart w:id="24" w:name="_Toc11736"/>
      <w:bookmarkStart w:id="25" w:name="_Toc28178"/>
      <w:bookmarkStart w:id="26" w:name="_Toc18228"/>
      <w:bookmarkStart w:id="27" w:name="_Toc31926"/>
      <w:bookmarkStart w:id="28" w:name="_Toc27586"/>
      <w:bookmarkStart w:id="29" w:name="_Toc18741"/>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color w:val="auto"/>
          <w:sz w:val="32"/>
          <w:szCs w:val="32"/>
        </w:rPr>
        <w:t>任务由来</w:t>
      </w:r>
      <w:bookmarkEnd w:id="24"/>
      <w:bookmarkEnd w:id="25"/>
      <w:bookmarkEnd w:id="26"/>
      <w:bookmarkEnd w:id="27"/>
      <w:bookmarkEnd w:id="28"/>
      <w:bookmarkEnd w:id="29"/>
    </w:p>
    <w:p>
      <w:pPr>
        <w:pageBreakBefore w:val="0"/>
        <w:kinsoku/>
        <w:wordWrap/>
        <w:overflowPunct w:val="0"/>
        <w:topLinePunct w:val="0"/>
        <w:autoSpaceDE w:val="0"/>
        <w:autoSpaceDN w:val="0"/>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10月，中国共产党第二十次全国代表大会召开。党的二十大报告再次指明了生态文明建设的重要意义。大自然是人类赖以生存发展的基本条件。尊重自然、顺应自然、保护自然，是全面建设社会主义现代化国家的内在要求。党的二十大是我国建设生态文明的一个新的里程碑。习近平总书记在党的二十大报告中强调：“必须牢固树立和践行绿水青山就是金山银山的理念，站在人与自然和谐共生的高度谋划发展”。这是立足我国进入全面建设社会主义现代化国家、实现第二个百年奋斗目标的新发展阶段，对谋划经济社会发展提出的新要求。学习贯彻党的二十大精神，就要深刻把握生态文明建设这个关乎中华民族永续发展的根本大计，扎实推动绿色发展，促进人与自然和谐共生，共同建设美丽中国。</w:t>
      </w:r>
    </w:p>
    <w:p>
      <w:pPr>
        <w:keepNext w:val="0"/>
        <w:keepLines w:val="0"/>
        <w:pageBreakBefore w:val="0"/>
        <w:widowControl w:val="0"/>
        <w:kinsoku/>
        <w:wordWrap/>
        <w:overflowPunct w:val="0"/>
        <w:topLinePunct w:val="0"/>
        <w:autoSpaceDE w:val="0"/>
        <w:autoSpaceDN w:val="0"/>
        <w:bidi w:val="0"/>
        <w:adjustRightInd/>
        <w:snapToGrid w:val="0"/>
        <w:spacing w:line="600" w:lineRule="exact"/>
        <w:ind w:left="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全面贯彻落实党的二十大精神和党中央、国务院关于生态文明建设、乡村振兴的一系列重大决策部署，深入实施湖南省生态强省战略以及全面推进乡村振兴战略的有关要求，长沙市委市政府切实提高政治站位，将生态文明建设作为全市改革的重要内容，将创建生态文明建设示范镇（涉农街道）作为推动乡村振兴战略实施的重要抓手，充分发挥示范引领带动作用，以生态文明建设助力实现乡村振兴。</w:t>
      </w:r>
    </w:p>
    <w:p>
      <w:pPr>
        <w:keepNext w:val="0"/>
        <w:keepLines w:val="0"/>
        <w:pageBreakBefore w:val="0"/>
        <w:widowControl w:val="0"/>
        <w:suppressLineNumbers w:val="0"/>
        <w:kinsoku/>
        <w:wordWrap/>
        <w:overflowPunct w:val="0"/>
        <w:topLinePunct w:val="0"/>
        <w:autoSpaceDE w:val="0"/>
        <w:autoSpaceDN w:val="0"/>
        <w:bidi w:val="0"/>
        <w:adjustRightInd/>
        <w:spacing w:line="600" w:lineRule="exact"/>
        <w:ind w:lef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为扎实推进望城区高塘岭街道生态文明建设，进一步改善全街道生态环境和人居环境质量，建立健全生态环境保护机制，推动形成生态宜居美丽的乡村发展新格局，加快实现农业农村现代化，</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kern w:val="2"/>
          <w:sz w:val="32"/>
          <w:szCs w:val="32"/>
          <w:lang w:val="en-US" w:eastAsia="zh-CN" w:bidi="ar"/>
        </w:rPr>
        <w:t>把生态文明建设示范街道的创建作为一项重要工作纳入</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kern w:val="2"/>
          <w:sz w:val="32"/>
          <w:szCs w:val="32"/>
          <w:lang w:val="en-US" w:eastAsia="zh-CN" w:bidi="ar"/>
        </w:rPr>
        <w:t>建设中去，为实现社会、经济与环境协调发展，</w:t>
      </w:r>
      <w:r>
        <w:rPr>
          <w:rFonts w:hint="eastAsia" w:ascii="仿宋_GB2312" w:hAnsi="仿宋_GB2312" w:eastAsia="仿宋_GB2312" w:cs="仿宋_GB2312"/>
          <w:color w:val="auto"/>
          <w:sz w:val="32"/>
          <w:szCs w:val="32"/>
          <w:lang w:eastAsia="zh-CN"/>
        </w:rPr>
        <w:t>街道办事处</w:t>
      </w:r>
      <w:r>
        <w:rPr>
          <w:rFonts w:hint="eastAsia" w:ascii="仿宋_GB2312" w:hAnsi="仿宋_GB2312" w:eastAsia="仿宋_GB2312" w:cs="仿宋_GB2312"/>
          <w:color w:val="auto"/>
          <w:kern w:val="2"/>
          <w:sz w:val="32"/>
          <w:szCs w:val="32"/>
          <w:lang w:val="en-US" w:eastAsia="zh-CN" w:bidi="ar"/>
        </w:rPr>
        <w:t>决定展开生态文明建设示范街道工作，特编制</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长沙市</w:t>
      </w:r>
      <w:r>
        <w:rPr>
          <w:rFonts w:hint="eastAsia" w:ascii="仿宋_GB2312" w:hAnsi="仿宋_GB2312" w:eastAsia="仿宋_GB2312" w:cs="仿宋_GB2312"/>
          <w:color w:val="auto"/>
          <w:sz w:val="32"/>
          <w:szCs w:val="32"/>
          <w:lang w:eastAsia="zh-CN"/>
        </w:rPr>
        <w:t>望城区高塘岭街道生态文明建设示范街道实施方案（202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》（以下简称《</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，力争在2023年底前成功创建生态文明建设示范街道。</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》通过</w:t>
      </w:r>
      <w:r>
        <w:rPr>
          <w:rFonts w:hint="eastAsia" w:ascii="仿宋_GB2312" w:hAnsi="仿宋_GB2312" w:eastAsia="仿宋_GB2312" w:cs="仿宋_GB2312"/>
          <w:color w:val="auto"/>
          <w:sz w:val="32"/>
          <w:szCs w:val="32"/>
          <w:lang w:eastAsia="zh-CN"/>
        </w:rPr>
        <w:t>生态制度</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生态安全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w:t>
      </w:r>
      <w:r>
        <w:rPr>
          <w:rFonts w:hint="eastAsia" w:ascii="仿宋_GB2312" w:hAnsi="仿宋_GB2312" w:eastAsia="仿宋_GB2312" w:cs="仿宋_GB2312"/>
          <w:color w:val="auto"/>
          <w:sz w:val="32"/>
          <w:szCs w:val="32"/>
          <w:lang w:val="en-US" w:eastAsia="zh-CN"/>
        </w:rPr>
        <w:t>经济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生态生活</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生态文化</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大体系的建设，推动形成人与自然和谐发展生态宜居的</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eastAsia="zh-CN"/>
        </w:rPr>
        <w:t>高塘岭街道办事处</w:t>
      </w:r>
      <w:r>
        <w:rPr>
          <w:rFonts w:hint="eastAsia" w:ascii="仿宋_GB2312" w:hAnsi="仿宋_GB2312" w:eastAsia="仿宋_GB2312" w:cs="仿宋_GB2312"/>
          <w:color w:val="auto"/>
          <w:sz w:val="32"/>
          <w:szCs w:val="32"/>
        </w:rPr>
        <w:t>审议通过后颁布实施，是指导</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创建生态文明建设示范街道</w:t>
      </w:r>
      <w:r>
        <w:rPr>
          <w:rFonts w:hint="eastAsia" w:ascii="仿宋_GB2312" w:hAnsi="仿宋_GB2312" w:eastAsia="仿宋_GB2312" w:cs="仿宋_GB2312"/>
          <w:color w:val="auto"/>
          <w:sz w:val="32"/>
          <w:szCs w:val="32"/>
        </w:rPr>
        <w:t>的规范性和纲领性文件。</w:t>
      </w:r>
    </w:p>
    <w:p>
      <w:pPr>
        <w:pStyle w:val="5"/>
        <w:pageBreakBefore w:val="0"/>
        <w:tabs>
          <w:tab w:val="clear" w:pos="576"/>
        </w:tabs>
        <w:kinsoku/>
        <w:wordWrap/>
        <w:overflowPunct w:val="0"/>
        <w:topLinePunct w:val="0"/>
        <w:autoSpaceDE w:val="0"/>
        <w:autoSpaceDN w:val="0"/>
        <w:bidi w:val="0"/>
        <w:adjustRightIn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eastAsia="zh-CN"/>
        </w:rPr>
      </w:pPr>
      <w:bookmarkStart w:id="30" w:name="_Toc22960"/>
      <w:bookmarkStart w:id="31" w:name="_Toc1138"/>
      <w:bookmarkStart w:id="32" w:name="_Toc4354"/>
      <w:bookmarkStart w:id="33" w:name="_Toc12529"/>
      <w:bookmarkStart w:id="34" w:name="_Toc982"/>
      <w:bookmarkStart w:id="35" w:name="_Toc22816"/>
      <w:r>
        <w:rPr>
          <w:rFonts w:hint="eastAsia" w:ascii="楷体_GB2312" w:hAnsi="楷体_GB2312" w:eastAsia="楷体_GB2312" w:cs="楷体_GB2312"/>
          <w:color w:val="auto"/>
          <w:sz w:val="32"/>
          <w:szCs w:val="32"/>
          <w:lang w:eastAsia="zh-CN"/>
        </w:rPr>
        <w:t>（二）指导思想和基本原则</w:t>
      </w:r>
      <w:bookmarkEnd w:id="30"/>
      <w:bookmarkEnd w:id="31"/>
      <w:bookmarkEnd w:id="32"/>
      <w:bookmarkEnd w:id="33"/>
      <w:bookmarkEnd w:id="34"/>
      <w:bookmarkEnd w:id="35"/>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围绕全面建</w:t>
      </w:r>
      <w:r>
        <w:rPr>
          <w:rFonts w:hint="eastAsia" w:ascii="仿宋_GB2312" w:hAnsi="仿宋_GB2312" w:eastAsia="仿宋_GB2312" w:cs="仿宋_GB2312"/>
          <w:color w:val="auto"/>
          <w:sz w:val="32"/>
          <w:szCs w:val="32"/>
          <w:lang w:eastAsia="zh-CN"/>
        </w:rPr>
        <w:t>成</w:t>
      </w:r>
      <w:r>
        <w:rPr>
          <w:rFonts w:hint="eastAsia" w:ascii="仿宋_GB2312" w:hAnsi="仿宋_GB2312" w:eastAsia="仿宋_GB2312" w:cs="仿宋_GB2312"/>
          <w:color w:val="auto"/>
          <w:sz w:val="32"/>
          <w:szCs w:val="32"/>
        </w:rPr>
        <w:t>小康社会，以全面、协调、可持续的科学发展观为指导，运用生态经济和循环经济理论，统筹区域经济、社会与环境、资源的关系，以人为本，通过调整优化产业结构，大力发展生态经济和循环经济，改善生态环境，培育生态文化，重视生态人居，走</w:t>
      </w:r>
      <w:r>
        <w:rPr>
          <w:rFonts w:hint="eastAsia" w:ascii="仿宋_GB2312" w:hAnsi="仿宋_GB2312" w:eastAsia="仿宋_GB2312" w:cs="仿宋_GB2312"/>
          <w:color w:val="auto"/>
          <w:sz w:val="32"/>
          <w:szCs w:val="32"/>
          <w:lang w:val="en-US" w:eastAsia="zh-CN"/>
        </w:rPr>
        <w:t>生产</w:t>
      </w:r>
      <w:r>
        <w:rPr>
          <w:rFonts w:hint="eastAsia" w:ascii="仿宋_GB2312" w:hAnsi="仿宋_GB2312" w:eastAsia="仿宋_GB2312" w:cs="仿宋_GB2312"/>
          <w:color w:val="auto"/>
          <w:sz w:val="32"/>
          <w:szCs w:val="32"/>
        </w:rPr>
        <w:t>发展、生活富裕、生态良好的文明发展道路。</w:t>
      </w:r>
    </w:p>
    <w:p>
      <w:pPr>
        <w:pageBreakBefore w:val="0"/>
        <w:kinsoku/>
        <w:overflowPunct/>
        <w:topLinePunct w:val="0"/>
        <w:autoSpaceDE/>
        <w:autoSpaceDN/>
        <w:bidi w:val="0"/>
        <w:adjustRightInd/>
        <w:snapToGrid w:val="0"/>
        <w:spacing w:line="60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bCs/>
          <w:color w:val="auto"/>
          <w:sz w:val="32"/>
          <w:szCs w:val="32"/>
        </w:rPr>
        <w:t>协调发展的原则。</w:t>
      </w:r>
      <w:r>
        <w:rPr>
          <w:rFonts w:hint="eastAsia" w:ascii="仿宋_GB2312" w:hAnsi="仿宋_GB2312" w:eastAsia="仿宋_GB2312" w:cs="仿宋_GB2312"/>
          <w:color w:val="auto"/>
          <w:sz w:val="32"/>
          <w:szCs w:val="32"/>
        </w:rPr>
        <w:t>充分考虑区域社会、经济与资源、环境的协调发展，统筹城乡发展，促进人与自然和谐，实现经济、社会和环境效益的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共赢</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pageBreakBefore w:val="0"/>
        <w:kinsoku/>
        <w:overflowPunct/>
        <w:topLinePunct w:val="0"/>
        <w:autoSpaceDE/>
        <w:autoSpaceDN/>
        <w:bidi w:val="0"/>
        <w:adjustRightInd/>
        <w:snapToGrid w:val="0"/>
        <w:spacing w:line="60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bCs/>
          <w:color w:val="auto"/>
          <w:sz w:val="32"/>
          <w:szCs w:val="32"/>
        </w:rPr>
        <w:t>因地制宜的原则。</w:t>
      </w:r>
      <w:r>
        <w:rPr>
          <w:rFonts w:hint="eastAsia" w:ascii="仿宋_GB2312" w:hAnsi="仿宋_GB2312" w:eastAsia="仿宋_GB2312" w:cs="仿宋_GB2312"/>
          <w:color w:val="auto"/>
          <w:sz w:val="32"/>
          <w:szCs w:val="32"/>
        </w:rPr>
        <w:t>从本地实际出发，发挥本地资源、环境、区位优势，突出地方特色。</w:t>
      </w:r>
    </w:p>
    <w:p>
      <w:pPr>
        <w:pageBreakBefore w:val="0"/>
        <w:kinsoku/>
        <w:overflowPunct/>
        <w:topLinePunct w:val="0"/>
        <w:autoSpaceDE/>
        <w:autoSpaceDN/>
        <w:bidi w:val="0"/>
        <w:adjustRightInd/>
        <w:snapToGrid w:val="0"/>
        <w:spacing w:line="60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bCs/>
          <w:color w:val="auto"/>
          <w:sz w:val="32"/>
          <w:szCs w:val="32"/>
        </w:rPr>
        <w:t>量力而行的原则。</w:t>
      </w:r>
      <w:r>
        <w:rPr>
          <w:rFonts w:hint="eastAsia" w:ascii="仿宋_GB2312" w:hAnsi="仿宋_GB2312" w:eastAsia="仿宋_GB2312" w:cs="仿宋_GB2312"/>
          <w:color w:val="auto"/>
          <w:sz w:val="32"/>
          <w:szCs w:val="32"/>
        </w:rPr>
        <w:t>不贪大求全，不盲目攀比。通过</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编制，选择</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建设的重点领域和重点区域作为突破，循序渐进，分步实施。</w:t>
      </w:r>
    </w:p>
    <w:p>
      <w:pPr>
        <w:pageBreakBefore w:val="0"/>
        <w:widowControl w:val="0"/>
        <w:kinsoku/>
        <w:overflowPunct/>
        <w:topLinePunct w:val="0"/>
        <w:autoSpaceDE/>
        <w:autoSpaceDN/>
        <w:bidi w:val="0"/>
        <w:adjustRightInd/>
        <w:snapToGrid w:val="0"/>
        <w:spacing w:line="600" w:lineRule="exact"/>
        <w:ind w:lef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4</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bCs/>
          <w:color w:val="auto"/>
          <w:sz w:val="32"/>
          <w:szCs w:val="32"/>
        </w:rPr>
        <w:t>便于操作的原则。</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要与当地国民经济与社会发展规划（计划）相衔接，与相关部门的行业规划相衔接。</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目标与措施应尽可能做到工程化、项目化、时限化。</w:t>
      </w:r>
    </w:p>
    <w:p>
      <w:pPr>
        <w:pStyle w:val="5"/>
        <w:pageBreakBefore w:val="0"/>
        <w:tabs>
          <w:tab w:val="clear" w:pos="576"/>
        </w:tabs>
        <w:kinsoku/>
        <w:wordWrap/>
        <w:overflowPunct w:val="0"/>
        <w:topLinePunct w:val="0"/>
        <w:autoSpaceDE w:val="0"/>
        <w:autoSpaceDN w:val="0"/>
        <w:bidi w:val="0"/>
        <w:adjustRightIn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eastAsia="zh-CN"/>
        </w:rPr>
      </w:pPr>
      <w:bookmarkStart w:id="36" w:name="_Toc23780"/>
      <w:bookmarkStart w:id="37" w:name="_Toc6239"/>
      <w:bookmarkStart w:id="38" w:name="_Toc6314"/>
      <w:bookmarkStart w:id="39" w:name="_Toc24412"/>
      <w:bookmarkStart w:id="40" w:name="_Toc2102"/>
      <w:bookmarkStart w:id="41" w:name="_Toc617"/>
      <w:r>
        <w:rPr>
          <w:rFonts w:hint="eastAsia" w:ascii="楷体_GB2312" w:hAnsi="楷体_GB2312" w:eastAsia="楷体_GB2312" w:cs="楷体_GB2312"/>
          <w:color w:val="auto"/>
          <w:sz w:val="32"/>
          <w:szCs w:val="32"/>
          <w:lang w:eastAsia="zh-CN"/>
        </w:rPr>
        <w:t>（三）编制依据</w:t>
      </w:r>
      <w:bookmarkEnd w:id="36"/>
      <w:bookmarkEnd w:id="37"/>
      <w:bookmarkEnd w:id="38"/>
      <w:bookmarkEnd w:id="39"/>
      <w:bookmarkEnd w:id="40"/>
      <w:bookmarkEnd w:id="41"/>
    </w:p>
    <w:p>
      <w:pPr>
        <w:keepNext w:val="0"/>
        <w:keepLines w:val="0"/>
        <w:pageBreakBefore w:val="0"/>
        <w:widowControl/>
        <w:suppressLineNumbers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1.《湖南省人民代表大会常务委员会关于加快推进生态强省建设的决定》（2018年7月19日湖南省第十三届人民代表大会常务委员会第五次会议通过）；</w:t>
      </w:r>
    </w:p>
    <w:p>
      <w:pPr>
        <w:keepNext w:val="0"/>
        <w:keepLines w:val="0"/>
        <w:pageBreakBefore w:val="0"/>
        <w:widowControl/>
        <w:suppressLineNumbers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2.《中共湖南省委湖南省人民政府关于全面推进乡村振兴加快农业农村现代化的实施意见》（2021年3月7日）；</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bidi="ar"/>
        </w:rPr>
        <w:t>3.《长沙市人民政府关于实施“三线一单”生态环境分区管控的意见》（长政发〔2020〕15号）；</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4.《湖南省人民政府</w:t>
      </w:r>
      <w:r>
        <w:rPr>
          <w:rFonts w:hint="eastAsia" w:ascii="仿宋_GB2312" w:hAnsi="仿宋_GB2312" w:eastAsia="仿宋_GB2312" w:cs="仿宋_GB2312"/>
          <w:color w:val="auto"/>
          <w:kern w:val="0"/>
          <w:sz w:val="32"/>
          <w:szCs w:val="32"/>
          <w:lang w:val="en" w:eastAsia="zh-CN" w:bidi="ar"/>
        </w:rPr>
        <w:t>办公厅</w:t>
      </w:r>
      <w:r>
        <w:rPr>
          <w:rFonts w:hint="eastAsia" w:ascii="仿宋_GB2312" w:hAnsi="仿宋_GB2312" w:eastAsia="仿宋_GB2312" w:cs="仿宋_GB2312"/>
          <w:color w:val="auto"/>
          <w:kern w:val="0"/>
          <w:sz w:val="32"/>
          <w:szCs w:val="32"/>
          <w:lang w:val="en-US" w:eastAsia="zh-CN" w:bidi="ar"/>
        </w:rPr>
        <w:t>关于印发&lt;湖南省“十四五”生态环境保护规划&gt;的通知》（湘政办发〔2021〕61号）；</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5.《中共长沙市委办公厅长沙市人民政府办公厅关于印发&lt;长沙市全面推行林长制实施方案&gt;的通知》（长办〔2021〕30号）；</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kern w:val="2"/>
          <w:sz w:val="32"/>
          <w:szCs w:val="32"/>
          <w:lang w:val="en-US" w:eastAsia="zh-CN" w:bidi="ar"/>
        </w:rPr>
        <w:t>《湖南省生态强省建设规划纲要》（2016-2025）；</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0000FF"/>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7.</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长沙市生态环境保护委员会办公室</w:t>
      </w:r>
      <w:r>
        <w:rPr>
          <w:rFonts w:hint="eastAsia" w:ascii="仿宋_GB2312" w:hAnsi="仿宋_GB2312" w:eastAsia="仿宋_GB2312" w:cs="仿宋_GB2312"/>
          <w:bCs/>
          <w:color w:val="auto"/>
          <w:sz w:val="32"/>
          <w:szCs w:val="32"/>
          <w:lang w:val="en-US" w:eastAsia="zh-CN"/>
        </w:rPr>
        <w:t>关于印发第三批市级生态文明建设示范镇（乡）、村创建工作方案</w:t>
      </w:r>
      <w:r>
        <w:rPr>
          <w:rFonts w:hint="eastAsia" w:ascii="仿宋_GB2312" w:hAnsi="仿宋_GB2312" w:eastAsia="仿宋_GB2312" w:cs="仿宋_GB2312"/>
          <w:bCs/>
          <w:color w:val="auto"/>
          <w:sz w:val="32"/>
          <w:szCs w:val="32"/>
          <w:lang w:eastAsia="zh-CN"/>
        </w:rPr>
        <w:t>的通知》</w:t>
      </w:r>
      <w:r>
        <w:rPr>
          <w:rFonts w:hint="eastAsia" w:ascii="仿宋_GB2312" w:hAnsi="仿宋_GB2312" w:eastAsia="仿宋_GB2312" w:cs="仿宋_GB2312"/>
          <w:bCs/>
          <w:color w:val="auto"/>
          <w:sz w:val="32"/>
          <w:szCs w:val="32"/>
        </w:rPr>
        <w:t>（长环</w:t>
      </w:r>
      <w:r>
        <w:rPr>
          <w:rFonts w:hint="eastAsia" w:ascii="仿宋_GB2312" w:hAnsi="仿宋_GB2312" w:eastAsia="仿宋_GB2312" w:cs="仿宋_GB2312"/>
          <w:bCs/>
          <w:color w:val="auto"/>
          <w:sz w:val="32"/>
          <w:szCs w:val="32"/>
          <w:lang w:eastAsia="zh-CN"/>
        </w:rPr>
        <w:t>委办函</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3〕18</w:t>
      </w:r>
      <w:r>
        <w:rPr>
          <w:rFonts w:hint="eastAsia" w:ascii="仿宋_GB2312" w:hAnsi="仿宋_GB2312" w:eastAsia="仿宋_GB2312" w:cs="仿宋_GB2312"/>
          <w:bCs/>
          <w:color w:val="auto"/>
          <w:sz w:val="32"/>
          <w:szCs w:val="32"/>
        </w:rPr>
        <w:t>号）；</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《长沙市望城区国民经济和社会发展第十四个五年规划和二</w:t>
      </w:r>
      <w:r>
        <w:rPr>
          <w:rFonts w:hint="eastAsia" w:ascii="仿宋_GB2312" w:hAnsi="仿宋_GB2312" w:eastAsia="仿宋_GB2312" w:cs="仿宋_GB2312"/>
          <w:color w:val="auto"/>
          <w:sz w:val="32"/>
          <w:szCs w:val="32"/>
          <w:lang w:val="en-US" w:eastAsia="zh-CN"/>
        </w:rPr>
        <w:t>O</w:t>
      </w:r>
      <w:r>
        <w:rPr>
          <w:rFonts w:hint="eastAsia" w:ascii="仿宋_GB2312" w:hAnsi="仿宋_GB2312" w:eastAsia="仿宋_GB2312" w:cs="仿宋_GB2312"/>
          <w:color w:val="auto"/>
          <w:sz w:val="32"/>
          <w:szCs w:val="32"/>
          <w:lang w:eastAsia="zh-CN"/>
        </w:rPr>
        <w:t>三五年远景目标纲要》；</w:t>
      </w:r>
    </w:p>
    <w:p>
      <w:pPr>
        <w:pageBreakBefore w:val="0"/>
        <w:widowControl/>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
        </w:rPr>
        <w:t>9.《长沙市望城区特色小城镇和特色小村庄建设工作实施方案（2021-2023年）》；</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10.《长沙市望城区“实施乡村建设行动全力推进乡村振兴”三年计划（2021-2023年）》；</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pacing w:val="-11"/>
          <w:sz w:val="32"/>
          <w:szCs w:val="32"/>
          <w:lang w:val="en-US" w:eastAsia="zh-CN"/>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pacing w:val="-11"/>
          <w:sz w:val="32"/>
          <w:szCs w:val="32"/>
          <w:lang w:val="en-US" w:eastAsia="zh-CN"/>
        </w:rPr>
        <w:t>长沙市“十四五”生态环境保护规划》（2021-2025年）；</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pacing w:val="-11"/>
          <w:sz w:val="32"/>
          <w:szCs w:val="32"/>
          <w:lang w:val="en-US" w:eastAsia="zh-CN"/>
        </w:rPr>
        <w:t>望城区“十四五”生态环境保护规划》（2021-2025年）；</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13.</w:t>
      </w:r>
      <w:r>
        <w:rPr>
          <w:rFonts w:hint="eastAsia" w:ascii="仿宋_GB2312" w:hAnsi="仿宋_GB2312" w:eastAsia="仿宋_GB2312" w:cs="仿宋_GB2312"/>
          <w:color w:val="auto"/>
          <w:spacing w:val="-11"/>
          <w:sz w:val="32"/>
          <w:szCs w:val="32"/>
          <w:lang w:val="en-US" w:eastAsia="zh-CN"/>
        </w:rPr>
        <w:t>《望城区农村生活污水治理专项规划》（2016-2030年）；</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14.《望城区“十四五”国土空间发展规划》；</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15. 高塘岭街道的相关规划、图纸等资料；</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16. 高塘岭街道近三年年度政府工作报告、工作总结、工作计划；</w:t>
      </w:r>
    </w:p>
    <w:p>
      <w:pPr>
        <w:pageBreakBefore w:val="0"/>
        <w:kinsoku/>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17. 高塘岭街道提供的其他基础资料及统计数据。</w:t>
      </w:r>
    </w:p>
    <w:bookmarkEnd w:id="22"/>
    <w:p>
      <w:pPr>
        <w:pStyle w:val="5"/>
        <w:pageBreakBefore w:val="0"/>
        <w:tabs>
          <w:tab w:val="clear" w:pos="576"/>
        </w:tabs>
        <w:kinsoku/>
        <w:wordWrap/>
        <w:overflowPunct w:val="0"/>
        <w:topLinePunct w:val="0"/>
        <w:autoSpaceDE w:val="0"/>
        <w:autoSpaceDN w:val="0"/>
        <w:bidi w:val="0"/>
        <w:adjustRightIn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eastAsia="zh-CN"/>
        </w:rPr>
      </w:pPr>
      <w:bookmarkStart w:id="42" w:name="_Toc2111"/>
      <w:bookmarkStart w:id="43" w:name="_Toc18784"/>
      <w:bookmarkStart w:id="44" w:name="_Toc4919"/>
      <w:bookmarkStart w:id="45" w:name="_Toc31081"/>
      <w:bookmarkStart w:id="46" w:name="_Toc17832"/>
      <w:bookmarkStart w:id="47" w:name="_Toc10539"/>
      <w:r>
        <w:rPr>
          <w:rFonts w:hint="eastAsia" w:ascii="楷体_GB2312" w:hAnsi="楷体_GB2312" w:eastAsia="楷体_GB2312" w:cs="楷体_GB2312"/>
          <w:color w:val="auto"/>
          <w:sz w:val="32"/>
          <w:szCs w:val="32"/>
          <w:lang w:eastAsia="zh-CN"/>
        </w:rPr>
        <w:t>（四）实施范围</w:t>
      </w:r>
      <w:bookmarkEnd w:id="42"/>
      <w:bookmarkEnd w:id="43"/>
      <w:bookmarkEnd w:id="44"/>
      <w:bookmarkEnd w:id="45"/>
      <w:bookmarkEnd w:id="46"/>
      <w:bookmarkEnd w:id="47"/>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bookmarkStart w:id="48" w:name="_Toc25054"/>
      <w:bookmarkStart w:id="49" w:name="_Toc28440"/>
      <w:bookmarkStart w:id="50" w:name="_Toc562"/>
      <w:bookmarkStart w:id="51" w:name="_Toc16033"/>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实施方案</w:t>
      </w:r>
      <w:r>
        <w:rPr>
          <w:rFonts w:hint="eastAsia" w:ascii="仿宋_GB2312" w:hAnsi="仿宋_GB2312" w:eastAsia="仿宋_GB2312" w:cs="仿宋_GB2312"/>
          <w:color w:val="auto"/>
          <w:sz w:val="32"/>
          <w:szCs w:val="32"/>
        </w:rPr>
        <w:t>编制的范围为</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所管辖的区域，</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辖</w:t>
      </w:r>
      <w:r>
        <w:rPr>
          <w:rFonts w:hint="eastAsia" w:ascii="仿宋_GB2312" w:hAnsi="仿宋_GB2312" w:eastAsia="仿宋_GB2312" w:cs="仿宋_GB2312"/>
          <w:color w:val="auto"/>
          <w:sz w:val="32"/>
          <w:szCs w:val="32"/>
          <w:lang w:val="en-US" w:eastAsia="zh-CN"/>
        </w:rPr>
        <w:t>23个行政村（社区），辖区总面积为69.07平方公里。</w:t>
      </w:r>
    </w:p>
    <w:p>
      <w:pPr>
        <w:pStyle w:val="5"/>
        <w:pageBreakBefore w:val="0"/>
        <w:tabs>
          <w:tab w:val="clear" w:pos="576"/>
        </w:tabs>
        <w:kinsoku/>
        <w:wordWrap/>
        <w:overflowPunct w:val="0"/>
        <w:topLinePunct w:val="0"/>
        <w:autoSpaceDE w:val="0"/>
        <w:autoSpaceDN w:val="0"/>
        <w:bidi w:val="0"/>
        <w:adjustRightIn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eastAsia="zh-CN"/>
        </w:rPr>
      </w:pPr>
      <w:bookmarkStart w:id="52" w:name="_Toc30720"/>
      <w:bookmarkStart w:id="53" w:name="_Toc20649"/>
      <w:r>
        <w:rPr>
          <w:rFonts w:hint="eastAsia" w:ascii="楷体_GB2312" w:hAnsi="楷体_GB2312" w:eastAsia="楷体_GB2312" w:cs="楷体_GB2312"/>
          <w:color w:val="auto"/>
          <w:sz w:val="32"/>
          <w:szCs w:val="32"/>
          <w:lang w:eastAsia="zh-CN"/>
        </w:rPr>
        <w:t>（五）方案时限</w:t>
      </w:r>
      <w:bookmarkEnd w:id="48"/>
      <w:bookmarkEnd w:id="49"/>
      <w:bookmarkEnd w:id="50"/>
      <w:bookmarkEnd w:id="51"/>
      <w:bookmarkEnd w:id="52"/>
      <w:bookmarkEnd w:id="53"/>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方案实施</w:t>
      </w:r>
      <w:r>
        <w:rPr>
          <w:rFonts w:hint="eastAsia" w:ascii="仿宋_GB2312" w:hAnsi="仿宋_GB2312" w:eastAsia="仿宋_GB2312" w:cs="仿宋_GB2312"/>
          <w:color w:val="auto"/>
          <w:sz w:val="32"/>
          <w:szCs w:val="32"/>
        </w:rPr>
        <w:t>时限为20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年至20</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年，期限为</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年，为</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创建阶段，所有指标达到</w:t>
      </w:r>
      <w:r>
        <w:rPr>
          <w:rFonts w:hint="eastAsia" w:ascii="仿宋_GB2312" w:hAnsi="仿宋_GB2312" w:eastAsia="仿宋_GB2312" w:cs="仿宋_GB2312"/>
          <w:color w:val="auto"/>
          <w:sz w:val="32"/>
          <w:szCs w:val="32"/>
          <w:lang w:eastAsia="zh-CN"/>
        </w:rPr>
        <w:t>生态文明建设示范</w:t>
      </w:r>
      <w:r>
        <w:rPr>
          <w:rFonts w:hint="eastAsia" w:ascii="仿宋_GB2312" w:hAnsi="仿宋_GB2312" w:eastAsia="仿宋_GB2312" w:cs="仿宋_GB2312"/>
          <w:color w:val="auto"/>
          <w:sz w:val="32"/>
          <w:szCs w:val="32"/>
          <w:lang w:val="en-US" w:eastAsia="zh-CN"/>
        </w:rPr>
        <w:t>镇（涉农街道）</w:t>
      </w:r>
      <w:r>
        <w:rPr>
          <w:rFonts w:hint="eastAsia" w:ascii="仿宋_GB2312" w:hAnsi="仿宋_GB2312" w:eastAsia="仿宋_GB2312" w:cs="仿宋_GB2312"/>
          <w:color w:val="auto"/>
          <w:sz w:val="32"/>
          <w:szCs w:val="32"/>
        </w:rPr>
        <w:t>指标要求。</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年，为</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巩固和提高阶段，建成美丽、和谐、幸福</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w:t>
      </w:r>
    </w:p>
    <w:p>
      <w:pPr>
        <w:pStyle w:val="5"/>
        <w:pageBreakBefore w:val="0"/>
        <w:tabs>
          <w:tab w:val="clear" w:pos="576"/>
        </w:tabs>
        <w:kinsoku/>
        <w:wordWrap/>
        <w:overflowPunct w:val="0"/>
        <w:topLinePunct w:val="0"/>
        <w:autoSpaceDE w:val="0"/>
        <w:autoSpaceDN w:val="0"/>
        <w:bidi w:val="0"/>
        <w:adjustRightIn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eastAsia="zh-CN"/>
        </w:rPr>
      </w:pPr>
      <w:bookmarkStart w:id="54" w:name="_Toc18543"/>
      <w:bookmarkStart w:id="55" w:name="_Toc17297"/>
      <w:r>
        <w:rPr>
          <w:rFonts w:hint="eastAsia" w:ascii="楷体_GB2312" w:hAnsi="楷体_GB2312" w:eastAsia="楷体_GB2312" w:cs="楷体_GB2312"/>
          <w:color w:val="auto"/>
          <w:sz w:val="32"/>
          <w:szCs w:val="32"/>
          <w:lang w:val="en-US" w:eastAsia="zh-CN"/>
        </w:rPr>
        <w:t>（六）与其他相关规划的衔接和符合性分析</w:t>
      </w:r>
      <w:bookmarkEnd w:id="54"/>
      <w:bookmarkEnd w:id="55"/>
      <w:r>
        <w:rPr>
          <w:rFonts w:hint="eastAsia" w:ascii="楷体_GB2312" w:hAnsi="楷体_GB2312" w:eastAsia="楷体_GB2312" w:cs="楷体_GB2312"/>
          <w:color w:val="auto"/>
          <w:sz w:val="32"/>
          <w:szCs w:val="32"/>
          <w:lang w:val="en-US" w:eastAsia="zh-CN"/>
        </w:rPr>
        <w:t xml:space="preserve"> </w:t>
      </w:r>
    </w:p>
    <w:p>
      <w:pPr>
        <w:pStyle w:val="6"/>
        <w:pageBreakBefore w:val="0"/>
        <w:numPr>
          <w:ilvl w:val="0"/>
          <w:numId w:val="0"/>
        </w:numPr>
        <w:tabs>
          <w:tab w:val="clear" w:pos="720"/>
        </w:tabs>
        <w:kinsoku/>
        <w:wordWrap/>
        <w:overflowPunct/>
        <w:topLinePunct w:val="0"/>
        <w:autoSpaceDE/>
        <w:autoSpaceDN/>
        <w:bidi w:val="0"/>
        <w:adjustRightInd/>
        <w:spacing w:line="60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1.与《长沙市“十四五”生态环境保护规划（2021-2025年）》的衔接和符合性分析</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长沙市“十四五”生态环境保护规划（2021-2025年）》中提出，要“以乡村振兴为契机，以生态文明建设示范创建为抓手，开展农村人居环境整治提升行动、全面提升农村生态环境质量，打造生态美、村庄美、产业美、风尚美、生活美的“五美乡村”。 </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本次生态文明建设示范街道创建工作是长沙市在“十四五”生态环境保护规划工作中的重要组成部分，本规划是实现打造生态美、村庄美、产业美、风尚美、生活美的“五美”乡村”的重要指导，总的来说，本规划与《长沙市“十四五”生态环境保护规划》保持了良好衔接，符合其总体要求。</w:t>
      </w:r>
    </w:p>
    <w:p>
      <w:pPr>
        <w:pStyle w:val="6"/>
        <w:pageBreakBefore w:val="0"/>
        <w:numPr>
          <w:ilvl w:val="0"/>
          <w:numId w:val="0"/>
        </w:numPr>
        <w:tabs>
          <w:tab w:val="clear" w:pos="720"/>
        </w:tabs>
        <w:kinsoku/>
        <w:wordWrap/>
        <w:overflowPunct/>
        <w:topLinePunct w:val="0"/>
        <w:autoSpaceDE/>
        <w:autoSpaceDN/>
        <w:bidi w:val="0"/>
        <w:adjustRightInd/>
        <w:spacing w:line="600" w:lineRule="exact"/>
        <w:ind w:left="0" w:firstLine="643" w:firstLineChars="200"/>
        <w:jc w:val="both"/>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2.与《望城区“十四五”生态环境保护规划（2021-2025年）》的衔接和符合性分析</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《望城区“十四五”生态环境保护规划（2021-2025年）》中提出，要“持续巩固提升“国家生态文明建设示范区”创建成果、推动国家级生态乡镇、国家级生态村创建”。</w:t>
      </w:r>
    </w:p>
    <w:p>
      <w:pPr>
        <w:pageBreakBefore w:val="0"/>
        <w:kinsoku/>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本次生态文明建设示范街道创建工作是望城区在“十四五”生态环境保护规划工作中的重要组成部分，本规划中部分重点项目也源自《望城区“十四五”生态环境保护规划》中的重点项目，总的来说，本规划与《望城区“十四五”生态环境保护规划》保持了良好衔接，符合其总体要求。</w:t>
      </w:r>
    </w:p>
    <w:p>
      <w:pPr>
        <w:pageBreakBefore w:val="0"/>
        <w:kinsoku/>
        <w:overflowPunct/>
        <w:topLinePunct w:val="0"/>
        <w:autoSpaceDE/>
        <w:autoSpaceDN/>
        <w:bidi w:val="0"/>
        <w:spacing w:line="600" w:lineRule="exact"/>
        <w:jc w:val="both"/>
        <w:outlineLvl w:val="0"/>
        <w:rPr>
          <w:rFonts w:hint="eastAsia" w:ascii="仿宋_GB2312" w:hAnsi="仿宋_GB2312" w:eastAsia="仿宋_GB2312" w:cs="仿宋_GB2312"/>
          <w:b/>
          <w:bCs/>
          <w:color w:val="0000FF"/>
          <w:kern w:val="44"/>
          <w:sz w:val="32"/>
          <w:szCs w:val="32"/>
        </w:rPr>
        <w:sectPr>
          <w:footerReference r:id="rId6"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start="1"/>
          <w:cols w:space="720" w:num="1"/>
          <w:rtlGutter w:val="0"/>
          <w:docGrid w:type="lines" w:linePitch="312" w:charSpace="0"/>
        </w:sectPr>
      </w:pPr>
    </w:p>
    <w:p>
      <w:pPr>
        <w:pageBreakBefore w:val="0"/>
        <w:widowControl w:val="0"/>
        <w:kinsoku/>
        <w:overflowPunct/>
        <w:topLinePunct w:val="0"/>
        <w:autoSpaceDE/>
        <w:autoSpaceDN/>
        <w:bidi w:val="0"/>
        <w:adjustRightInd/>
        <w:snapToGrid/>
        <w:spacing w:line="600" w:lineRule="exact"/>
        <w:ind w:left="0" w:firstLine="640" w:firstLineChars="200"/>
        <w:jc w:val="center"/>
        <w:textAlignment w:val="auto"/>
        <w:outlineLvl w:val="0"/>
        <w:rPr>
          <w:rFonts w:hint="eastAsia" w:ascii="黑体" w:hAnsi="黑体" w:eastAsia="黑体" w:cs="黑体"/>
          <w:b w:val="0"/>
          <w:bCs w:val="0"/>
          <w:color w:val="auto"/>
          <w:kern w:val="44"/>
          <w:sz w:val="32"/>
          <w:szCs w:val="32"/>
        </w:rPr>
      </w:pPr>
      <w:bookmarkStart w:id="56" w:name="_Toc6098"/>
      <w:bookmarkStart w:id="57" w:name="_Toc4540"/>
      <w:bookmarkStart w:id="58" w:name="_Toc9284"/>
      <w:bookmarkStart w:id="59" w:name="_Toc17796"/>
      <w:bookmarkStart w:id="60" w:name="_Toc25908"/>
      <w:bookmarkStart w:id="61" w:name="_Toc17425"/>
      <w:r>
        <w:rPr>
          <w:rFonts w:hint="eastAsia" w:ascii="黑体" w:hAnsi="黑体" w:eastAsia="黑体" w:cs="黑体"/>
          <w:b w:val="0"/>
          <w:bCs w:val="0"/>
          <w:color w:val="auto"/>
          <w:kern w:val="44"/>
          <w:sz w:val="32"/>
          <w:szCs w:val="32"/>
        </w:rPr>
        <w:t>第</w:t>
      </w:r>
      <w:r>
        <w:rPr>
          <w:rFonts w:hint="eastAsia" w:ascii="黑体" w:hAnsi="黑体" w:eastAsia="黑体" w:cs="黑体"/>
          <w:b w:val="0"/>
          <w:bCs w:val="0"/>
          <w:color w:val="auto"/>
          <w:kern w:val="44"/>
          <w:sz w:val="32"/>
          <w:szCs w:val="32"/>
          <w:lang w:eastAsia="zh-CN"/>
        </w:rPr>
        <w:t>二</w:t>
      </w:r>
      <w:r>
        <w:rPr>
          <w:rFonts w:hint="eastAsia" w:ascii="黑体" w:hAnsi="黑体" w:eastAsia="黑体" w:cs="黑体"/>
          <w:b w:val="0"/>
          <w:bCs w:val="0"/>
          <w:color w:val="auto"/>
          <w:kern w:val="44"/>
          <w:sz w:val="32"/>
          <w:szCs w:val="32"/>
        </w:rPr>
        <w:t>章</w:t>
      </w:r>
      <w:r>
        <w:rPr>
          <w:rFonts w:hint="eastAsia" w:ascii="黑体" w:hAnsi="黑体" w:eastAsia="黑体" w:cs="黑体"/>
          <w:b w:val="0"/>
          <w:bCs w:val="0"/>
          <w:color w:val="auto"/>
          <w:kern w:val="44"/>
          <w:sz w:val="32"/>
          <w:szCs w:val="32"/>
          <w:lang w:val="en-US" w:eastAsia="zh-CN"/>
        </w:rPr>
        <w:t xml:space="preserve"> </w:t>
      </w:r>
      <w:r>
        <w:rPr>
          <w:rFonts w:hint="eastAsia" w:ascii="黑体" w:hAnsi="黑体" w:eastAsia="黑体" w:cs="黑体"/>
          <w:b w:val="0"/>
          <w:bCs w:val="0"/>
          <w:color w:val="auto"/>
          <w:kern w:val="44"/>
          <w:sz w:val="32"/>
          <w:szCs w:val="32"/>
        </w:rPr>
        <w:t>区域现状</w:t>
      </w:r>
      <w:bookmarkEnd w:id="56"/>
      <w:bookmarkEnd w:id="57"/>
      <w:bookmarkEnd w:id="58"/>
      <w:bookmarkEnd w:id="59"/>
      <w:bookmarkEnd w:id="60"/>
      <w:bookmarkEnd w:id="61"/>
    </w:p>
    <w:p>
      <w:pPr>
        <w:pStyle w:val="2"/>
        <w:rPr>
          <w:rFonts w:hint="eastAsia"/>
        </w:rPr>
      </w:pPr>
    </w:p>
    <w:p>
      <w:pPr>
        <w:pStyle w:val="5"/>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textAlignment w:val="auto"/>
        <w:rPr>
          <w:rFonts w:hint="eastAsia" w:ascii="楷体_GB2312" w:hAnsi="楷体_GB2312" w:eastAsia="楷体_GB2312" w:cs="楷体_GB2312"/>
          <w:color w:val="auto"/>
          <w:sz w:val="32"/>
          <w:szCs w:val="32"/>
        </w:rPr>
      </w:pPr>
      <w:bookmarkStart w:id="62" w:name="_Toc32139"/>
      <w:bookmarkStart w:id="63" w:name="_Toc30678"/>
      <w:bookmarkStart w:id="64" w:name="_Toc22463"/>
      <w:bookmarkStart w:id="65" w:name="_Toc8492"/>
      <w:bookmarkStart w:id="66" w:name="_Toc6727"/>
      <w:bookmarkStart w:id="67" w:name="_Toc11366"/>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color w:val="auto"/>
          <w:sz w:val="32"/>
          <w:szCs w:val="32"/>
        </w:rPr>
        <w:t>自然地理状况</w:t>
      </w:r>
      <w:bookmarkEnd w:id="62"/>
      <w:bookmarkEnd w:id="63"/>
      <w:bookmarkEnd w:id="64"/>
      <w:bookmarkEnd w:id="65"/>
      <w:bookmarkEnd w:id="66"/>
      <w:bookmarkEnd w:id="67"/>
    </w:p>
    <w:p>
      <w:pPr>
        <w:pStyle w:val="5"/>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textAlignment w:val="auto"/>
        <w:rPr>
          <w:rFonts w:hint="eastAsia" w:ascii="仿宋_GB2312" w:hAnsi="仿宋_GB2312" w:eastAsia="仿宋_GB2312" w:cs="仿宋_GB2312"/>
          <w:color w:val="auto"/>
          <w:sz w:val="32"/>
          <w:szCs w:val="32"/>
          <w:lang w:eastAsia="zh-CN"/>
        </w:rPr>
      </w:pPr>
      <w:bookmarkStart w:id="68" w:name="_Toc4533"/>
      <w:bookmarkStart w:id="69" w:name="_Toc34508502"/>
      <w:bookmarkStart w:id="70" w:name="_Toc491852089"/>
      <w:bookmarkStart w:id="71" w:name="_Toc37400828"/>
      <w:bookmarkStart w:id="72" w:name="_Toc37234087"/>
      <w:bookmarkStart w:id="73" w:name="_Toc2776584"/>
      <w:bookmarkStart w:id="74" w:name="_Toc500168664"/>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地理位置</w:t>
      </w:r>
      <w:bookmarkEnd w:id="68"/>
      <w:bookmarkEnd w:id="69"/>
      <w:bookmarkEnd w:id="70"/>
      <w:bookmarkEnd w:id="71"/>
      <w:bookmarkEnd w:id="72"/>
      <w:bookmarkEnd w:id="73"/>
      <w:bookmarkEnd w:id="74"/>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outlineLvl w:val="9"/>
        <w:rPr>
          <w:rFonts w:hint="eastAsia" w:ascii="仿宋_GB2312" w:hAnsi="仿宋_GB2312" w:eastAsia="仿宋_GB2312" w:cs="仿宋_GB2312"/>
          <w:color w:val="auto"/>
          <w:sz w:val="32"/>
          <w:szCs w:val="32"/>
          <w:lang w:val="en-US" w:eastAsia="zh-CN"/>
        </w:rPr>
      </w:pPr>
      <w:bookmarkStart w:id="75" w:name="_Toc37234088"/>
      <w:bookmarkStart w:id="76" w:name="_Toc37400829"/>
      <w:bookmarkStart w:id="77" w:name="_Toc500168665"/>
      <w:bookmarkStart w:id="78" w:name="_Toc491852090"/>
      <w:bookmarkStart w:id="79" w:name="_Toc2776585"/>
      <w:bookmarkStart w:id="80" w:name="_Toc24650"/>
      <w:bookmarkStart w:id="81" w:name="_Toc34508503"/>
      <w:r>
        <w:rPr>
          <w:rFonts w:hint="eastAsia" w:ascii="仿宋_GB2312" w:hAnsi="仿宋_GB2312" w:eastAsia="仿宋_GB2312" w:cs="仿宋_GB2312"/>
          <w:color w:val="auto"/>
          <w:sz w:val="32"/>
          <w:szCs w:val="32"/>
          <w:lang w:val="en-US" w:eastAsia="zh-CN"/>
        </w:rPr>
        <w:t>高塘岭街道，隶属于湖南省长沙市望城区，位于望城区中部，处湘江下游、洞庭湖平原南缘，距长沙主城区约20公里，为望城区政府所在地。距长沙市委、市政府仅16公里，是望城区政治、经济、文化中心。高塘岭街道区域行政管辖范围面积为69.07平方公里。</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rPr>
        <w:drawing>
          <wp:inline distT="0" distB="0" distL="114300" distR="114300">
            <wp:extent cx="5266055" cy="4098290"/>
            <wp:effectExtent l="0" t="0" r="10795" b="1651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5266055" cy="4098290"/>
                    </a:xfrm>
                    <a:prstGeom prst="rect">
                      <a:avLst/>
                    </a:prstGeom>
                    <a:noFill/>
                    <a:ln w="9525">
                      <a:noFill/>
                    </a:ln>
                  </pic:spPr>
                </pic:pic>
              </a:graphicData>
            </a:graphic>
          </wp:inline>
        </w:drawing>
      </w:r>
    </w:p>
    <w:p>
      <w:pPr>
        <w:pageBreakBefore w:val="0"/>
        <w:kinsoku/>
        <w:overflowPunct/>
        <w:topLinePunct w:val="0"/>
        <w:autoSpaceDE/>
        <w:autoSpaceDN/>
        <w:bidi w:val="0"/>
        <w:spacing w:line="600" w:lineRule="exact"/>
        <w:ind w:left="0" w:firstLine="640" w:firstLineChars="200"/>
        <w:jc w:val="center"/>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高塘岭街道地理位置图</w:t>
      </w:r>
    </w:p>
    <w:bookmarkEnd w:id="75"/>
    <w:bookmarkEnd w:id="76"/>
    <w:bookmarkEnd w:id="77"/>
    <w:bookmarkEnd w:id="78"/>
    <w:bookmarkEnd w:id="79"/>
    <w:bookmarkEnd w:id="80"/>
    <w:bookmarkEnd w:id="81"/>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lang w:eastAsia="zh-CN"/>
        </w:rPr>
        <w:t>气候</w:t>
      </w:r>
    </w:p>
    <w:p>
      <w:pPr>
        <w:pageBreakBefore w:val="0"/>
        <w:kinsoku/>
        <w:overflowPunct/>
        <w:topLinePunct w:val="0"/>
        <w:autoSpaceDE/>
        <w:autoSpaceDN/>
        <w:bidi w:val="0"/>
        <w:adjustRightInd w:val="0"/>
        <w:snapToGrid/>
        <w:spacing w:line="600" w:lineRule="exact"/>
        <w:ind w:left="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高塘岭街道气候温和，属亚热带湿润性季风气候，降水丰富，热量、光照充分，适宜农作物种植。</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lang w:eastAsia="zh-CN"/>
        </w:rPr>
        <w:t>地形地貌</w:t>
      </w:r>
    </w:p>
    <w:p>
      <w:pPr>
        <w:pageBreakBefore w:val="0"/>
        <w:kinsoku/>
        <w:overflowPunct/>
        <w:topLinePunct w:val="0"/>
        <w:autoSpaceDE/>
        <w:autoSpaceDN/>
        <w:bidi w:val="0"/>
        <w:adjustRightInd w:val="0"/>
        <w:snapToGrid/>
        <w:spacing w:line="600" w:lineRule="exact"/>
        <w:ind w:left="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高塘岭街道地势平坦，地形主要为平原。高塘岭街道位于湘江下游，属于河流下游冲击平原地区。</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lang w:eastAsia="zh-CN"/>
        </w:rPr>
        <w:t>水文水系</w:t>
      </w:r>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shd w:val="clear" w:color="auto" w:fill="FFFFFF"/>
          <w:lang w:val="en-US" w:eastAsia="zh-CN"/>
        </w:rPr>
      </w:pPr>
      <w:bookmarkStart w:id="82" w:name="_Toc34508505"/>
      <w:bookmarkStart w:id="83" w:name="_Toc37400831"/>
      <w:bookmarkStart w:id="84" w:name="_Toc500168667"/>
      <w:bookmarkStart w:id="85" w:name="_Toc37234090"/>
      <w:bookmarkStart w:id="86" w:name="_Toc491852092"/>
      <w:bookmarkStart w:id="87" w:name="_Toc2776587"/>
      <w:r>
        <w:rPr>
          <w:rFonts w:hint="eastAsia" w:ascii="仿宋_GB2312" w:hAnsi="仿宋_GB2312" w:eastAsia="仿宋_GB2312" w:cs="仿宋_GB2312"/>
          <w:color w:val="auto"/>
          <w:sz w:val="32"/>
          <w:szCs w:val="32"/>
          <w:shd w:val="clear" w:color="auto" w:fill="FFFFFF"/>
          <w:lang w:val="en-US" w:eastAsia="zh-CN"/>
        </w:rPr>
        <w:t>高塘岭街道水系众多，现有省管河流1条，湘江长9.5公里，市管河流1个；区管河流4条，其中，沩水长1.8公里，老沩水河长12.6公里，八曲河长5.1公里，马桥河长4.2公里。</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lang w:eastAsia="zh-CN"/>
        </w:rPr>
        <w:t>自然物产资源</w:t>
      </w:r>
    </w:p>
    <w:bookmarkEnd w:id="82"/>
    <w:bookmarkEnd w:id="83"/>
    <w:bookmarkEnd w:id="84"/>
    <w:bookmarkEnd w:id="85"/>
    <w:bookmarkEnd w:id="86"/>
    <w:bookmarkEnd w:id="87"/>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lang w:val="en-US" w:eastAsia="zh-CN"/>
        </w:rPr>
      </w:pPr>
      <w:bookmarkStart w:id="88" w:name="_Toc12057"/>
      <w:bookmarkStart w:id="89" w:name="_Toc5282"/>
      <w:bookmarkStart w:id="90" w:name="_Toc4180"/>
      <w:bookmarkStart w:id="91" w:name="_Toc8460"/>
      <w:r>
        <w:rPr>
          <w:rFonts w:hint="eastAsia" w:ascii="仿宋_GB2312" w:hAnsi="仿宋_GB2312" w:eastAsia="仿宋_GB2312" w:cs="仿宋_GB2312"/>
          <w:color w:val="auto"/>
          <w:sz w:val="32"/>
          <w:szCs w:val="32"/>
          <w:lang w:val="en-US" w:eastAsia="zh-CN"/>
        </w:rPr>
        <w:t>高塘岭街道物产丰富，主产稻谷，盛产鲜鱼，美称“鱼米之乡”。街道内植被以亚热带常绿阔叶林为主，树种资源丰富，自然生长和引进栽培树种70科、274种，竹类7种，主要林木有杉、松、樟、椿、柑橘、楠竹等。</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lang w:eastAsia="zh-CN"/>
        </w:rPr>
        <w:t>旅游资源</w:t>
      </w:r>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高塘岭街道内有斑马湖东湖公园和新康戏乡景区特色旅游资源。斑马湖东湖公园是望城区第一个集生态湿地体验、廉政文化、都市休闲、滨水特色为一体的城市水利特色休闲风景区，占地1140亩，水面面积600亩，现成为了望城城市绿心、湿地水质净化系统、海绵城市建设示范区。新康戏乡景区位于湖南省长沙市望城区高塘岭街道新康社区新康戏乡，新康以“戏乡”为品牌，是戏曲天堂。经典戏目《洪兰桂打酒》的原型故事便发生在这里。戏中的主要人物也居住在这里。新康另有环湖游道、脸谱广场、古戏社台、胡记木雕馆、古法酿酒坊、洪山古寺、国内首家戏曲任务蜡像馆，戏画涂鸦等。</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7.交通</w:t>
      </w:r>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高塘岭交通便利，区位优越。境内雷锋大道、高乔大道、雷高公路、金星大道沟通南北，直达市区。境外连接京珠高速、长常高速、319国道、长沙市二环线、三环线、长潭西线高速等交通干道。随着湘江长沙综合枢纽、黄桥大道、潇湘大道北延线、先导区联络线的建成，高塘岭街道跃上更高更广的战略层面，深度融入长沙主城。</w:t>
      </w:r>
    </w:p>
    <w:p>
      <w:pPr>
        <w:pStyle w:val="5"/>
        <w:pageBreakBefore w:val="0"/>
        <w:tabs>
          <w:tab w:val="clear" w:pos="576"/>
        </w:tabs>
        <w:kinsoku/>
        <w:overflowPunct/>
        <w:topLinePunct w:val="0"/>
        <w:autoSpaceDE/>
        <w:autoSpaceDN/>
        <w:bidi w:val="0"/>
        <w:snapToGrid/>
        <w:spacing w:before="0" w:after="0" w:line="600" w:lineRule="exact"/>
        <w:ind w:left="0" w:firstLine="643" w:firstLineChars="200"/>
        <w:jc w:val="both"/>
        <w:rPr>
          <w:rFonts w:hint="eastAsia" w:ascii="楷体_GB2312" w:hAnsi="楷体_GB2312" w:eastAsia="楷体_GB2312" w:cs="楷体_GB2312"/>
          <w:b/>
          <w:bCs/>
          <w:color w:val="auto"/>
          <w:sz w:val="32"/>
          <w:szCs w:val="32"/>
        </w:rPr>
      </w:pPr>
      <w:bookmarkStart w:id="92" w:name="_Toc31044"/>
      <w:bookmarkStart w:id="93" w:name="_Toc8575"/>
      <w:r>
        <w:rPr>
          <w:rFonts w:hint="eastAsia" w:ascii="楷体_GB2312" w:hAnsi="楷体_GB2312" w:eastAsia="楷体_GB2312" w:cs="楷体_GB2312"/>
          <w:b/>
          <w:bCs/>
          <w:color w:val="auto"/>
          <w:sz w:val="32"/>
          <w:szCs w:val="32"/>
          <w:lang w:eastAsia="zh-CN"/>
        </w:rPr>
        <w:t>（二）</w:t>
      </w:r>
      <w:r>
        <w:rPr>
          <w:rFonts w:hint="eastAsia" w:ascii="楷体_GB2312" w:hAnsi="楷体_GB2312" w:eastAsia="楷体_GB2312" w:cs="楷体_GB2312"/>
          <w:b/>
          <w:bCs/>
          <w:color w:val="auto"/>
          <w:sz w:val="32"/>
          <w:szCs w:val="32"/>
        </w:rPr>
        <w:t>社会经济</w:t>
      </w:r>
      <w:r>
        <w:rPr>
          <w:rFonts w:hint="eastAsia" w:ascii="楷体_GB2312" w:hAnsi="楷体_GB2312" w:eastAsia="楷体_GB2312" w:cs="楷体_GB2312"/>
          <w:b/>
          <w:bCs/>
          <w:color w:val="auto"/>
          <w:sz w:val="32"/>
          <w:szCs w:val="32"/>
          <w:lang w:eastAsia="zh-CN"/>
        </w:rPr>
        <w:t>发展</w:t>
      </w:r>
      <w:r>
        <w:rPr>
          <w:rFonts w:hint="eastAsia" w:ascii="楷体_GB2312" w:hAnsi="楷体_GB2312" w:eastAsia="楷体_GB2312" w:cs="楷体_GB2312"/>
          <w:b/>
          <w:bCs/>
          <w:color w:val="auto"/>
          <w:sz w:val="32"/>
          <w:szCs w:val="32"/>
        </w:rPr>
        <w:t>状况</w:t>
      </w:r>
      <w:bookmarkEnd w:id="88"/>
      <w:bookmarkEnd w:id="89"/>
      <w:bookmarkEnd w:id="90"/>
      <w:bookmarkEnd w:id="91"/>
      <w:bookmarkEnd w:id="92"/>
      <w:bookmarkEnd w:id="93"/>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rPr>
      </w:pPr>
      <w:bookmarkStart w:id="94" w:name="_Toc491852094"/>
      <w:bookmarkStart w:id="95" w:name="_Toc15115"/>
      <w:bookmarkStart w:id="96" w:name="_Toc37234094"/>
      <w:bookmarkStart w:id="97" w:name="_Toc37400835"/>
      <w:bookmarkStart w:id="98" w:name="_Toc34508509"/>
      <w:bookmarkStart w:id="99" w:name="_Toc2776594"/>
      <w:bookmarkStart w:id="100" w:name="_Toc500168670"/>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行政区划</w:t>
      </w:r>
      <w:bookmarkEnd w:id="94"/>
      <w:bookmarkEnd w:id="95"/>
      <w:bookmarkEnd w:id="96"/>
      <w:bookmarkEnd w:id="97"/>
      <w:bookmarkEnd w:id="98"/>
      <w:bookmarkEnd w:id="99"/>
      <w:bookmarkEnd w:id="100"/>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0000FF"/>
          <w:sz w:val="32"/>
          <w:szCs w:val="32"/>
          <w:shd w:val="clear" w:color="auto" w:fill="FFFFFF"/>
        </w:rPr>
      </w:pP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行政管辖范围面积为</w:t>
      </w:r>
      <w:r>
        <w:rPr>
          <w:rFonts w:hint="eastAsia" w:ascii="仿宋_GB2312" w:hAnsi="仿宋_GB2312" w:eastAsia="仿宋_GB2312" w:cs="仿宋_GB2312"/>
          <w:color w:val="auto"/>
          <w:sz w:val="32"/>
          <w:szCs w:val="32"/>
          <w:lang w:val="en-US" w:eastAsia="zh-CN"/>
        </w:rPr>
        <w:t>62.07</w:t>
      </w:r>
      <w:r>
        <w:rPr>
          <w:rFonts w:hint="eastAsia" w:ascii="仿宋_GB2312" w:hAnsi="仿宋_GB2312" w:eastAsia="仿宋_GB2312" w:cs="仿宋_GB2312"/>
          <w:color w:val="auto"/>
          <w:sz w:val="32"/>
          <w:szCs w:val="32"/>
        </w:rPr>
        <w:t>平方公里</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辖</w:t>
      </w:r>
      <w:r>
        <w:rPr>
          <w:rFonts w:hint="eastAsia" w:ascii="仿宋_GB2312" w:hAnsi="仿宋_GB2312" w:eastAsia="仿宋_GB2312" w:cs="仿宋_GB2312"/>
          <w:color w:val="auto"/>
          <w:sz w:val="32"/>
          <w:szCs w:val="32"/>
          <w:lang w:val="en-US" w:eastAsia="zh-CN"/>
        </w:rPr>
        <w:t>23个行政村（社区）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2022年高塘岭街道总人口13.2万人，其中城镇人口9.2万人，农村人口4.0万人</w:t>
      </w:r>
      <w:r>
        <w:rPr>
          <w:rFonts w:hint="eastAsia" w:ascii="仿宋_GB2312" w:hAnsi="仿宋_GB2312" w:eastAsia="仿宋_GB2312" w:cs="仿宋_GB2312"/>
          <w:color w:val="auto"/>
          <w:sz w:val="32"/>
          <w:szCs w:val="32"/>
          <w:shd w:val="clear" w:color="auto" w:fill="FFFFFF"/>
        </w:rPr>
        <w:t>。</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rPr>
      </w:pPr>
      <w:bookmarkStart w:id="101" w:name="_Toc34508510"/>
      <w:bookmarkStart w:id="102" w:name="_Toc490"/>
      <w:bookmarkStart w:id="103" w:name="_Toc500168671"/>
      <w:bookmarkStart w:id="104" w:name="_Toc491852095"/>
      <w:bookmarkStart w:id="105" w:name="_Toc2776595"/>
      <w:bookmarkStart w:id="106" w:name="_Toc37400836"/>
      <w:bookmarkStart w:id="107" w:name="_Toc37234095"/>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社会经济结构状况</w:t>
      </w:r>
      <w:bookmarkEnd w:id="101"/>
      <w:bookmarkEnd w:id="102"/>
      <w:bookmarkEnd w:id="103"/>
      <w:bookmarkEnd w:id="104"/>
      <w:bookmarkEnd w:id="105"/>
      <w:bookmarkEnd w:id="106"/>
      <w:bookmarkEnd w:id="107"/>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近年来，高塘岭街道用“打造滨水新城区，建设幸福高塘岭”的发展战略谋篇求进，城市化水平日趋提升，城市要素快速集聚，交通干道纵横交织，大型楼盘星罗棋布，工业经济稳健发力，商贸流通活力涌流，都市农业生机盎然，宜居亮点渐次凸显，幸福指数节节攀升。</w:t>
      </w:r>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2022年，高塘岭街道的三产结构比例约为3:3:4。全街道完成财税收入13.6亿元；规模工业总产值全年完成13.5亿元；固定资产投资全年完成7.25亿元；全年新增“四上”企业12家；财政“四上”企业引进16家。其他营利性服务业营收全年完成27亿元。街道统计站被评为长沙市乡镇街道统计站点目标管理综合考评一类单位，荣获长沙市五星级统计站。村（社区）集体经济总收入1090.03万元，其中经营性收入总计251.14万元。总收入达50万元且经营性收入达10万元的村（社区）6个。</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rPr>
      </w:pPr>
      <w:bookmarkStart w:id="108" w:name="_Toc34508511"/>
      <w:bookmarkStart w:id="109" w:name="_Toc24234"/>
      <w:bookmarkStart w:id="110" w:name="_Toc491852096"/>
      <w:bookmarkStart w:id="111" w:name="_Toc37400837"/>
      <w:bookmarkStart w:id="112" w:name="_Toc37234096"/>
      <w:bookmarkStart w:id="113" w:name="_Toc2776596"/>
      <w:bookmarkStart w:id="114" w:name="_Toc500168672"/>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基础设施概况</w:t>
      </w:r>
      <w:bookmarkEnd w:id="108"/>
      <w:bookmarkEnd w:id="109"/>
      <w:bookmarkEnd w:id="110"/>
      <w:bookmarkEnd w:id="111"/>
      <w:bookmarkEnd w:id="112"/>
      <w:bookmarkEnd w:id="113"/>
      <w:bookmarkEnd w:id="114"/>
    </w:p>
    <w:p>
      <w:pPr>
        <w:keepNext w:val="0"/>
        <w:keepLines w:val="0"/>
        <w:pageBreakBefore w:val="0"/>
        <w:widowControl/>
        <w:suppressLineNumbers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b w:val="0"/>
          <w:bCs w:val="0"/>
          <w:color w:val="auto"/>
          <w:kern w:val="2"/>
          <w:sz w:val="32"/>
          <w:szCs w:val="32"/>
          <w:shd w:val="clear" w:color="auto" w:fill="FFFFFF"/>
          <w:lang w:val="en-US" w:eastAsia="zh-CN" w:bidi="ar-SA"/>
        </w:rPr>
      </w:pPr>
      <w:r>
        <w:rPr>
          <w:rFonts w:hint="eastAsia" w:ascii="仿宋_GB2312" w:hAnsi="仿宋_GB2312" w:eastAsia="仿宋_GB2312" w:cs="仿宋_GB2312"/>
          <w:b w:val="0"/>
          <w:bCs w:val="0"/>
          <w:color w:val="auto"/>
          <w:kern w:val="2"/>
          <w:sz w:val="32"/>
          <w:szCs w:val="32"/>
          <w:shd w:val="clear" w:color="auto" w:fill="FFFFFF"/>
          <w:lang w:val="en-US" w:eastAsia="zh-CN" w:bidi="ar-SA"/>
        </w:rPr>
        <w:t>高塘岭街道按照生态美、村庄美、产业美、生活美、风尚美“五美”要求，以营造“干净、整洁、优美、舒适”农村人居环境为抓手，广泛发动村民参与，创建美丽宜居村庄13个，其中湘江村谭落湖、同心园获评长沙市精品示范型美丽宜居村庄。望城区人民医院新院、信息职业技术学院新校区、宝粮小学等一批重点项目拔地而起，红旺小区等完成提质改造并绽放新颜，背街小巷绿化亮化进一步完善，史家湖路、马桥路等项目顺利签约清零，西塘街社区获“国家级充分就业社区”、望府路社区获“湖南省先进基层群众性自治社区”，“共建共治共享”基层治理新格局加速形成。2022年高塘岭街道高标准建设完成8处党建示范点、4处党群服务中心、2处红色之家、6处雷锋驿站新建，数量居全区之首。</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rPr>
      </w:pPr>
      <w:bookmarkStart w:id="115" w:name="_Toc9342"/>
      <w:bookmarkStart w:id="116" w:name="_Toc491852097"/>
      <w:bookmarkStart w:id="117" w:name="_Toc34508512"/>
      <w:bookmarkStart w:id="118" w:name="_Toc500168673"/>
      <w:bookmarkStart w:id="119" w:name="_Toc37234097"/>
      <w:bookmarkStart w:id="120" w:name="_Toc2776597"/>
      <w:bookmarkStart w:id="121" w:name="_Toc37400838"/>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城乡发展状况</w:t>
      </w:r>
      <w:bookmarkEnd w:id="115"/>
      <w:bookmarkEnd w:id="116"/>
      <w:bookmarkEnd w:id="117"/>
      <w:bookmarkEnd w:id="118"/>
      <w:bookmarkEnd w:id="119"/>
      <w:bookmarkEnd w:id="120"/>
      <w:bookmarkEnd w:id="121"/>
    </w:p>
    <w:p>
      <w:pPr>
        <w:pageBreakBefore w:val="0"/>
        <w:widowControl w:val="0"/>
        <w:numPr>
          <w:ilvl w:val="0"/>
          <w:numId w:val="0"/>
        </w:numPr>
        <w:kinsoku/>
        <w:overflowPunct/>
        <w:topLinePunct w:val="0"/>
        <w:autoSpaceDE/>
        <w:autoSpaceDN/>
        <w:bidi w:val="0"/>
        <w:snapToGrid/>
        <w:spacing w:line="600" w:lineRule="exact"/>
        <w:ind w:left="0" w:leftChars="0" w:firstLine="640" w:firstLineChars="200"/>
        <w:jc w:val="both"/>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高塘岭街道以“书记工程、闪亮工程”为抓手，街社3600余名党员下沉到各网格主动亮身份、当先锋、作表率，广泛参与文明创建等工作，力促乡村振兴深入推进。基层党建工作亮点纷呈，湘江村“党建引领服务提升”集体经济案例在学习强国推介，湘陵社区“红色管家”参选市级精品党课评选，中南社区“六邻工作法”、月圆村“党建引领院士农业”、望府路社区“望府红盟汇”及东湖路社区“党员包楼栋”工作方法得到红星网、长沙党建等省市重要媒体宣传报道。常态化推进生态文明创建，街道交办村（社区）环境卫生乱象、垃圾分类问题4800余处，开展集中清扫1100余场，人居环境整体水平大幅提升。狠抓“三市一街”、主城区城市社区、主干道等关键环节综合整治，顺利通过文明创建省检验收，获评省级文明单位。</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rPr>
      </w:pPr>
      <w:bookmarkStart w:id="122" w:name="_Toc2776598"/>
      <w:bookmarkStart w:id="123" w:name="_Toc11827"/>
      <w:bookmarkStart w:id="124" w:name="_Toc500168674"/>
      <w:bookmarkStart w:id="125" w:name="_Toc37400839"/>
      <w:bookmarkStart w:id="126" w:name="_Toc34508513"/>
      <w:bookmarkStart w:id="127" w:name="_Toc491852098"/>
      <w:bookmarkStart w:id="128" w:name="_Toc37234098"/>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社会事业发展状况</w:t>
      </w:r>
      <w:bookmarkEnd w:id="122"/>
      <w:bookmarkEnd w:id="123"/>
      <w:bookmarkEnd w:id="124"/>
      <w:bookmarkEnd w:id="125"/>
      <w:bookmarkEnd w:id="126"/>
      <w:bookmarkEnd w:id="127"/>
      <w:bookmarkEnd w:id="128"/>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高塘岭街道坚持保就业为先原则，职业培训312人，组织300人参加各级招聘会，实现就业50人；311服务总人数1626人，服务总次数6272次，推荐岗位次数4154人次，职业指导2060人次。积极开展安全生产专项整治行动，上半年未发生一起安全生产和食品安全责任事故。推动公共服务事项应进必进，为群众提供项目齐全、标准统一、便捷高效的公共服务，上半年实现“一网通办”项目即办覆盖率达到69.87%，办件量达241件。将12345政务热线、网格化管理和“街镇吹哨、部门报到”三项中心工作无缝融合一体化运行，相互联动、共融推进。加强网格员巡查走访，针对群众反映的热点难点问题，积极采集“哨源”，及时吹响“雷锋哨”，及时解决群众身边问题，积极营造“有事就找网格员”的良好工作氛围。今年第二季度街道“雷锋哨”共计采集哨单1500余次，排名全区第一。</w:t>
      </w:r>
    </w:p>
    <w:p>
      <w:pPr>
        <w:pStyle w:val="5"/>
        <w:pageBreakBefore w:val="0"/>
        <w:tabs>
          <w:tab w:val="clear" w:pos="576"/>
        </w:tabs>
        <w:kinsoku/>
        <w:wordWrap/>
        <w:overflowPunct/>
        <w:topLinePunct w:val="0"/>
        <w:autoSpaceDE/>
        <w:autoSpaceDN/>
        <w:bidi w:val="0"/>
        <w:snapToGrid/>
        <w:spacing w:before="0" w:after="0" w:line="600" w:lineRule="exact"/>
        <w:ind w:left="0" w:firstLine="643" w:firstLineChars="200"/>
        <w:jc w:val="both"/>
        <w:rPr>
          <w:rFonts w:hint="eastAsia" w:ascii="楷体_GB2312" w:hAnsi="楷体_GB2312" w:eastAsia="楷体_GB2312" w:cs="楷体_GB2312"/>
          <w:color w:val="auto"/>
          <w:sz w:val="32"/>
          <w:szCs w:val="32"/>
          <w:lang w:val="en-US" w:eastAsia="zh-CN"/>
        </w:rPr>
      </w:pPr>
      <w:bookmarkStart w:id="129" w:name="_Toc13610"/>
      <w:bookmarkStart w:id="130" w:name="_Toc17520"/>
      <w:r>
        <w:rPr>
          <w:rFonts w:hint="eastAsia" w:ascii="楷体_GB2312" w:hAnsi="楷体_GB2312" w:eastAsia="楷体_GB2312" w:cs="楷体_GB2312"/>
          <w:color w:val="auto"/>
          <w:sz w:val="32"/>
          <w:szCs w:val="32"/>
          <w:lang w:eastAsia="zh-CN"/>
        </w:rPr>
        <w:t>（三）</w:t>
      </w:r>
      <w:r>
        <w:rPr>
          <w:rFonts w:hint="eastAsia" w:ascii="楷体_GB2312" w:hAnsi="楷体_GB2312" w:eastAsia="楷体_GB2312" w:cs="楷体_GB2312"/>
          <w:color w:val="auto"/>
          <w:sz w:val="32"/>
          <w:szCs w:val="32"/>
          <w:lang w:val="en-US" w:eastAsia="zh-CN"/>
        </w:rPr>
        <w:t>创建基础</w:t>
      </w:r>
      <w:bookmarkEnd w:id="129"/>
      <w:bookmarkEnd w:id="130"/>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kern w:val="0"/>
          <w:sz w:val="32"/>
          <w:szCs w:val="32"/>
          <w:lang w:val="en-US" w:eastAsia="zh-CN" w:bidi="ar"/>
        </w:rPr>
      </w:pPr>
      <w:bookmarkStart w:id="131" w:name="_Toc19671"/>
      <w:bookmarkStart w:id="132" w:name="_Toc21273"/>
      <w:bookmarkStart w:id="133" w:name="_Toc13078"/>
      <w:bookmarkStart w:id="134" w:name="_Toc9765"/>
      <w:r>
        <w:rPr>
          <w:rFonts w:hint="eastAsia" w:ascii="仿宋_GB2312" w:hAnsi="仿宋_GB2312" w:eastAsia="仿宋_GB2312" w:cs="仿宋_GB2312"/>
          <w:color w:val="auto"/>
          <w:kern w:val="0"/>
          <w:sz w:val="32"/>
          <w:szCs w:val="32"/>
          <w:lang w:val="en-US" w:eastAsia="zh-CN" w:bidi="ar"/>
        </w:rPr>
        <w:t>高塘岭街道在区委、区政府的坚强领导下，团结和依靠全街道广大干部及群众，始终围绕打造“精致靓丽、生态秀美、繁荣兴盛、富裕幸福”高塘岭的目标定位，美丽宜居村庄建设、现代农业发展、农文旅融合等工作多头推进，具有较好的生态文明创建基础。</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lang w:val="en-US" w:eastAsia="zh-CN"/>
        </w:rPr>
        <w:t>1.</w:t>
      </w:r>
      <w:r>
        <w:rPr>
          <w:rFonts w:hint="eastAsia" w:ascii="仿宋_GB2312" w:hAnsi="仿宋_GB2312" w:eastAsia="仿宋_GB2312" w:cs="仿宋_GB2312"/>
          <w:b/>
          <w:bCs/>
          <w:color w:val="auto"/>
          <w:kern w:val="0"/>
          <w:sz w:val="32"/>
          <w:szCs w:val="32"/>
        </w:rPr>
        <w:t>领导高度重视，生态创建基础扎实</w:t>
      </w:r>
    </w:p>
    <w:p>
      <w:pPr>
        <w:pageBreakBefore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0000FF"/>
          <w:kern w:val="0"/>
          <w:sz w:val="32"/>
          <w:szCs w:val="32"/>
          <w:lang w:val="en-US" w:eastAsia="zh-CN" w:bidi="ar"/>
        </w:rPr>
      </w:pP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历来重视生态文明建设，始终坚持把加快生态文明建设作为经济社会发展的重要任务，加快实施可持续发展、建设生态文明的发展战略已成为</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各领导的共识。</w:t>
      </w:r>
      <w:r>
        <w:rPr>
          <w:rFonts w:hint="eastAsia" w:ascii="仿宋_GB2312" w:hAnsi="仿宋_GB2312" w:eastAsia="仿宋_GB2312" w:cs="仿宋_GB2312"/>
          <w:color w:val="auto"/>
          <w:kern w:val="0"/>
          <w:sz w:val="32"/>
          <w:szCs w:val="32"/>
          <w:lang w:val="en-US" w:eastAsia="zh-CN" w:bidi="ar"/>
        </w:rPr>
        <w:t>高塘岭街道积极申报各项荣誉，以荣誉争创作为推进实施各项工作的重要抓手，在全街道范围内形成了良好的争创氛围和工作基础。高塘岭街道先后荣获两届中国“乡镇之星”、全国文明村镇、国家级生态乡镇、湖南省创新创业示范街道、湖南省安全发展工作示范单位、长沙市十强乡镇（街道）。</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0000FF"/>
          <w:kern w:val="0"/>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2.产业发展形势向好</w:t>
      </w:r>
    </w:p>
    <w:p>
      <w:pPr>
        <w:pageBreakBefore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以党建引领推动产业转型。</w:t>
      </w:r>
      <w:r>
        <w:rPr>
          <w:rFonts w:hint="eastAsia" w:ascii="仿宋_GB2312" w:hAnsi="仿宋_GB2312" w:eastAsia="仿宋_GB2312" w:cs="仿宋_GB2312"/>
          <w:color w:val="auto"/>
          <w:sz w:val="32"/>
          <w:szCs w:val="32"/>
          <w:shd w:val="clear" w:color="auto" w:fill="FFFFFF"/>
          <w:lang w:val="en-US" w:eastAsia="zh-CN"/>
        </w:rPr>
        <w:t>高塘岭街道通过不断完善村级经济合作社运作，始终紧扣“党建强村、产业富村”“一村庄一规划、一村庄一蓝图”理念，大力推广“党建+乡村振兴”“党支部+合作社+农户”等模式，引导街道传统产业转型升级，奔向绿色农业、旅游结合的道路。</w:t>
      </w:r>
    </w:p>
    <w:p>
      <w:pPr>
        <w:pStyle w:val="2"/>
        <w:pageBreakBefore w:val="0"/>
        <w:kinsoku/>
        <w:overflowPunct/>
        <w:topLinePunct w:val="0"/>
        <w:autoSpaceDE/>
        <w:autoSpaceDN/>
        <w:bidi w:val="0"/>
        <w:snapToGrid/>
        <w:spacing w:after="0" w:line="600" w:lineRule="exact"/>
        <w:ind w:left="0" w:firstLine="643" w:firstLineChars="200"/>
        <w:jc w:val="both"/>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b/>
          <w:bCs/>
          <w:color w:val="auto"/>
          <w:kern w:val="2"/>
          <w:sz w:val="32"/>
          <w:szCs w:val="32"/>
          <w:shd w:val="clear" w:color="auto" w:fill="FFFFFF"/>
          <w:lang w:val="en-US" w:eastAsia="zh-CN" w:bidi="ar-SA"/>
        </w:rPr>
        <w:t>乡村振兴亮点纷呈。</w:t>
      </w:r>
      <w:r>
        <w:rPr>
          <w:rFonts w:hint="eastAsia" w:ascii="仿宋_GB2312" w:hAnsi="仿宋_GB2312" w:eastAsia="仿宋_GB2312" w:cs="仿宋_GB2312"/>
          <w:color w:val="auto"/>
          <w:kern w:val="2"/>
          <w:sz w:val="32"/>
          <w:szCs w:val="32"/>
          <w:shd w:val="clear" w:color="auto" w:fill="FFFFFF"/>
          <w:lang w:val="en-US" w:eastAsia="zh-CN" w:bidi="ar-SA"/>
        </w:rPr>
        <w:t>扎根月圆村的院士项目“镉低积累水稻新品种”喜获成功，湘江村获“长沙市抓党建促乡村振兴示范村”，全省首个无人农场提标扩面，新阳村获评市级文明村，13个美丽宜居村庄宜居宜游，美丽经济蓬勃发展。</w:t>
      </w:r>
    </w:p>
    <w:p>
      <w:pPr>
        <w:pStyle w:val="2"/>
        <w:pageBreakBefore w:val="0"/>
        <w:kinsoku/>
        <w:overflowPunct/>
        <w:topLinePunct w:val="0"/>
        <w:autoSpaceDE/>
        <w:autoSpaceDN/>
        <w:bidi w:val="0"/>
        <w:snapToGrid/>
        <w:spacing w:after="0" w:line="600" w:lineRule="exact"/>
        <w:ind w:left="0" w:firstLine="643" w:firstLineChars="200"/>
        <w:jc w:val="both"/>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b/>
          <w:bCs/>
          <w:color w:val="auto"/>
          <w:kern w:val="2"/>
          <w:sz w:val="32"/>
          <w:szCs w:val="32"/>
          <w:shd w:val="clear" w:color="auto" w:fill="FFFFFF"/>
          <w:lang w:val="en-US" w:eastAsia="zh-CN" w:bidi="ar-SA"/>
        </w:rPr>
        <w:t>城市品质加速蝶变。</w:t>
      </w:r>
      <w:r>
        <w:rPr>
          <w:rFonts w:hint="eastAsia" w:ascii="仿宋_GB2312" w:hAnsi="仿宋_GB2312" w:eastAsia="仿宋_GB2312" w:cs="仿宋_GB2312"/>
          <w:color w:val="auto"/>
          <w:kern w:val="2"/>
          <w:sz w:val="32"/>
          <w:szCs w:val="32"/>
          <w:shd w:val="clear" w:color="auto" w:fill="FFFFFF"/>
          <w:lang w:val="en-US" w:eastAsia="zh-CN" w:bidi="ar-SA"/>
        </w:rPr>
        <w:t>望城区人民医院新院、信息职业技术学院新校区、宝粮小学等一批重点项目拔地而起，红旺小区等完成提质改造并绽放新颜，背街小巷绿化亮化进一步完善，史家湖路、马桥路等项目顺利签约清零，西塘街社区获“国家级充分就业社区”、望府路社区获“湖南省先进基层群众性自治社区”，“共建共治共享”基层治理新格局加速形成。</w:t>
      </w:r>
    </w:p>
    <w:p>
      <w:pPr>
        <w:pStyle w:val="6"/>
        <w:pageBreakBefore w:val="0"/>
        <w:widowControl/>
        <w:numPr>
          <w:ilvl w:val="0"/>
          <w:numId w:val="0"/>
        </w:numPr>
        <w:tabs>
          <w:tab w:val="left" w:pos="420"/>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0"/>
          <w:sz w:val="32"/>
          <w:szCs w:val="32"/>
          <w:lang w:val="en-US"/>
        </w:rPr>
      </w:pPr>
      <w:r>
        <w:rPr>
          <w:rFonts w:hint="eastAsia" w:ascii="仿宋_GB2312" w:hAnsi="仿宋_GB2312" w:eastAsia="仿宋_GB2312" w:cs="仿宋_GB2312"/>
          <w:color w:val="auto"/>
          <w:kern w:val="0"/>
          <w:sz w:val="32"/>
          <w:szCs w:val="32"/>
          <w:lang w:val="en-US" w:eastAsia="zh-CN"/>
        </w:rPr>
        <w:t>3.营造</w:t>
      </w:r>
      <w:r>
        <w:rPr>
          <w:rFonts w:hint="eastAsia" w:ascii="仿宋_GB2312" w:hAnsi="仿宋_GB2312" w:eastAsia="仿宋_GB2312" w:cs="仿宋_GB2312"/>
          <w:b/>
          <w:bCs/>
          <w:color w:val="auto"/>
          <w:kern w:val="0"/>
          <w:sz w:val="32"/>
          <w:szCs w:val="32"/>
          <w:lang w:val="en-US" w:eastAsia="zh-CN"/>
        </w:rPr>
        <w:t>农业绿色发展氛围</w:t>
      </w:r>
    </w:p>
    <w:p>
      <w:pPr>
        <w:keepNext w:val="0"/>
        <w:keepLines w:val="0"/>
        <w:pageBreakBefore w:val="0"/>
        <w:widowControl w:val="0"/>
        <w:shd w:val="clear" w:color="auto" w:fill="auto"/>
        <w:kinsoku/>
        <w:wordWrap/>
        <w:overflowPunct/>
        <w:topLinePunct w:val="0"/>
        <w:autoSpaceDE/>
        <w:autoSpaceDN/>
        <w:bidi w:val="0"/>
        <w:adjustRightInd/>
        <w:snapToGrid/>
        <w:spacing w:line="600" w:lineRule="exact"/>
        <w:ind w:left="0" w:right="0" w:firstLine="643"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kern w:val="2"/>
          <w:sz w:val="32"/>
          <w:szCs w:val="32"/>
          <w:lang w:val="en-US" w:eastAsia="zh-CN" w:bidi="ar"/>
        </w:rPr>
        <w:t>农药、化肥施用强度逐年下降。</w:t>
      </w:r>
      <w:r>
        <w:rPr>
          <w:rFonts w:hint="eastAsia" w:ascii="仿宋_GB2312" w:hAnsi="仿宋_GB2312" w:eastAsia="仿宋_GB2312" w:cs="仿宋_GB2312"/>
          <w:b w:val="0"/>
          <w:bCs w:val="0"/>
          <w:color w:val="auto"/>
          <w:spacing w:val="0"/>
          <w:w w:val="100"/>
          <w:kern w:val="2"/>
          <w:position w:val="0"/>
          <w:sz w:val="32"/>
          <w:szCs w:val="32"/>
          <w:shd w:val="clear" w:color="auto" w:fill="auto"/>
          <w:lang w:val="en-US" w:eastAsia="zh-CN" w:bidi="ar-SA"/>
        </w:rPr>
        <w:t>高塘岭街道农业以水稻为主，2022年，高塘岭街道协助举办第24届中国科协年会“院士专家科技志愿服务基层行”走进月圆村水稻产业直播活动，中国工程院院士柏连阳带科研团队莅临现场指导。在农药施用中，充分抓住水稻虫害发生规律的薄弱环节进行施药，农户尽可能采用最低浓度和最少农药次数来达到最理想的效果。近年来，高塘岭街道通过推广使用低毒、高、低残留或无残留的新型农药和生物农药，提高水稻用药水平，实现农药施用强度逐年下降。水稻施肥既要满足需求，又要以经济用肥为原则，根据水稻施肥的特点，高塘岭街道按照上级化肥减量施用行动方案要求，在减少不合理的化肥情况下，通过全面推进测土配方施肥工作，推进精准施肥，减少盲目施肥行为。鼓励农户积极开展有机肥替代化肥，改变施肥方式，提高肥料利用率，增加作物产量，提高产品的品质，实现化肥施用强度逐年下降。</w:t>
      </w:r>
    </w:p>
    <w:p>
      <w:pPr>
        <w:keepNext w:val="0"/>
        <w:keepLines w:val="0"/>
        <w:pageBreakBefore w:val="0"/>
        <w:widowControl w:val="0"/>
        <w:suppressLineNumbers w:val="0"/>
        <w:kinsoku/>
        <w:overflowPunct/>
        <w:topLinePunct w:val="0"/>
        <w:autoSpaceDE/>
        <w:autoSpaceDN/>
        <w:bidi w:val="0"/>
        <w:snapToGrid/>
        <w:spacing w:beforeAutospacing="0" w:afterAutospacing="0" w:line="600" w:lineRule="exact"/>
        <w:ind w:left="0" w:right="0" w:firstLine="643" w:firstLineChars="200"/>
        <w:jc w:val="both"/>
        <w:rPr>
          <w:rFonts w:hint="eastAsia" w:ascii="仿宋_GB2312" w:hAnsi="仿宋_GB2312" w:eastAsia="仿宋_GB2312" w:cs="仿宋_GB2312"/>
          <w:b w:val="0"/>
          <w:bCs w:val="0"/>
          <w:color w:val="auto"/>
          <w:kern w:val="2"/>
          <w:sz w:val="32"/>
          <w:szCs w:val="32"/>
          <w:lang w:val="en-US" w:eastAsia="zh-CN" w:bidi="ar"/>
        </w:rPr>
      </w:pPr>
      <w:r>
        <w:rPr>
          <w:rFonts w:hint="eastAsia" w:ascii="仿宋_GB2312" w:hAnsi="仿宋_GB2312" w:eastAsia="仿宋_GB2312" w:cs="仿宋_GB2312"/>
          <w:b/>
          <w:bCs/>
          <w:color w:val="auto"/>
          <w:kern w:val="2"/>
          <w:sz w:val="32"/>
          <w:szCs w:val="32"/>
          <w:lang w:val="en-US" w:eastAsia="zh-CN" w:bidi="ar"/>
        </w:rPr>
        <w:t>大力发展生态有机农业。</w:t>
      </w:r>
      <w:r>
        <w:rPr>
          <w:rFonts w:hint="eastAsia" w:ascii="仿宋_GB2312" w:hAnsi="仿宋_GB2312" w:eastAsia="仿宋_GB2312" w:cs="仿宋_GB2312"/>
          <w:b w:val="0"/>
          <w:bCs w:val="0"/>
          <w:color w:val="auto"/>
          <w:kern w:val="2"/>
          <w:sz w:val="32"/>
          <w:szCs w:val="32"/>
          <w:lang w:val="en-US" w:eastAsia="zh-CN" w:bidi="ar"/>
        </w:rPr>
        <w:t>高塘岭街道依托优越的生态资源和特色农业产业条件，强化政府扶持力度，积极开展有机、绿色或地理标志农产品认证。以乡村振兴为契机，打通农企双方供需网，做好宝丰农业与农户“双边帮扶”工作，解决好企业“买菜”难与农户“卖菜”苦的矛盾，让特色优质农产品走入“大众消费圈”，也让宝丰农业旗下餐饮品牌增加纯正的“乡里味道”。延伸“农户出物资、企业出团队”的销售链条，逐步形成企业品牌响、农户增收富的良好局面。</w:t>
      </w:r>
    </w:p>
    <w:p>
      <w:pPr>
        <w:keepNext w:val="0"/>
        <w:keepLines w:val="0"/>
        <w:pageBreakBefore w:val="0"/>
        <w:widowControl w:val="0"/>
        <w:suppressLineNumbers w:val="0"/>
        <w:kinsoku/>
        <w:overflowPunct/>
        <w:topLinePunct w:val="0"/>
        <w:autoSpaceDE/>
        <w:autoSpaceDN/>
        <w:bidi w:val="0"/>
        <w:snapToGrid/>
        <w:spacing w:beforeAutospacing="0" w:afterAutospacing="0" w:line="600" w:lineRule="exact"/>
        <w:ind w:left="0" w:right="0" w:firstLine="643" w:firstLineChars="2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kern w:val="2"/>
          <w:sz w:val="32"/>
          <w:szCs w:val="32"/>
          <w:lang w:val="en-US" w:eastAsia="zh-CN" w:bidi="ar"/>
        </w:rPr>
        <w:t>全民参与秸秆禁烧。</w:t>
      </w:r>
      <w:r>
        <w:rPr>
          <w:rFonts w:hint="eastAsia" w:ascii="仿宋_GB2312" w:hAnsi="仿宋_GB2312" w:eastAsia="仿宋_GB2312" w:cs="仿宋_GB2312"/>
          <w:color w:val="auto"/>
          <w:sz w:val="32"/>
          <w:szCs w:val="32"/>
          <w:lang w:val="en-US" w:eastAsia="zh-CN"/>
        </w:rPr>
        <w:t>高塘岭街道组织街道内党员骨干，同话振兴、共谋发展，探索出引进秸秆粉碎回收生产线、配强生产技术工艺，发展秸秆生物肥制作，实现“变废为宝”的系列新方法。深加工后形成的生物肥料，继续返销给龙头企业用于循环生产。创新的产业服务方式，既解决了秸秆处理、种植肥料的矛盾，又给集体经济发展、村民就业带来了机遇。同时，</w:t>
      </w:r>
      <w:r>
        <w:rPr>
          <w:rFonts w:hint="eastAsia" w:ascii="仿宋_GB2312" w:hAnsi="仿宋_GB2312" w:eastAsia="仿宋_GB2312" w:cs="仿宋_GB2312"/>
          <w:color w:val="auto"/>
          <w:kern w:val="2"/>
          <w:sz w:val="32"/>
          <w:szCs w:val="32"/>
          <w:lang w:val="en-US" w:eastAsia="zh-CN" w:bidi="ar"/>
        </w:rPr>
        <w:t>通过发放宣传手册、宣传车、村村响、党建平台等，宣传禁烧工作，宣传环保法律法规，大力宣传综合利用的好典型、好经验、好作法，不断提高农民群众的认识程度和利用的积极性、自觉性、创造性，同时加强社会监督，鼓励和支持公众举报焚烧行为。通过宣传教育，在全街道形成全民参与综合利用，全民参与禁烧活动的良好局面。</w:t>
      </w:r>
    </w:p>
    <w:p>
      <w:pPr>
        <w:keepNext w:val="0"/>
        <w:keepLines w:val="0"/>
        <w:pageBreakBefore w:val="0"/>
        <w:widowControl w:val="0"/>
        <w:suppressLineNumbers w:val="0"/>
        <w:kinsoku/>
        <w:overflowPunct/>
        <w:topLinePunct w:val="0"/>
        <w:autoSpaceDE/>
        <w:autoSpaceDN/>
        <w:bidi w:val="0"/>
        <w:snapToGrid/>
        <w:spacing w:beforeAutospacing="0" w:afterAutospacing="0" w:line="600" w:lineRule="exact"/>
        <w:ind w:left="0" w:right="0" w:firstLine="643" w:firstLineChars="2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kern w:val="2"/>
          <w:sz w:val="32"/>
          <w:szCs w:val="32"/>
          <w:lang w:val="en-US" w:eastAsia="zh-CN" w:bidi="ar"/>
        </w:rPr>
        <w:t>多渠道推广农膜回收。</w:t>
      </w:r>
      <w:r>
        <w:rPr>
          <w:rFonts w:hint="eastAsia" w:ascii="仿宋_GB2312" w:hAnsi="仿宋_GB2312" w:eastAsia="仿宋_GB2312" w:cs="仿宋_GB2312"/>
          <w:color w:val="auto"/>
          <w:kern w:val="2"/>
          <w:sz w:val="32"/>
          <w:szCs w:val="32"/>
          <w:lang w:val="en-US" w:eastAsia="zh-CN" w:bidi="ar"/>
        </w:rPr>
        <w:t>为普及农膜使用知识，营造废旧农膜回收利用的良好氛围，</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kern w:val="2"/>
          <w:sz w:val="32"/>
          <w:szCs w:val="32"/>
          <w:lang w:val="en-US" w:eastAsia="zh-CN" w:bidi="ar"/>
        </w:rPr>
        <w:t>多渠道向农户宣传废旧农膜回收利用知识及相关政策法规，提醒农户掌握相关知识，主动做好残膜回收工作。</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4.力促生态环境持续改善</w:t>
      </w:r>
    </w:p>
    <w:p>
      <w:pPr>
        <w:pageBreakBefore w:val="0"/>
        <w:kinsoku/>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auto"/>
          <w:sz w:val="32"/>
          <w:szCs w:val="32"/>
          <w:shd w:val="clear" w:color="auto" w:fill="FFFFFF"/>
          <w:vertAlign w:val="baseline"/>
          <w:lang w:val="en-US"/>
        </w:rPr>
      </w:pPr>
      <w:r>
        <w:rPr>
          <w:rFonts w:hint="eastAsia" w:ascii="仿宋_GB2312" w:hAnsi="仿宋_GB2312" w:eastAsia="仿宋_GB2312" w:cs="仿宋_GB2312"/>
          <w:b/>
          <w:bCs/>
          <w:color w:val="auto"/>
          <w:kern w:val="2"/>
          <w:sz w:val="32"/>
          <w:szCs w:val="32"/>
          <w:shd w:val="clear" w:color="auto" w:fill="FFFFFF"/>
          <w:vertAlign w:val="baseline"/>
          <w:lang w:val="en-US" w:eastAsia="zh-CN" w:bidi="ar"/>
        </w:rPr>
        <w:t>林长制、河长制全面实施。</w:t>
      </w:r>
      <w:r>
        <w:rPr>
          <w:rFonts w:hint="eastAsia" w:ascii="仿宋_GB2312" w:hAnsi="仿宋_GB2312" w:eastAsia="仿宋_GB2312" w:cs="仿宋_GB2312"/>
          <w:color w:val="auto"/>
          <w:kern w:val="2"/>
          <w:sz w:val="32"/>
          <w:szCs w:val="32"/>
          <w:vertAlign w:val="baseline"/>
          <w:lang w:val="en-US" w:eastAsia="zh-CN" w:bidi="ar"/>
        </w:rPr>
        <w:t>2021年以来，</w:t>
      </w:r>
      <w:r>
        <w:rPr>
          <w:rFonts w:hint="eastAsia" w:ascii="仿宋_GB2312" w:hAnsi="仿宋_GB2312" w:eastAsia="仿宋_GB2312" w:cs="仿宋_GB2312"/>
          <w:color w:val="auto"/>
          <w:sz w:val="32"/>
          <w:szCs w:val="32"/>
          <w:shd w:val="clear" w:color="auto" w:fill="FFFFFF"/>
          <w:lang w:val="en-US" w:eastAsia="zh-CN"/>
        </w:rPr>
        <w:t>高塘岭街道</w:t>
      </w:r>
      <w:r>
        <w:rPr>
          <w:rFonts w:hint="eastAsia" w:ascii="仿宋_GB2312" w:hAnsi="仿宋_GB2312" w:eastAsia="仿宋_GB2312" w:cs="仿宋_GB2312"/>
          <w:color w:val="auto"/>
          <w:kern w:val="2"/>
          <w:sz w:val="32"/>
          <w:szCs w:val="32"/>
          <w:vertAlign w:val="baseline"/>
          <w:lang w:val="en-US" w:eastAsia="zh-CN" w:bidi="ar"/>
        </w:rPr>
        <w:t>按照上级要求已全面实施林长制，</w:t>
      </w:r>
      <w:r>
        <w:rPr>
          <w:rFonts w:hint="eastAsia" w:ascii="仿宋_GB2312" w:hAnsi="仿宋_GB2312" w:eastAsia="仿宋_GB2312" w:cs="仿宋_GB2312"/>
          <w:color w:val="auto"/>
          <w:sz w:val="32"/>
          <w:szCs w:val="32"/>
          <w:lang w:val="en-US" w:eastAsia="zh-CN"/>
        </w:rPr>
        <w:t>构建“一长三员”（林长+护林员+监管员+执法员）分区负责的网络化管护体系</w:t>
      </w:r>
      <w:r>
        <w:rPr>
          <w:rFonts w:hint="eastAsia" w:ascii="仿宋_GB2312" w:hAnsi="仿宋_GB2312" w:eastAsia="仿宋_GB2312" w:cs="仿宋_GB2312"/>
          <w:color w:val="auto"/>
          <w:kern w:val="2"/>
          <w:sz w:val="32"/>
          <w:szCs w:val="32"/>
          <w:vertAlign w:val="baseline"/>
          <w:lang w:val="en-US" w:eastAsia="zh-CN" w:bidi="ar"/>
        </w:rPr>
        <w:t>，全面落实林长制，加强</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kern w:val="2"/>
          <w:sz w:val="32"/>
          <w:szCs w:val="32"/>
          <w:vertAlign w:val="baseline"/>
          <w:lang w:val="en-US" w:eastAsia="zh-CN" w:bidi="ar"/>
        </w:rPr>
        <w:t>域森林资源保护工作。自林长制工作实施以来，街道党工委、办事处把森林保护和湿地保护作为环境保护第一要务抓实抓细，各级林长不间断开展防护巡林工作，斑马湖公园、雷锋公园等湿地生态系统多样性、稳定性、持续性不断提高；整合生态环境、水利、农业农村等各类专项资金，改善了湘江村谭落湖等一大批乡村小型湿地环境，结合实际充分挖掘当地湿地资源特色和文化内涵，打造成省、市、区各级美丽乡村示范点（片）。2018年全面推行河长制以来，</w:t>
      </w:r>
      <w:r>
        <w:rPr>
          <w:rFonts w:hint="eastAsia" w:ascii="仿宋_GB2312" w:hAnsi="仿宋_GB2312" w:eastAsia="仿宋_GB2312" w:cs="仿宋_GB2312"/>
          <w:color w:val="auto"/>
          <w:sz w:val="32"/>
          <w:szCs w:val="32"/>
          <w:shd w:val="clear" w:color="auto" w:fill="FFFFFF"/>
          <w:lang w:val="en-US" w:eastAsia="zh-CN"/>
        </w:rPr>
        <w:t>高塘岭街道</w:t>
      </w:r>
      <w:r>
        <w:rPr>
          <w:rFonts w:hint="eastAsia" w:ascii="仿宋_GB2312" w:hAnsi="仿宋_GB2312" w:eastAsia="仿宋_GB2312" w:cs="仿宋_GB2312"/>
          <w:color w:val="auto"/>
          <w:kern w:val="2"/>
          <w:sz w:val="32"/>
          <w:szCs w:val="32"/>
          <w:shd w:val="clear" w:color="auto" w:fill="FFFFFF"/>
          <w:vertAlign w:val="baseline"/>
          <w:lang w:val="en-US" w:eastAsia="zh-CN" w:bidi="ar"/>
        </w:rPr>
        <w:t>将河长制与环境监督长制有机融合，</w:t>
      </w:r>
      <w:r>
        <w:rPr>
          <w:rFonts w:hint="eastAsia" w:ascii="仿宋_GB2312" w:hAnsi="仿宋_GB2312" w:eastAsia="仿宋_GB2312" w:cs="仿宋_GB2312"/>
          <w:color w:val="auto"/>
          <w:sz w:val="32"/>
          <w:szCs w:val="32"/>
          <w:lang w:val="en-US" w:eastAsia="zh-CN"/>
        </w:rPr>
        <w:t>各级河长、湖长加强巡河管控，强化河道清淤、岸线保洁工作，有序劝离河边钓鱼人员、劝阻市民下河游泳，加强对污水收集处置及排水的监测监督。</w:t>
      </w:r>
      <w:r>
        <w:rPr>
          <w:rFonts w:hint="eastAsia" w:ascii="仿宋_GB2312" w:hAnsi="仿宋_GB2312" w:eastAsia="仿宋_GB2312" w:cs="仿宋_GB2312"/>
          <w:color w:val="auto"/>
          <w:kern w:val="2"/>
          <w:sz w:val="32"/>
          <w:szCs w:val="32"/>
          <w:vertAlign w:val="baseline"/>
          <w:lang w:val="en-US" w:eastAsia="zh-CN" w:bidi="ar"/>
        </w:rPr>
        <w:t>2022年，高塘岭街道河长制工作稳步推进，小微水体基本形成巡河、保洁、宣传、管护、禁捕常态化。陆续开展“世界水日”“中国水周”活动；制定禁渔专项整治行动方案，确保十年禁渔令有效落实，成功打造胜利村、六合围村、湘江村、月圆村等六处小微水体管护示范片区。</w:t>
      </w:r>
    </w:p>
    <w:p>
      <w:pPr>
        <w:pageBreakBefore w:val="0"/>
        <w:numPr>
          <w:ilvl w:val="0"/>
          <w:numId w:val="0"/>
        </w:numPr>
        <w:kinsoku/>
        <w:overflowPunct/>
        <w:topLinePunct w:val="0"/>
        <w:autoSpaceDE/>
        <w:autoSpaceDN/>
        <w:bidi w:val="0"/>
        <w:snapToGrid/>
        <w:spacing w:line="600" w:lineRule="exact"/>
        <w:ind w:left="0" w:firstLine="643" w:firstLineChars="200"/>
        <w:jc w:val="both"/>
        <w:textAlignment w:val="baseline"/>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环保管理进一步加强。</w:t>
      </w:r>
      <w:r>
        <w:rPr>
          <w:rFonts w:hint="eastAsia" w:ascii="仿宋_GB2312" w:hAnsi="仿宋_GB2312" w:eastAsia="仿宋_GB2312" w:cs="仿宋_GB2312"/>
          <w:color w:val="auto"/>
          <w:sz w:val="32"/>
          <w:szCs w:val="32"/>
          <w:shd w:val="clear" w:color="auto" w:fill="FFFFFF"/>
          <w:lang w:val="en-US" w:eastAsia="zh-CN"/>
        </w:rPr>
        <w:t>近年来，按照打赢“蓝天保卫战”工作要求，高塘岭街道加大巡查力度，充分利用“联络员+信息化”等手段，发挥联络员靠得近、巡得勤的优势，由联络员定期定点上照片至联络群，实现禁烧禁燃工作实时掌握，水质问题及时反映。通过大力宣传“秸秆禁烧”，发放禁火令、倡议书。高塘岭街道</w:t>
      </w:r>
      <w:r>
        <w:rPr>
          <w:rFonts w:hint="eastAsia" w:ascii="仿宋_GB2312" w:hAnsi="仿宋_GB2312" w:eastAsia="仿宋_GB2312" w:cs="仿宋_GB2312"/>
          <w:color w:val="auto"/>
          <w:kern w:val="2"/>
          <w:sz w:val="32"/>
          <w:szCs w:val="32"/>
          <w:shd w:val="clear" w:color="auto" w:fill="FFFFFF"/>
          <w:lang w:val="en-US" w:eastAsia="zh-CN" w:bidi="ar"/>
        </w:rPr>
        <w:t>积极开展垃圾分类回收、污水治理、卫生改厕等项目建设，推进连线成片整治，编制农村区域性路网、林网、管网、垃圾收集处理网、污水治理网的一体化建设规划，形成系统的环保管理体系。</w:t>
      </w:r>
    </w:p>
    <w:p>
      <w:pPr>
        <w:pageBreakBefore w:val="0"/>
        <w:widowControl w:val="0"/>
        <w:numPr>
          <w:ilvl w:val="0"/>
          <w:numId w:val="0"/>
        </w:numPr>
        <w:kinsoku/>
        <w:overflowPunct/>
        <w:topLinePunct w:val="0"/>
        <w:autoSpaceDE/>
        <w:autoSpaceDN/>
        <w:bidi w:val="0"/>
        <w:snapToGrid/>
        <w:spacing w:line="600" w:lineRule="exact"/>
        <w:ind w:left="0" w:leftChars="0" w:firstLine="643" w:firstLineChars="200"/>
        <w:jc w:val="both"/>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大力推进厕所革命。</w:t>
      </w:r>
      <w:r>
        <w:rPr>
          <w:rFonts w:hint="eastAsia" w:ascii="仿宋_GB2312" w:hAnsi="仿宋_GB2312" w:eastAsia="仿宋_GB2312" w:cs="仿宋_GB2312"/>
          <w:color w:val="auto"/>
          <w:sz w:val="32"/>
          <w:szCs w:val="32"/>
          <w:shd w:val="clear" w:color="auto" w:fill="FFFFFF"/>
          <w:lang w:val="en-US" w:eastAsia="zh-CN"/>
        </w:rPr>
        <w:t>高塘岭街道开展卫生改厕工作，彻底消除农村旱厕工作。2017年至2022年共完成厕所改造11896座，实现卫生厕所普及率100%、农村户厕无害化普及率95%以上的目标，极大的改善了高塘岭街道人居环境和文明建设，提高人民群众的健康生活水平，让更多的农民生活更有幸福感。</w:t>
      </w:r>
    </w:p>
    <w:p>
      <w:pPr>
        <w:pageBreakBefore w:val="0"/>
        <w:numPr>
          <w:ilvl w:val="0"/>
          <w:numId w:val="0"/>
        </w:numPr>
        <w:kinsoku/>
        <w:overflowPunct/>
        <w:topLinePunct w:val="0"/>
        <w:autoSpaceDE/>
        <w:autoSpaceDN/>
        <w:bidi w:val="0"/>
        <w:snapToGrid/>
        <w:spacing w:line="600" w:lineRule="exact"/>
        <w:ind w:left="0" w:firstLine="643" w:firstLineChars="200"/>
        <w:jc w:val="both"/>
        <w:textAlignment w:val="baseline"/>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推进农村饮水安全建设工作。</w:t>
      </w:r>
      <w:r>
        <w:rPr>
          <w:rFonts w:hint="eastAsia" w:ascii="仿宋_GB2312" w:hAnsi="仿宋_GB2312" w:eastAsia="仿宋_GB2312" w:cs="仿宋_GB2312"/>
          <w:color w:val="auto"/>
          <w:sz w:val="32"/>
          <w:szCs w:val="32"/>
          <w:shd w:val="clear" w:color="auto" w:fill="FFFFFF"/>
          <w:lang w:val="en-US" w:eastAsia="zh-CN"/>
        </w:rPr>
        <w:t>为解决饮水问题，近年来，高塘岭街道全面落实《长沙市望城区城乡供水一体化三年行动实施方案(2021-2023)》的要求，结合“不忘初心、牢记使命”主题教育，围绕农村饮水安全主题，成立饮水安全调研小组，通过实地抽查、入户调查、座谈交流等形式，深入了解农村饮水安全工程建设情况、日常水质检测和水费收缴等情况，积极推进农村饮水安全建设工作。因地制宜采取配套、升级、改造等措施，全力推进集中规模化供水工程、家庭蓄水设施建设，不断提升安全饮水质量，确保群众喝上安全水、放心水。另一方面，为加强辖区居民节约用水意识，高塘岭街道加大宣传力度，在电子显示屏上循环播放节约用水宣传片，在全街道23个村（社区）悬挂宣传横幅。</w:t>
      </w:r>
    </w:p>
    <w:p>
      <w:pPr>
        <w:pageBreakBefore w:val="0"/>
        <w:numPr>
          <w:ilvl w:val="0"/>
          <w:numId w:val="0"/>
        </w:numPr>
        <w:kinsoku/>
        <w:overflowPunct/>
        <w:topLinePunct w:val="0"/>
        <w:autoSpaceDE/>
        <w:autoSpaceDN/>
        <w:bidi w:val="0"/>
        <w:snapToGrid/>
        <w:spacing w:line="600" w:lineRule="exact"/>
        <w:ind w:left="0" w:firstLine="643" w:firstLineChars="200"/>
        <w:jc w:val="both"/>
        <w:textAlignment w:val="baseline"/>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带动全民参与垃圾分类。</w:t>
      </w:r>
      <w:r>
        <w:rPr>
          <w:rFonts w:hint="eastAsia" w:ascii="仿宋_GB2312" w:hAnsi="仿宋_GB2312" w:eastAsia="仿宋_GB2312" w:cs="仿宋_GB2312"/>
          <w:color w:val="auto"/>
          <w:sz w:val="32"/>
          <w:szCs w:val="32"/>
          <w:shd w:val="clear" w:color="auto" w:fill="FFFFFF"/>
          <w:lang w:val="en-US" w:eastAsia="zh-CN"/>
        </w:rPr>
        <w:t>高塘岭街道积极营造“垃圾分类、全民参与”的氛围，利用街道、村（社区）两级工作会议、党员会议、村民代表会议和组干部会议，强调环境治理的重要性，利用宣传栏、电子屏、横幅，发放宣传资料等进行广泛宣传垃圾分类分拣工作，营造浓厚的环境整治氛围，号召党员志愿者开展“全民大扫除”等志愿活动，带动全街道居民积极行动起来，自觉保护环境设施，爱护环境卫生。紧紧围绕“减量化、资源化、无害化”的目标，按照“分户收集，分类处理，村民自治，政府补贴，公司运营”的模式开展，继续深入推动农户开展垃圾分类工作。出台垃圾分类减量实施方案和考核办法，通过进行全方位、高密度、多渠道的宣传，硬件设施配套到位，保洁员上门指导、回收等一系列举措，稳步推进全街道农村垃圾治理工作，居民分类意识明显提高，辖区人居环境极大改善。目前所辖23个行政村（社区）完成垃圾分类回收中心建设，以政府购买服务等形式，委托具备资质的企业对各村分拣出的低价值可回收垃圾、有害垃圾、大件垃圾进行兜底回收、统筹处理。全街道所有农户和租赁户都配备了两个分类垃圾桶。高塘岭街道着力推进垃圾分类，垃圾分类减量成效明显。</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firstLine="643" w:firstLineChars="200"/>
        <w:jc w:val="both"/>
        <w:textAlignment w:val="auto"/>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b/>
          <w:bCs/>
          <w:color w:val="auto"/>
          <w:kern w:val="2"/>
          <w:sz w:val="32"/>
          <w:szCs w:val="32"/>
          <w:shd w:val="clear" w:color="auto" w:fill="FFFFFF"/>
          <w:lang w:val="en-US" w:eastAsia="zh-CN" w:bidi="ar"/>
        </w:rPr>
        <w:t>细“治”入微，实现小微水体管护全覆盖。</w:t>
      </w:r>
      <w:r>
        <w:rPr>
          <w:rFonts w:hint="eastAsia" w:ascii="仿宋_GB2312" w:hAnsi="仿宋_GB2312" w:eastAsia="仿宋_GB2312" w:cs="仿宋_GB2312"/>
          <w:color w:val="auto"/>
          <w:kern w:val="2"/>
          <w:sz w:val="32"/>
          <w:szCs w:val="32"/>
          <w:shd w:val="clear" w:color="auto" w:fill="FFFFFF"/>
          <w:lang w:val="en-US" w:eastAsia="zh-CN" w:bidi="ar"/>
        </w:rPr>
        <w:t>近年来，高塘岭街道以全面推行河湖长制为抓手，坚持大小共治、水岸同治，将小微水体整治融入乡村振兴，围绕小微水体“五无”目标，让水留下来、流起来、净起来、美起来，打造秀美水生态。2022年，高塘岭街道精心治理小微水体，成功打造六合围村小微水体管护示范片区。利用“村村通”广播及各大主流媒体等宣传媒介，对群众进行广泛的宣传与引导，营造“爱水护水人人有责”的社会氛围，让绿水常青成为高塘岭街道亮丽的名片。同时按照“三无”（无污水直排、无水面漂浮物、无岸坡垃圾）的标准，认真排查小微水体现状，对巡查过程中发现的问题及时督促整改，并做好问题台账与整改落实清单，切实让各级河湖长把小微水体管护职责放在心上、扛在肩上、抓在手上，做到河沟有人管，坑塘有人护。</w:t>
      </w:r>
    </w:p>
    <w:p>
      <w:pPr>
        <w:keepNext w:val="0"/>
        <w:keepLines w:val="0"/>
        <w:pageBreakBefore w:val="0"/>
        <w:widowControl/>
        <w:suppressLineNumbers w:val="0"/>
        <w:kinsoku/>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2"/>
          <w:sz w:val="32"/>
          <w:szCs w:val="32"/>
          <w:shd w:val="clear" w:color="auto" w:fill="FFFFFF"/>
          <w:lang w:val="zh-CN" w:eastAsia="zh-CN" w:bidi="ar"/>
        </w:rPr>
      </w:pPr>
      <w:r>
        <w:rPr>
          <w:rFonts w:hint="eastAsia" w:ascii="仿宋_GB2312" w:hAnsi="仿宋_GB2312" w:eastAsia="仿宋_GB2312" w:cs="仿宋_GB2312"/>
          <w:b/>
          <w:bCs/>
          <w:color w:val="auto"/>
          <w:kern w:val="2"/>
          <w:sz w:val="32"/>
          <w:szCs w:val="32"/>
          <w:shd w:val="clear" w:color="auto" w:fill="FFFFFF"/>
          <w:lang w:val="en-US" w:eastAsia="zh-CN" w:bidi="ar"/>
        </w:rPr>
        <w:t>人居环境持续改善。</w:t>
      </w:r>
      <w:r>
        <w:rPr>
          <w:rFonts w:hint="eastAsia" w:ascii="仿宋_GB2312" w:hAnsi="仿宋_GB2312" w:eastAsia="仿宋_GB2312" w:cs="仿宋_GB2312"/>
          <w:color w:val="auto"/>
          <w:kern w:val="2"/>
          <w:sz w:val="32"/>
          <w:szCs w:val="32"/>
          <w:shd w:val="clear" w:color="auto" w:fill="FFFFFF"/>
          <w:lang w:val="en-US" w:eastAsia="zh-CN" w:bidi="ar"/>
        </w:rPr>
        <w:t>高塘岭街道坚持“村比村、户比户”，深入开展农村人居环境整治行动，统筹抓好道路整治、环境卫生、风貌提升、绿化彩化等方面工作。成功创建市级美丽宜居村庄13个。对马桥河沿线深入开展河湖清湖清四乱整治行动，强化河道保洁巡管督查。打好蓝天保卫战，对混凝土生产企业、道路扬尘、工地扬尘问题开展专项巡查，下达《高塘岭街道环境整治督察通报》，督促企业立行整改。开展人居环境整治集中攻坚行动，对路域、村域、户域进行集中整治，凝心聚力打造干净整洁、舒适宜居的美好家园。</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5.生态文化活动有序进行</w:t>
      </w:r>
    </w:p>
    <w:p>
      <w:pPr>
        <w:pageBreakBefore w:val="0"/>
        <w:kinsoku/>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b/>
          <w:bCs/>
          <w:color w:val="auto"/>
          <w:kern w:val="2"/>
          <w:sz w:val="32"/>
          <w:szCs w:val="32"/>
          <w:shd w:val="clear" w:color="auto" w:fill="FFFFFF"/>
          <w:lang w:val="en-US" w:eastAsia="zh-CN" w:bidi="ar-SA"/>
        </w:rPr>
        <w:t>积极开展农村生态文化建设。</w:t>
      </w:r>
      <w:r>
        <w:rPr>
          <w:rFonts w:hint="eastAsia" w:ascii="仿宋_GB2312" w:hAnsi="仿宋_GB2312" w:eastAsia="仿宋_GB2312" w:cs="仿宋_GB2312"/>
          <w:bCs/>
          <w:color w:val="auto"/>
          <w:kern w:val="2"/>
          <w:sz w:val="32"/>
          <w:szCs w:val="32"/>
          <w:lang w:val="en-US" w:eastAsia="zh-CN" w:bidi="ar"/>
        </w:rPr>
        <w:t>高塘岭街道、</w:t>
      </w:r>
      <w:r>
        <w:rPr>
          <w:rFonts w:hint="eastAsia" w:ascii="仿宋_GB2312" w:hAnsi="仿宋_GB2312" w:eastAsia="仿宋_GB2312" w:cs="仿宋_GB2312"/>
          <w:color w:val="auto"/>
          <w:kern w:val="2"/>
          <w:sz w:val="32"/>
          <w:szCs w:val="32"/>
          <w:shd w:val="clear" w:color="auto" w:fill="FFFFFF"/>
          <w:lang w:val="en-US" w:eastAsia="zh-CN" w:bidi="ar"/>
        </w:rPr>
        <w:t>村（社区）领导干部全面贯彻党的指导思想，积极参加生态文明专题培训、网络培训，学习生态文明建设的经验。积极开展农村生态文化建设，培育特色文化景观，开展宣传、教育，制定实施有关节约资源和保护环境村规民约，引导农民追求科学、健康、文明、低碳的生产生活与行为方式。</w:t>
      </w:r>
    </w:p>
    <w:p>
      <w:pPr>
        <w:keepNext w:val="0"/>
        <w:keepLines w:val="0"/>
        <w:pageBreakBefore w:val="0"/>
        <w:kinsoku/>
        <w:wordWrap/>
        <w:overflowPunct/>
        <w:topLinePunct w:val="0"/>
        <w:autoSpaceDE/>
        <w:autoSpaceDN/>
        <w:bidi w:val="0"/>
        <w:adjustRightInd/>
        <w:snapToGrid/>
        <w:spacing w:beforeAutospacing="0" w:afterAutospacing="0" w:line="600" w:lineRule="exact"/>
        <w:ind w:left="0" w:leftChars="0" w:right="0" w:rightChars="0" w:firstLine="643" w:firstLineChars="200"/>
        <w:jc w:val="both"/>
        <w:textAlignment w:val="baseline"/>
        <w:outlineLvl w:val="9"/>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b/>
          <w:bCs/>
          <w:color w:val="auto"/>
          <w:kern w:val="2"/>
          <w:sz w:val="32"/>
          <w:szCs w:val="32"/>
          <w:shd w:val="clear" w:color="auto" w:fill="FFFFFF"/>
          <w:lang w:val="en-US" w:eastAsia="zh-CN" w:bidi="ar-SA"/>
        </w:rPr>
        <w:t>群众文化活动逐渐丰富。</w:t>
      </w:r>
      <w:r>
        <w:rPr>
          <w:rFonts w:hint="eastAsia" w:ascii="仿宋_GB2312" w:hAnsi="仿宋_GB2312" w:eastAsia="仿宋_GB2312" w:cs="仿宋_GB2312"/>
          <w:color w:val="auto"/>
          <w:kern w:val="2"/>
          <w:sz w:val="32"/>
          <w:szCs w:val="32"/>
          <w:shd w:val="clear" w:color="auto" w:fill="FFFFFF"/>
          <w:lang w:val="en-US" w:eastAsia="zh-CN" w:bidi="ar"/>
        </w:rPr>
        <w:t>高塘岭街道启动“四季锋行”志愿者服务活动，弘扬雷锋精神，共建和谐社区。邀请雷锋同志生前同事为志愿者们传承雷锋精神、擦亮“雷锋”金字招牌加油鼓劲。播放短视频《雷锋路上新雷锋》，讲述雷锋路社区志愿者的感人故事。开展“世界湿地日”专题宣传活动，围绕“保护湿地、修复湿地、科学合理利用湿地”主题，大力宣传湿地的生态功能、保护修复湿地的重要性。群众生活逐渐丰富，群众对生态文明建设的满意度逐年提高。</w:t>
      </w:r>
    </w:p>
    <w:bookmarkEnd w:id="131"/>
    <w:bookmarkEnd w:id="132"/>
    <w:bookmarkEnd w:id="133"/>
    <w:bookmarkEnd w:id="134"/>
    <w:p>
      <w:pPr>
        <w:pStyle w:val="5"/>
        <w:pageBreakBefore w:val="0"/>
        <w:tabs>
          <w:tab w:val="clear" w:pos="576"/>
        </w:tabs>
        <w:kinsoku/>
        <w:wordWrap/>
        <w:overflowPunct/>
        <w:topLinePunct w:val="0"/>
        <w:autoSpaceDE/>
        <w:autoSpaceDN/>
        <w:bidi w:val="0"/>
        <w:snapToGrid/>
        <w:spacing w:before="0" w:after="0" w:line="600" w:lineRule="exact"/>
        <w:ind w:left="0" w:firstLine="643" w:firstLineChars="200"/>
        <w:jc w:val="both"/>
        <w:rPr>
          <w:rFonts w:hint="eastAsia" w:ascii="楷体_GB2312" w:hAnsi="楷体_GB2312" w:eastAsia="楷体_GB2312" w:cs="楷体_GB2312"/>
          <w:b/>
          <w:bCs/>
          <w:color w:val="auto"/>
          <w:sz w:val="32"/>
          <w:szCs w:val="32"/>
          <w:lang w:val="en-US" w:eastAsia="zh-CN"/>
        </w:rPr>
      </w:pPr>
      <w:bookmarkStart w:id="135" w:name="_Toc4281"/>
      <w:bookmarkStart w:id="136" w:name="_Toc29829"/>
      <w:r>
        <w:rPr>
          <w:rFonts w:hint="eastAsia" w:ascii="楷体_GB2312" w:hAnsi="楷体_GB2312" w:eastAsia="楷体_GB2312" w:cs="楷体_GB2312"/>
          <w:b/>
          <w:bCs/>
          <w:color w:val="auto"/>
          <w:sz w:val="32"/>
          <w:szCs w:val="32"/>
          <w:lang w:val="en-US" w:eastAsia="zh-CN"/>
        </w:rPr>
        <w:t>（四）存在的问题</w:t>
      </w:r>
      <w:bookmarkEnd w:id="135"/>
      <w:bookmarkEnd w:id="136"/>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auto"/>
          <w:kern w:val="0"/>
          <w:sz w:val="32"/>
          <w:szCs w:val="32"/>
          <w:lang w:val="en-US" w:eastAsia="zh-CN"/>
        </w:rPr>
      </w:pPr>
      <w:bookmarkStart w:id="137" w:name="_Toc3496"/>
      <w:bookmarkStart w:id="138" w:name="_Toc27054"/>
      <w:bookmarkStart w:id="139" w:name="_Toc29166"/>
      <w:bookmarkStart w:id="140" w:name="_Toc11010"/>
      <w:bookmarkStart w:id="141" w:name="_Toc414979357"/>
      <w:r>
        <w:rPr>
          <w:rFonts w:hint="eastAsia" w:ascii="仿宋_GB2312" w:hAnsi="仿宋_GB2312" w:eastAsia="仿宋_GB2312" w:cs="仿宋_GB2312"/>
          <w:b/>
          <w:bCs/>
          <w:color w:val="auto"/>
          <w:kern w:val="0"/>
          <w:sz w:val="32"/>
          <w:szCs w:val="32"/>
          <w:lang w:val="en-US" w:eastAsia="zh-CN"/>
        </w:rPr>
        <w:t>1.</w:t>
      </w:r>
      <w:r>
        <w:rPr>
          <w:rFonts w:hint="eastAsia" w:ascii="仿宋_GB2312" w:hAnsi="仿宋_GB2312" w:eastAsia="仿宋_GB2312" w:cs="仿宋_GB2312"/>
          <w:color w:val="auto"/>
          <w:kern w:val="0"/>
          <w:sz w:val="32"/>
          <w:szCs w:val="32"/>
          <w:shd w:val="clear" w:color="auto" w:fill="auto"/>
          <w:lang w:val="en-US" w:eastAsia="zh-CN" w:bidi="ar"/>
        </w:rPr>
        <w:t>农膜回收体系还需健全</w:t>
      </w:r>
    </w:p>
    <w:p>
      <w:pPr>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bidi="ar"/>
        </w:rPr>
      </w:pPr>
      <w:r>
        <w:rPr>
          <w:rFonts w:hint="eastAsia" w:ascii="仿宋_GB2312" w:hAnsi="仿宋_GB2312" w:eastAsia="仿宋_GB2312" w:cs="仿宋_GB2312"/>
          <w:color w:val="auto"/>
          <w:kern w:val="2"/>
          <w:sz w:val="32"/>
          <w:szCs w:val="32"/>
          <w:shd w:val="clear" w:color="auto" w:fill="FFFFFF"/>
          <w:lang w:val="en-US" w:eastAsia="zh-CN" w:bidi="ar"/>
        </w:rPr>
        <w:t>长沙市望城区农业农村局已发布《关于做好加快推进农膜回收工作的通知》，要求：深入掌握农膜使用现状，包括农膜生产、销售、使用、回收等各环节的具体情况；加快建设农膜回收体系，需结合实际制订农膜回收的具体办法，形成制度，并落地实施；严格落实农膜台账建设，包括农膜销售台站，农膜使用记录，农膜回收台账；切实加强农膜回收宣传，普及农膜生产者、使用者、销售者的农膜回收责任意识。目前，高塘岭街道内农膜回收率仅超过指标值2.6%，因此，还需加强农膜回收率，并根据《农用薄膜管理办法》等制订高塘岭街道农膜回收工作计划，并严格落实农膜三套台账。</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w:t>
      </w:r>
      <w:r>
        <w:rPr>
          <w:rFonts w:hint="eastAsia" w:ascii="仿宋_GB2312" w:hAnsi="仿宋_GB2312" w:eastAsia="仿宋_GB2312" w:cs="仿宋_GB2312"/>
          <w:color w:val="auto"/>
          <w:kern w:val="0"/>
          <w:sz w:val="32"/>
          <w:szCs w:val="32"/>
          <w:lang w:val="en-US" w:eastAsia="zh-CN"/>
        </w:rPr>
        <w:t>农用化肥施用强度有待降低</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napToGrid/>
        <w:spacing w:before="0" w:beforeAutospacing="0" w:after="0" w:afterAutospacing="0" w:line="600" w:lineRule="exact"/>
        <w:ind w:left="0" w:right="0" w:firstLine="640" w:firstLineChars="200"/>
        <w:jc w:val="both"/>
        <w:rPr>
          <w:rFonts w:hint="eastAsia" w:ascii="仿宋_GB2312" w:hAnsi="仿宋_GB2312" w:eastAsia="仿宋_GB2312" w:cs="仿宋_GB2312"/>
          <w:color w:val="auto"/>
          <w:kern w:val="2"/>
          <w:sz w:val="32"/>
          <w:szCs w:val="32"/>
          <w:shd w:val="clear" w:color="auto" w:fill="FFFFFF"/>
          <w:lang w:val="en-US" w:bidi="ar"/>
        </w:rPr>
      </w:pPr>
      <w:r>
        <w:rPr>
          <w:rFonts w:hint="eastAsia" w:ascii="仿宋_GB2312" w:hAnsi="仿宋_GB2312" w:eastAsia="仿宋_GB2312" w:cs="仿宋_GB2312"/>
          <w:color w:val="auto"/>
          <w:kern w:val="2"/>
          <w:sz w:val="32"/>
          <w:szCs w:val="32"/>
          <w:shd w:val="clear" w:color="auto" w:fill="FFFFFF"/>
          <w:lang w:val="en-US" w:eastAsia="zh-CN" w:bidi="ar"/>
        </w:rPr>
        <w:t>高塘岭街道目前的农用化肥施用强度为仅低于指标值17.5千克/公顷，有较大的优化空间，高塘岭街道的农田大都是零碎的“鸡窝地”，机械操作难度高，高标准农田项目建设速度有待提高。通过高标准农田平整和连片集中，以及改土积肥、新建机耕路和排灌设施等举措，农田可以实现“旱能灌、涝能排”，土地利用率和农作物耕种收综合机械化率将大大提高，进一步提升粮食产量和质量，同时大大减少农用化肥施用量。</w:t>
      </w:r>
    </w:p>
    <w:p>
      <w:pPr>
        <w:pStyle w:val="6"/>
        <w:pageBreakBefore w:val="0"/>
        <w:numPr>
          <w:ilvl w:val="0"/>
          <w:numId w:val="0"/>
        </w:numPr>
        <w:tabs>
          <w:tab w:val="clear" w:pos="720"/>
        </w:tabs>
        <w:kinsoku/>
        <w:wordWrap/>
        <w:overflowPunct/>
        <w:topLinePunct w:val="0"/>
        <w:autoSpaceDE/>
        <w:autoSpaceDN/>
        <w:bidi w:val="0"/>
        <w:snapToGrid/>
        <w:spacing w:line="600" w:lineRule="exact"/>
        <w:ind w:left="0"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3.</w:t>
      </w:r>
      <w:r>
        <w:rPr>
          <w:rFonts w:hint="eastAsia" w:ascii="仿宋_GB2312" w:hAnsi="仿宋_GB2312" w:eastAsia="仿宋_GB2312" w:cs="仿宋_GB2312"/>
          <w:color w:val="auto"/>
          <w:kern w:val="0"/>
          <w:sz w:val="32"/>
          <w:szCs w:val="32"/>
          <w:lang w:val="en-US" w:eastAsia="zh-CN"/>
        </w:rPr>
        <w:t>良好的生态文化氛围有待提高</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napToGrid/>
        <w:spacing w:before="0" w:beforeAutospacing="0" w:after="0" w:afterAutospacing="0" w:line="600" w:lineRule="exact"/>
        <w:ind w:left="0" w:right="0" w:firstLine="640" w:firstLineChars="200"/>
        <w:jc w:val="both"/>
        <w:rPr>
          <w:rFonts w:hint="eastAsia" w:ascii="仿宋_GB2312" w:hAnsi="仿宋_GB2312" w:eastAsia="仿宋_GB2312" w:cs="仿宋_GB2312"/>
          <w:color w:val="auto"/>
          <w:kern w:val="2"/>
          <w:sz w:val="32"/>
          <w:szCs w:val="32"/>
          <w:shd w:val="clear" w:color="auto" w:fill="FFFFFF"/>
          <w:lang w:val="en-US" w:bidi="ar"/>
        </w:rPr>
      </w:pPr>
      <w:r>
        <w:rPr>
          <w:rFonts w:hint="eastAsia" w:ascii="仿宋_GB2312" w:hAnsi="仿宋_GB2312" w:eastAsia="仿宋_GB2312" w:cs="仿宋_GB2312"/>
          <w:color w:val="auto"/>
          <w:kern w:val="2"/>
          <w:sz w:val="32"/>
          <w:szCs w:val="32"/>
          <w:shd w:val="clear" w:color="auto" w:fill="FFFFFF"/>
          <w:lang w:val="en-US" w:eastAsia="zh-CN" w:bidi="ar"/>
        </w:rPr>
        <w:t>高塘岭街道生态文明意识有待提高。生态文明宣传和教育尚未全面开展，尽管近年来，通过各大活动大力宣传生态文明建设，积极营造浓厚的宣传氛围，但仍存在部分居民教育水平低等制约因素，整体生态文明意识尚未形成。</w:t>
      </w:r>
    </w:p>
    <w:p>
      <w:pPr>
        <w:pStyle w:val="4"/>
        <w:keepNext w:val="0"/>
        <w:keepLines w:val="0"/>
        <w:pageBreakBefore w:val="0"/>
        <w:widowControl w:val="0"/>
        <w:kinsoku/>
        <w:wordWrap/>
        <w:overflowPunct/>
        <w:topLinePunct w:val="0"/>
        <w:autoSpaceDE/>
        <w:autoSpaceDN/>
        <w:bidi w:val="0"/>
        <w:adjustRightInd/>
        <w:spacing w:before="0" w:after="0" w:line="600" w:lineRule="exact"/>
        <w:ind w:left="0"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0000FF"/>
          <w:sz w:val="32"/>
          <w:szCs w:val="32"/>
        </w:rPr>
        <w:br w:type="page"/>
      </w:r>
      <w:bookmarkStart w:id="142" w:name="_Toc11274"/>
      <w:bookmarkStart w:id="143" w:name="_Toc19370"/>
      <w:r>
        <w:rPr>
          <w:rFonts w:hint="eastAsia" w:ascii="黑体" w:hAnsi="黑体" w:eastAsia="黑体" w:cs="黑体"/>
          <w:b w:val="0"/>
          <w:bCs w:val="0"/>
          <w:color w:val="auto"/>
          <w:sz w:val="32"/>
          <w:szCs w:val="32"/>
        </w:rPr>
        <w:t>第</w:t>
      </w:r>
      <w:r>
        <w:rPr>
          <w:rFonts w:hint="eastAsia" w:ascii="黑体" w:hAnsi="黑体" w:eastAsia="黑体" w:cs="黑体"/>
          <w:b w:val="0"/>
          <w:bCs w:val="0"/>
          <w:color w:val="auto"/>
          <w:sz w:val="32"/>
          <w:szCs w:val="32"/>
          <w:lang w:eastAsia="zh-CN"/>
        </w:rPr>
        <w:t>三</w:t>
      </w:r>
      <w:r>
        <w:rPr>
          <w:rFonts w:hint="eastAsia" w:ascii="黑体" w:hAnsi="黑体" w:eastAsia="黑体" w:cs="黑体"/>
          <w:b w:val="0"/>
          <w:bCs w:val="0"/>
          <w:color w:val="auto"/>
          <w:sz w:val="32"/>
          <w:szCs w:val="32"/>
        </w:rPr>
        <w:t>章</w:t>
      </w:r>
      <w:r>
        <w:rPr>
          <w:rFonts w:hint="eastAsia" w:ascii="黑体" w:hAnsi="黑体" w:eastAsia="黑体" w:cs="黑体"/>
          <w:b w:val="0"/>
          <w:bCs w:val="0"/>
          <w:color w:val="auto"/>
          <w:sz w:val="32"/>
          <w:szCs w:val="32"/>
          <w:lang w:val="en-US" w:eastAsia="zh-CN"/>
        </w:rPr>
        <w:t xml:space="preserve"> 总体</w:t>
      </w:r>
      <w:r>
        <w:rPr>
          <w:rFonts w:hint="eastAsia" w:ascii="黑体" w:hAnsi="黑体" w:eastAsia="黑体" w:cs="黑体"/>
          <w:b w:val="0"/>
          <w:bCs w:val="0"/>
          <w:color w:val="auto"/>
          <w:sz w:val="32"/>
          <w:szCs w:val="32"/>
        </w:rPr>
        <w:t>目标与指标</w:t>
      </w:r>
      <w:r>
        <w:rPr>
          <w:rFonts w:hint="eastAsia" w:ascii="黑体" w:hAnsi="黑体" w:eastAsia="黑体" w:cs="黑体"/>
          <w:b w:val="0"/>
          <w:bCs w:val="0"/>
          <w:color w:val="auto"/>
          <w:sz w:val="32"/>
          <w:szCs w:val="32"/>
          <w:lang w:val="en-US" w:eastAsia="zh-CN"/>
        </w:rPr>
        <w:t>体系</w:t>
      </w:r>
      <w:bookmarkEnd w:id="137"/>
      <w:bookmarkEnd w:id="138"/>
      <w:bookmarkEnd w:id="139"/>
      <w:bookmarkEnd w:id="140"/>
      <w:bookmarkEnd w:id="142"/>
      <w:bookmarkEnd w:id="143"/>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lang w:val="en-US" w:eastAsia="zh-CN"/>
        </w:rPr>
      </w:pPr>
    </w:p>
    <w:p>
      <w:pPr>
        <w:pStyle w:val="5"/>
        <w:keepNext w:val="0"/>
        <w:keepLines w:val="0"/>
        <w:pageBreakBefore w:val="0"/>
        <w:widowControl w:val="0"/>
        <w:tabs>
          <w:tab w:val="clear" w:pos="576"/>
        </w:tabs>
        <w:kinsoku/>
        <w:wordWrap/>
        <w:overflowPunct/>
        <w:topLinePunct w:val="0"/>
        <w:autoSpaceDE/>
        <w:autoSpaceDN/>
        <w:bidi w:val="0"/>
        <w:adjustRightInd/>
        <w:spacing w:before="0" w:after="0" w:line="600" w:lineRule="exact"/>
        <w:ind w:left="0" w:firstLine="643" w:firstLineChars="200"/>
        <w:jc w:val="both"/>
        <w:textAlignment w:val="auto"/>
        <w:rPr>
          <w:rFonts w:hint="eastAsia" w:ascii="楷体_GB2312" w:hAnsi="楷体_GB2312" w:eastAsia="楷体_GB2312" w:cs="楷体_GB2312"/>
          <w:b/>
          <w:bCs/>
          <w:color w:val="auto"/>
          <w:sz w:val="32"/>
          <w:szCs w:val="32"/>
        </w:rPr>
      </w:pPr>
      <w:bookmarkStart w:id="144" w:name="_Toc25733"/>
      <w:bookmarkStart w:id="145" w:name="_Toc15117"/>
      <w:bookmarkStart w:id="146" w:name="_Toc21901"/>
      <w:bookmarkStart w:id="147" w:name="_Toc15755"/>
      <w:bookmarkStart w:id="148" w:name="_Toc8813"/>
      <w:bookmarkStart w:id="149" w:name="_Toc31614"/>
      <w:r>
        <w:rPr>
          <w:rFonts w:hint="eastAsia" w:ascii="楷体_GB2312" w:hAnsi="楷体_GB2312" w:eastAsia="楷体_GB2312" w:cs="楷体_GB2312"/>
          <w:b/>
          <w:bCs/>
          <w:color w:val="auto"/>
          <w:sz w:val="32"/>
          <w:szCs w:val="32"/>
          <w:lang w:eastAsia="zh-CN"/>
        </w:rPr>
        <w:t>（一）</w:t>
      </w:r>
      <w:r>
        <w:rPr>
          <w:rFonts w:hint="eastAsia" w:ascii="楷体_GB2312" w:hAnsi="楷体_GB2312" w:eastAsia="楷体_GB2312" w:cs="楷体_GB2312"/>
          <w:b/>
          <w:bCs/>
          <w:color w:val="auto"/>
          <w:sz w:val="32"/>
          <w:szCs w:val="32"/>
          <w:lang w:val="en-US" w:eastAsia="zh-CN"/>
        </w:rPr>
        <w:t>总体</w:t>
      </w:r>
      <w:r>
        <w:rPr>
          <w:rFonts w:hint="eastAsia" w:ascii="楷体_GB2312" w:hAnsi="楷体_GB2312" w:eastAsia="楷体_GB2312" w:cs="楷体_GB2312"/>
          <w:b/>
          <w:bCs/>
          <w:color w:val="auto"/>
          <w:sz w:val="32"/>
          <w:szCs w:val="32"/>
        </w:rPr>
        <w:t>目标</w:t>
      </w:r>
      <w:bookmarkEnd w:id="141"/>
      <w:bookmarkEnd w:id="144"/>
      <w:bookmarkEnd w:id="145"/>
      <w:bookmarkEnd w:id="146"/>
      <w:bookmarkEnd w:id="147"/>
      <w:bookmarkEnd w:id="148"/>
      <w:bookmarkEnd w:id="149"/>
    </w:p>
    <w:p>
      <w:pPr>
        <w:keepNext w:val="0"/>
        <w:keepLines w:val="0"/>
        <w:pageBreakBefore w:val="0"/>
        <w:widowControl w:val="0"/>
        <w:kinsoku/>
        <w:wordWrap/>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生态文明制度建设为保障，大力发展生态经济，着力打造生态产业体系；加强生态和环境保护，着力构建生态安全屏障；加强基础设施建设，着力建设城乡统筹协调的宜居环境；加强社会事业建设，着力建设生态优良文明和谐社会，把</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建设成为生产先进、生活富裕、生态良好、环境优美的</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w:t>
      </w:r>
    </w:p>
    <w:p>
      <w:pPr>
        <w:pStyle w:val="5"/>
        <w:keepNext w:val="0"/>
        <w:keepLines w:val="0"/>
        <w:pageBreakBefore w:val="0"/>
        <w:widowControl w:val="0"/>
        <w:tabs>
          <w:tab w:val="clear" w:pos="576"/>
        </w:tabs>
        <w:kinsoku/>
        <w:wordWrap/>
        <w:overflowPunct/>
        <w:topLinePunct w:val="0"/>
        <w:autoSpaceDE/>
        <w:autoSpaceDN/>
        <w:bidi w:val="0"/>
        <w:adjustRightInd/>
        <w:spacing w:before="0" w:after="0" w:line="600" w:lineRule="exact"/>
        <w:ind w:left="0" w:firstLine="643" w:firstLineChars="200"/>
        <w:jc w:val="both"/>
        <w:textAlignment w:val="auto"/>
        <w:rPr>
          <w:rFonts w:hint="eastAsia" w:ascii="楷体_GB2312" w:hAnsi="楷体_GB2312" w:eastAsia="楷体_GB2312" w:cs="楷体_GB2312"/>
          <w:b/>
          <w:bCs/>
          <w:color w:val="auto"/>
          <w:sz w:val="32"/>
          <w:szCs w:val="32"/>
          <w:lang w:eastAsia="zh-CN"/>
        </w:rPr>
      </w:pPr>
      <w:bookmarkStart w:id="150" w:name="_Toc32258"/>
      <w:bookmarkStart w:id="151" w:name="_Toc8974"/>
      <w:bookmarkStart w:id="152" w:name="_Toc32622"/>
      <w:bookmarkStart w:id="153" w:name="_Toc17132"/>
      <w:bookmarkStart w:id="154" w:name="_Toc27216"/>
      <w:bookmarkStart w:id="155" w:name="_Toc18919"/>
      <w:bookmarkStart w:id="156" w:name="_Toc37234125"/>
      <w:bookmarkStart w:id="157" w:name="_Toc37400866"/>
      <w:bookmarkStart w:id="158" w:name="_Toc34508544"/>
      <w:bookmarkStart w:id="159" w:name="_Toc414979359"/>
      <w:bookmarkStart w:id="160" w:name="_Toc2776633"/>
      <w:bookmarkStart w:id="161" w:name="_Toc491852138"/>
      <w:bookmarkStart w:id="162" w:name="_Toc500168715"/>
      <w:r>
        <w:rPr>
          <w:rFonts w:hint="eastAsia" w:ascii="楷体_GB2312" w:hAnsi="楷体_GB2312" w:eastAsia="楷体_GB2312" w:cs="楷体_GB2312"/>
          <w:b/>
          <w:bCs/>
          <w:color w:val="auto"/>
          <w:sz w:val="32"/>
          <w:szCs w:val="32"/>
          <w:lang w:eastAsia="zh-CN"/>
        </w:rPr>
        <w:t>（二）阶段性目标</w:t>
      </w:r>
      <w:bookmarkEnd w:id="150"/>
      <w:bookmarkEnd w:id="151"/>
      <w:bookmarkEnd w:id="152"/>
      <w:bookmarkEnd w:id="153"/>
      <w:bookmarkEnd w:id="154"/>
      <w:bookmarkEnd w:id="155"/>
    </w:p>
    <w:bookmarkEnd w:id="156"/>
    <w:bookmarkEnd w:id="157"/>
    <w:bookmarkEnd w:id="158"/>
    <w:bookmarkEnd w:id="159"/>
    <w:bookmarkEnd w:id="160"/>
    <w:bookmarkEnd w:id="161"/>
    <w:bookmarkEnd w:id="162"/>
    <w:p>
      <w:pPr>
        <w:keepNext w:val="0"/>
        <w:keepLines w:val="0"/>
        <w:pageBreakBefore w:val="0"/>
        <w:widowControl w:val="0"/>
        <w:kinsoku/>
        <w:wordWrap/>
        <w:overflowPunct/>
        <w:topLinePunct w:val="0"/>
        <w:autoSpaceDE/>
        <w:autoSpaceDN/>
        <w:bidi w:val="0"/>
        <w:adjustRightInd/>
        <w:spacing w:line="600" w:lineRule="exact"/>
        <w:ind w:left="0"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1.强化达标阶段</w:t>
      </w:r>
      <w:r>
        <w:rPr>
          <w:rFonts w:hint="eastAsia"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lang w:val="en-US" w:eastAsia="zh-CN"/>
        </w:rPr>
        <w:t>2023</w:t>
      </w:r>
      <w:r>
        <w:rPr>
          <w:rFonts w:hint="eastAsia" w:ascii="仿宋_GB2312" w:hAnsi="仿宋_GB2312" w:eastAsia="仿宋_GB2312" w:cs="仿宋_GB2312"/>
          <w:b/>
          <w:color w:val="auto"/>
          <w:sz w:val="32"/>
          <w:szCs w:val="32"/>
        </w:rPr>
        <w:t>）</w:t>
      </w:r>
    </w:p>
    <w:p>
      <w:pPr>
        <w:keepNext w:val="0"/>
        <w:keepLines w:val="0"/>
        <w:pageBreakBefore w:val="0"/>
        <w:widowControl w:val="0"/>
        <w:kinsoku/>
        <w:wordWrap/>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建设工作全面启动，编制《</w:t>
      </w:r>
      <w:r>
        <w:rPr>
          <w:rFonts w:hint="eastAsia" w:ascii="仿宋_GB2312" w:hAnsi="仿宋_GB2312" w:eastAsia="仿宋_GB2312" w:cs="仿宋_GB2312"/>
          <w:color w:val="auto"/>
          <w:sz w:val="32"/>
          <w:szCs w:val="32"/>
          <w:lang w:val="en-US" w:eastAsia="zh-CN"/>
        </w:rPr>
        <w:t>长沙市</w:t>
      </w:r>
      <w:r>
        <w:rPr>
          <w:rFonts w:hint="eastAsia" w:ascii="仿宋_GB2312" w:hAnsi="仿宋_GB2312" w:eastAsia="仿宋_GB2312" w:cs="仿宋_GB2312"/>
          <w:color w:val="auto"/>
          <w:sz w:val="32"/>
          <w:szCs w:val="32"/>
          <w:lang w:eastAsia="zh-CN"/>
        </w:rPr>
        <w:t>望城区高塘岭街道生态文明建设示范街道</w:t>
      </w:r>
      <w:r>
        <w:rPr>
          <w:rFonts w:hint="eastAsia" w:ascii="仿宋_GB2312" w:hAnsi="仿宋_GB2312" w:eastAsia="仿宋_GB2312" w:cs="仿宋_GB2312"/>
          <w:color w:val="auto"/>
          <w:sz w:val="32"/>
          <w:szCs w:val="32"/>
          <w:lang w:val="en-US" w:eastAsia="zh-CN"/>
        </w:rPr>
        <w:t>实施方案</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分解建设目标和工作责任，明确部门工作职责，完善生态环境保护基础设施建设，积极推行绿色生活理念，强化生态文明宣传，完善生态文明建设体制与机制，形成政府主导、全民参与的生态文明建设氛围。完善公共基础设施建设，调整产业结构，加快产业升级，以科学发展观为指导，通过加强</w:t>
      </w:r>
      <w:r>
        <w:rPr>
          <w:rFonts w:hint="eastAsia" w:ascii="仿宋_GB2312" w:hAnsi="仿宋_GB2312" w:eastAsia="仿宋_GB2312" w:cs="仿宋_GB2312"/>
          <w:color w:val="auto"/>
          <w:sz w:val="32"/>
          <w:szCs w:val="32"/>
          <w:lang w:eastAsia="zh-CN"/>
        </w:rPr>
        <w:t>生态制度、生态安全</w:t>
      </w:r>
      <w:r>
        <w:rPr>
          <w:rFonts w:hint="eastAsia" w:ascii="仿宋_GB2312" w:hAnsi="仿宋_GB2312" w:eastAsia="仿宋_GB2312" w:cs="仿宋_GB2312"/>
          <w:color w:val="auto"/>
          <w:sz w:val="32"/>
          <w:szCs w:val="32"/>
        </w:rPr>
        <w:t>、生态</w:t>
      </w:r>
      <w:r>
        <w:rPr>
          <w:rFonts w:hint="eastAsia" w:ascii="仿宋_GB2312" w:hAnsi="仿宋_GB2312" w:eastAsia="仿宋_GB2312" w:cs="仿宋_GB2312"/>
          <w:color w:val="auto"/>
          <w:sz w:val="32"/>
          <w:szCs w:val="32"/>
          <w:lang w:eastAsia="zh-CN"/>
        </w:rPr>
        <w:t>经济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生态生活</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生态文化</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大体系的建设，各项指标达到</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指标要求，将</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建设成为</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pacing w:line="600" w:lineRule="exact"/>
        <w:ind w:left="0"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2.巩固提高阶段</w:t>
      </w:r>
      <w:r>
        <w:rPr>
          <w:rFonts w:hint="eastAsia" w:ascii="仿宋_GB2312" w:hAnsi="仿宋_GB2312" w:eastAsia="仿宋_GB2312" w:cs="仿宋_GB2312"/>
          <w:b/>
          <w:color w:val="auto"/>
          <w:sz w:val="32"/>
          <w:szCs w:val="32"/>
        </w:rPr>
        <w:t>（202</w:t>
      </w:r>
      <w:r>
        <w:rPr>
          <w:rFonts w:hint="eastAsia" w:ascii="仿宋_GB2312" w:hAnsi="仿宋_GB2312" w:eastAsia="仿宋_GB2312" w:cs="仿宋_GB2312"/>
          <w:b/>
          <w:color w:val="auto"/>
          <w:sz w:val="32"/>
          <w:szCs w:val="32"/>
          <w:lang w:val="en-US" w:eastAsia="zh-CN"/>
        </w:rPr>
        <w:t>4</w:t>
      </w:r>
      <w:r>
        <w:rPr>
          <w:rFonts w:hint="eastAsia" w:ascii="仿宋_GB2312" w:hAnsi="仿宋_GB2312" w:eastAsia="仿宋_GB2312" w:cs="仿宋_GB2312"/>
          <w:b/>
          <w:color w:val="auto"/>
          <w:sz w:val="32"/>
          <w:szCs w:val="32"/>
        </w:rPr>
        <w:t>-202</w:t>
      </w:r>
      <w:r>
        <w:rPr>
          <w:rFonts w:hint="eastAsia" w:ascii="仿宋_GB2312" w:hAnsi="仿宋_GB2312" w:eastAsia="仿宋_GB2312" w:cs="仿宋_GB2312"/>
          <w:b/>
          <w:color w:val="auto"/>
          <w:sz w:val="32"/>
          <w:szCs w:val="32"/>
          <w:lang w:val="en-US" w:eastAsia="zh-CN"/>
        </w:rPr>
        <w:t>5</w:t>
      </w:r>
      <w:r>
        <w:rPr>
          <w:rFonts w:hint="eastAsia" w:ascii="仿宋_GB2312" w:hAnsi="仿宋_GB2312" w:eastAsia="仿宋_GB2312" w:cs="仿宋_GB2312"/>
          <w:b/>
          <w:color w:val="auto"/>
          <w:sz w:val="32"/>
          <w:szCs w:val="32"/>
        </w:rPr>
        <w:t>）</w:t>
      </w:r>
    </w:p>
    <w:p>
      <w:pPr>
        <w:keepNext w:val="0"/>
        <w:keepLines w:val="0"/>
        <w:pageBreakBefore w:val="0"/>
        <w:widowControl w:val="0"/>
        <w:kinsoku/>
        <w:wordWrap/>
        <w:overflowPunct/>
        <w:topLinePunct w:val="0"/>
        <w:autoSpaceDE/>
        <w:autoSpaceDN/>
        <w:bidi w:val="0"/>
        <w:adjustRightInd/>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进一步深化</w:t>
      </w:r>
      <w:r>
        <w:rPr>
          <w:rFonts w:hint="eastAsia" w:ascii="仿宋_GB2312" w:hAnsi="仿宋_GB2312" w:eastAsia="仿宋_GB2312" w:cs="仿宋_GB2312"/>
          <w:color w:val="auto"/>
          <w:sz w:val="32"/>
          <w:szCs w:val="32"/>
          <w:lang w:eastAsia="zh-CN"/>
        </w:rPr>
        <w:t>生态制度、生态安全</w:t>
      </w:r>
      <w:r>
        <w:rPr>
          <w:rFonts w:hint="eastAsia" w:ascii="仿宋_GB2312" w:hAnsi="仿宋_GB2312" w:eastAsia="仿宋_GB2312" w:cs="仿宋_GB2312"/>
          <w:color w:val="auto"/>
          <w:sz w:val="32"/>
          <w:szCs w:val="32"/>
        </w:rPr>
        <w:t>、生态</w:t>
      </w:r>
      <w:r>
        <w:rPr>
          <w:rFonts w:hint="eastAsia" w:ascii="仿宋_GB2312" w:hAnsi="仿宋_GB2312" w:eastAsia="仿宋_GB2312" w:cs="仿宋_GB2312"/>
          <w:color w:val="auto"/>
          <w:sz w:val="32"/>
          <w:szCs w:val="32"/>
          <w:lang w:eastAsia="zh-CN"/>
        </w:rPr>
        <w:t>经济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生态生活</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生态文化</w:t>
      </w:r>
      <w:r>
        <w:rPr>
          <w:rFonts w:hint="eastAsia" w:ascii="仿宋_GB2312" w:hAnsi="仿宋_GB2312" w:eastAsia="仿宋_GB2312" w:cs="仿宋_GB2312"/>
          <w:color w:val="auto"/>
          <w:sz w:val="32"/>
          <w:szCs w:val="32"/>
        </w:rPr>
        <w:t>的建设，巩固创建</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的各项指标，推动各项建设工作有序实施，</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公共服务更加均等，人居环境再次提高，民生得到明显改善，生态制度全面完备，社会发展按生态文明建设与发展模式稳定良性发展，各项指标稳定达到</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指标要求。</w:t>
      </w:r>
    </w:p>
    <w:p>
      <w:pPr>
        <w:pStyle w:val="5"/>
        <w:keepNext w:val="0"/>
        <w:keepLines w:val="0"/>
        <w:pageBreakBefore w:val="0"/>
        <w:widowControl w:val="0"/>
        <w:tabs>
          <w:tab w:val="clear" w:pos="576"/>
        </w:tabs>
        <w:kinsoku/>
        <w:wordWrap/>
        <w:overflowPunct/>
        <w:topLinePunct w:val="0"/>
        <w:autoSpaceDE/>
        <w:autoSpaceDN/>
        <w:bidi w:val="0"/>
        <w:adjustRightInd/>
        <w:spacing w:before="0" w:after="0" w:line="600" w:lineRule="exact"/>
        <w:ind w:left="0" w:firstLine="643" w:firstLineChars="200"/>
        <w:jc w:val="both"/>
        <w:textAlignment w:val="auto"/>
        <w:rPr>
          <w:rFonts w:hint="eastAsia" w:ascii="楷体_GB2312" w:hAnsi="楷体_GB2312" w:eastAsia="楷体_GB2312" w:cs="楷体_GB2312"/>
          <w:b/>
          <w:bCs/>
          <w:color w:val="auto"/>
          <w:sz w:val="32"/>
          <w:szCs w:val="32"/>
          <w:lang w:val="en-US" w:eastAsia="zh-CN"/>
        </w:rPr>
      </w:pPr>
      <w:bookmarkStart w:id="163" w:name="_Toc2574"/>
      <w:bookmarkStart w:id="164" w:name="_Toc12668"/>
      <w:bookmarkStart w:id="165" w:name="_Toc19802"/>
      <w:bookmarkStart w:id="166" w:name="_Toc31998"/>
      <w:bookmarkStart w:id="167" w:name="_Toc31857"/>
      <w:bookmarkStart w:id="168" w:name="_Toc3052"/>
      <w:r>
        <w:rPr>
          <w:rFonts w:hint="eastAsia" w:ascii="楷体_GB2312" w:hAnsi="楷体_GB2312" w:eastAsia="楷体_GB2312" w:cs="楷体_GB2312"/>
          <w:b/>
          <w:bCs/>
          <w:color w:val="auto"/>
          <w:sz w:val="32"/>
          <w:szCs w:val="32"/>
          <w:lang w:eastAsia="zh-CN"/>
        </w:rPr>
        <w:t>（三）</w:t>
      </w:r>
      <w:r>
        <w:rPr>
          <w:rFonts w:hint="eastAsia" w:ascii="楷体_GB2312" w:hAnsi="楷体_GB2312" w:eastAsia="楷体_GB2312" w:cs="楷体_GB2312"/>
          <w:b/>
          <w:bCs/>
          <w:color w:val="auto"/>
          <w:sz w:val="32"/>
          <w:szCs w:val="32"/>
          <w:lang w:val="en-US" w:eastAsia="zh-CN"/>
        </w:rPr>
        <w:t>指标体系</w:t>
      </w:r>
      <w:bookmarkEnd w:id="163"/>
      <w:bookmarkEnd w:id="164"/>
      <w:bookmarkEnd w:id="165"/>
      <w:bookmarkEnd w:id="166"/>
      <w:bookmarkEnd w:id="167"/>
      <w:bookmarkEnd w:id="168"/>
    </w:p>
    <w:p>
      <w:pPr>
        <w:keepNext w:val="0"/>
        <w:keepLines w:val="0"/>
        <w:pageBreakBefore w:val="0"/>
        <w:widowControl w:val="0"/>
        <w:kinsoku/>
        <w:wordWrap/>
        <w:overflowPunct/>
        <w:topLinePunct w:val="0"/>
        <w:autoSpaceDE/>
        <w:autoSpaceDN/>
        <w:bidi w:val="0"/>
        <w:adjustRightInd/>
        <w:snapToGrid w:val="0"/>
        <w:spacing w:line="600" w:lineRule="exact"/>
        <w:ind w:left="0" w:firstLine="640" w:firstLineChars="200"/>
        <w:jc w:val="both"/>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bCs/>
          <w:color w:val="auto"/>
          <w:sz w:val="32"/>
          <w:szCs w:val="32"/>
          <w:lang w:eastAsia="zh-CN"/>
        </w:rPr>
        <w:t>根据</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长沙市生态环境保护委员会办公室</w:t>
      </w:r>
      <w:r>
        <w:rPr>
          <w:rFonts w:hint="eastAsia" w:ascii="仿宋_GB2312" w:hAnsi="仿宋_GB2312" w:eastAsia="仿宋_GB2312" w:cs="仿宋_GB2312"/>
          <w:bCs/>
          <w:color w:val="auto"/>
          <w:sz w:val="32"/>
          <w:szCs w:val="32"/>
          <w:lang w:val="en-US" w:eastAsia="zh-CN"/>
        </w:rPr>
        <w:t>关于印发&lt;</w:t>
      </w:r>
      <w:r>
        <w:rPr>
          <w:rFonts w:hint="eastAsia" w:ascii="仿宋_GB2312" w:hAnsi="仿宋_GB2312" w:eastAsia="仿宋_GB2312" w:cs="仿宋_GB2312"/>
          <w:bCs/>
          <w:color w:val="auto"/>
          <w:sz w:val="32"/>
          <w:szCs w:val="32"/>
        </w:rPr>
        <w:t>长沙市</w:t>
      </w:r>
      <w:r>
        <w:rPr>
          <w:rFonts w:hint="eastAsia" w:ascii="仿宋_GB2312" w:hAnsi="仿宋_GB2312" w:eastAsia="仿宋_GB2312" w:cs="仿宋_GB2312"/>
          <w:bCs/>
          <w:color w:val="auto"/>
          <w:sz w:val="32"/>
          <w:szCs w:val="32"/>
          <w:lang w:eastAsia="zh-CN"/>
        </w:rPr>
        <w:t>生态文明建设示范街道</w:t>
      </w:r>
      <w:r>
        <w:rPr>
          <w:rFonts w:hint="eastAsia" w:ascii="仿宋_GB2312" w:hAnsi="仿宋_GB2312" w:eastAsia="仿宋_GB2312" w:cs="仿宋_GB2312"/>
          <w:bCs/>
          <w:color w:val="auto"/>
          <w:sz w:val="32"/>
          <w:szCs w:val="32"/>
        </w:rPr>
        <w:t>（乡）</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村管理规程</w:t>
      </w:r>
      <w:r>
        <w:rPr>
          <w:rFonts w:hint="eastAsia" w:ascii="仿宋_GB2312" w:hAnsi="仿宋_GB2312" w:eastAsia="仿宋_GB2312" w:cs="仿宋_GB2312"/>
          <w:bCs/>
          <w:color w:val="auto"/>
          <w:sz w:val="32"/>
          <w:szCs w:val="32"/>
          <w:lang w:val="en-US" w:eastAsia="zh-CN"/>
        </w:rPr>
        <w:t>&gt;</w:t>
      </w:r>
      <w:r>
        <w:rPr>
          <w:rFonts w:hint="eastAsia" w:ascii="仿宋_GB2312" w:hAnsi="仿宋_GB2312" w:eastAsia="仿宋_GB2312" w:cs="仿宋_GB2312"/>
          <w:bCs/>
          <w:color w:val="auto"/>
          <w:sz w:val="32"/>
          <w:szCs w:val="32"/>
          <w:lang w:eastAsia="zh-CN"/>
        </w:rPr>
        <w:t>和</w:t>
      </w:r>
      <w:r>
        <w:rPr>
          <w:rFonts w:hint="eastAsia" w:ascii="仿宋_GB2312" w:hAnsi="仿宋_GB2312" w:eastAsia="仿宋_GB2312" w:cs="仿宋_GB2312"/>
          <w:bCs/>
          <w:color w:val="auto"/>
          <w:sz w:val="32"/>
          <w:szCs w:val="32"/>
          <w:lang w:val="en-US" w:eastAsia="zh-CN"/>
        </w:rPr>
        <w:t>&lt;</w:t>
      </w:r>
      <w:r>
        <w:rPr>
          <w:rFonts w:hint="eastAsia" w:ascii="仿宋_GB2312" w:hAnsi="仿宋_GB2312" w:eastAsia="仿宋_GB2312" w:cs="仿宋_GB2312"/>
          <w:bCs/>
          <w:color w:val="auto"/>
          <w:sz w:val="32"/>
          <w:szCs w:val="32"/>
        </w:rPr>
        <w:t>长沙市</w:t>
      </w:r>
      <w:r>
        <w:rPr>
          <w:rFonts w:hint="eastAsia" w:ascii="仿宋_GB2312" w:hAnsi="仿宋_GB2312" w:eastAsia="仿宋_GB2312" w:cs="仿宋_GB2312"/>
          <w:bCs/>
          <w:color w:val="auto"/>
          <w:sz w:val="32"/>
          <w:szCs w:val="32"/>
          <w:lang w:eastAsia="zh-CN"/>
        </w:rPr>
        <w:t>生态文明建设示范街道</w:t>
      </w:r>
      <w:r>
        <w:rPr>
          <w:rFonts w:hint="eastAsia" w:ascii="仿宋_GB2312" w:hAnsi="仿宋_GB2312" w:eastAsia="仿宋_GB2312" w:cs="仿宋_GB2312"/>
          <w:bCs/>
          <w:color w:val="auto"/>
          <w:sz w:val="32"/>
          <w:szCs w:val="32"/>
        </w:rPr>
        <w:t>（乡）、村建设指标</w:t>
      </w:r>
      <w:r>
        <w:rPr>
          <w:rFonts w:hint="eastAsia" w:ascii="仿宋_GB2312" w:hAnsi="仿宋_GB2312" w:eastAsia="仿宋_GB2312" w:cs="仿宋_GB2312"/>
          <w:bCs/>
          <w:color w:val="auto"/>
          <w:sz w:val="32"/>
          <w:szCs w:val="32"/>
          <w:lang w:val="en-US" w:eastAsia="zh-CN"/>
        </w:rPr>
        <w:t>&gt;</w:t>
      </w:r>
      <w:r>
        <w:rPr>
          <w:rFonts w:hint="eastAsia" w:ascii="仿宋_GB2312" w:hAnsi="仿宋_GB2312" w:eastAsia="仿宋_GB2312" w:cs="仿宋_GB2312"/>
          <w:bCs/>
          <w:color w:val="auto"/>
          <w:sz w:val="32"/>
          <w:szCs w:val="32"/>
          <w:lang w:eastAsia="zh-CN"/>
        </w:rPr>
        <w:t>的通知》</w:t>
      </w:r>
      <w:r>
        <w:rPr>
          <w:rFonts w:hint="eastAsia" w:ascii="仿宋_GB2312" w:hAnsi="仿宋_GB2312" w:eastAsia="仿宋_GB2312" w:cs="仿宋_GB2312"/>
          <w:bCs/>
          <w:color w:val="auto"/>
          <w:sz w:val="32"/>
          <w:szCs w:val="32"/>
        </w:rPr>
        <w:t>（长环</w:t>
      </w:r>
      <w:r>
        <w:rPr>
          <w:rFonts w:hint="eastAsia" w:ascii="仿宋_GB2312" w:hAnsi="仿宋_GB2312" w:eastAsia="仿宋_GB2312" w:cs="仿宋_GB2312"/>
          <w:bCs/>
          <w:color w:val="auto"/>
          <w:sz w:val="32"/>
          <w:szCs w:val="32"/>
          <w:lang w:eastAsia="zh-CN"/>
        </w:rPr>
        <w:t>委办函</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2〕15</w:t>
      </w:r>
      <w:r>
        <w:rPr>
          <w:rFonts w:hint="eastAsia" w:ascii="仿宋_GB2312" w:hAnsi="仿宋_GB2312" w:eastAsia="仿宋_GB2312" w:cs="仿宋_GB2312"/>
          <w:bCs/>
          <w:color w:val="auto"/>
          <w:sz w:val="32"/>
          <w:szCs w:val="32"/>
        </w:rPr>
        <w:t>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高塘岭街道生态文明建设示范街道</w:t>
      </w:r>
      <w:r>
        <w:rPr>
          <w:rFonts w:hint="eastAsia" w:ascii="仿宋_GB2312" w:hAnsi="仿宋_GB2312" w:eastAsia="仿宋_GB2312" w:cs="仿宋_GB2312"/>
          <w:color w:val="auto"/>
          <w:sz w:val="32"/>
          <w:szCs w:val="32"/>
        </w:rPr>
        <w:t>指标体系由</w:t>
      </w:r>
      <w:r>
        <w:rPr>
          <w:rFonts w:hint="eastAsia" w:ascii="仿宋_GB2312" w:hAnsi="仿宋_GB2312" w:eastAsia="仿宋_GB2312" w:cs="仿宋_GB2312"/>
          <w:color w:val="auto"/>
          <w:sz w:val="32"/>
          <w:szCs w:val="32"/>
          <w:lang w:eastAsia="zh-CN"/>
        </w:rPr>
        <w:t>生态制度、生态安全</w:t>
      </w:r>
      <w:r>
        <w:rPr>
          <w:rFonts w:hint="eastAsia" w:ascii="仿宋_GB2312" w:hAnsi="仿宋_GB2312" w:eastAsia="仿宋_GB2312" w:cs="仿宋_GB2312"/>
          <w:color w:val="auto"/>
          <w:sz w:val="32"/>
          <w:szCs w:val="32"/>
        </w:rPr>
        <w:t>、生态</w:t>
      </w:r>
      <w:r>
        <w:rPr>
          <w:rFonts w:hint="eastAsia" w:ascii="仿宋_GB2312" w:hAnsi="仿宋_GB2312" w:eastAsia="仿宋_GB2312" w:cs="仿宋_GB2312"/>
          <w:color w:val="auto"/>
          <w:sz w:val="32"/>
          <w:szCs w:val="32"/>
          <w:lang w:eastAsia="zh-CN"/>
        </w:rPr>
        <w:t>经济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生态生活</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生态文化五</w:t>
      </w:r>
      <w:r>
        <w:rPr>
          <w:rFonts w:hint="eastAsia" w:ascii="仿宋_GB2312" w:hAnsi="仿宋_GB2312" w:eastAsia="仿宋_GB2312" w:cs="仿宋_GB2312"/>
          <w:color w:val="auto"/>
          <w:sz w:val="32"/>
          <w:szCs w:val="32"/>
        </w:rPr>
        <w:t>个方面共</w:t>
      </w:r>
      <w:r>
        <w:rPr>
          <w:rFonts w:hint="eastAsia" w:ascii="仿宋_GB2312" w:hAnsi="仿宋_GB2312" w:eastAsia="仿宋_GB2312" w:cs="仿宋_GB2312"/>
          <w:color w:val="auto"/>
          <w:sz w:val="32"/>
          <w:szCs w:val="32"/>
          <w:lang w:val="en-US" w:eastAsia="zh-CN"/>
        </w:rPr>
        <w:t>27</w:t>
      </w:r>
      <w:r>
        <w:rPr>
          <w:rFonts w:hint="eastAsia" w:ascii="仿宋_GB2312" w:hAnsi="仿宋_GB2312" w:eastAsia="仿宋_GB2312" w:cs="仿宋_GB2312"/>
          <w:color w:val="auto"/>
          <w:sz w:val="32"/>
          <w:szCs w:val="32"/>
        </w:rPr>
        <w:t>项指标组成。指标体系及各阶段目标值见下表。</w:t>
      </w:r>
    </w:p>
    <w:p>
      <w:pPr>
        <w:pStyle w:val="17"/>
        <w:pageBreakBefore w:val="0"/>
        <w:kinsoku/>
        <w:overflowPunct/>
        <w:topLinePunct w:val="0"/>
        <w:autoSpaceDE/>
        <w:autoSpaceDN/>
        <w:bidi w:val="0"/>
        <w:spacing w:line="600" w:lineRule="exact"/>
        <w:ind w:left="0" w:firstLine="675" w:firstLineChars="200"/>
        <w:jc w:val="both"/>
        <w:outlineLvl w:val="9"/>
        <w:rPr>
          <w:rFonts w:hint="eastAsia" w:ascii="仿宋_GB2312" w:hAnsi="仿宋_GB2312" w:eastAsia="仿宋_GB2312" w:cs="仿宋_GB2312"/>
          <w:color w:val="0000FF"/>
          <w:sz w:val="32"/>
          <w:szCs w:val="32"/>
        </w:rPr>
        <w:sectPr>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高塘岭街道生态文明建设示范街道实施方案</w:t>
      </w:r>
      <w:r>
        <w:rPr>
          <w:rFonts w:hint="eastAsia" w:ascii="方正小标宋简体" w:hAnsi="方正小标宋简体" w:eastAsia="方正小标宋简体" w:cs="方正小标宋简体"/>
          <w:b w:val="0"/>
          <w:bCs/>
          <w:color w:val="auto"/>
          <w:sz w:val="44"/>
          <w:szCs w:val="44"/>
        </w:rPr>
        <w:t>指标体系</w:t>
      </w:r>
    </w:p>
    <w:tbl>
      <w:tblPr>
        <w:tblStyle w:val="15"/>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003"/>
        <w:gridCol w:w="555"/>
        <w:gridCol w:w="3600"/>
        <w:gridCol w:w="1215"/>
        <w:gridCol w:w="1142"/>
        <w:gridCol w:w="1395"/>
        <w:gridCol w:w="1575"/>
        <w:gridCol w:w="986"/>
        <w:gridCol w:w="1007"/>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blHeader/>
        </w:trPr>
        <w:tc>
          <w:tcPr>
            <w:tcW w:w="61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b w:val="0"/>
                <w:bCs/>
                <w:color w:val="auto"/>
                <w:sz w:val="24"/>
                <w:szCs w:val="24"/>
                <w:lang w:eastAsia="zh-CN"/>
              </w:rPr>
            </w:pPr>
            <w:r>
              <w:rPr>
                <w:rFonts w:hint="eastAsia" w:ascii="黑体" w:hAnsi="黑体" w:eastAsia="黑体" w:cs="黑体"/>
                <w:b w:val="0"/>
                <w:bCs/>
                <w:color w:val="auto"/>
                <w:sz w:val="24"/>
                <w:szCs w:val="24"/>
                <w:lang w:eastAsia="zh-CN"/>
              </w:rPr>
              <w:t>领域</w:t>
            </w:r>
          </w:p>
        </w:tc>
        <w:tc>
          <w:tcPr>
            <w:tcW w:w="1003" w:type="dxa"/>
            <w:vMerge w:val="restart"/>
            <w:tcBorders>
              <w:top w:val="single" w:color="auto" w:sz="4" w:space="0"/>
              <w:left w:val="single" w:color="auto" w:sz="4" w:space="0"/>
              <w:right w:val="single" w:color="auto" w:sz="4" w:space="0"/>
            </w:tcBorders>
            <w:vAlign w:val="center"/>
          </w:tcPr>
          <w:p>
            <w:pPr>
              <w:jc w:val="center"/>
              <w:rPr>
                <w:rFonts w:hint="eastAsia" w:ascii="黑体" w:hAnsi="黑体" w:eastAsia="黑体" w:cs="黑体"/>
                <w:b w:val="0"/>
                <w:bCs/>
                <w:color w:val="auto"/>
                <w:sz w:val="24"/>
                <w:szCs w:val="24"/>
                <w:lang w:eastAsia="zh-CN"/>
              </w:rPr>
            </w:pPr>
            <w:r>
              <w:rPr>
                <w:rFonts w:hint="eastAsia" w:ascii="黑体" w:hAnsi="黑体" w:eastAsia="黑体" w:cs="黑体"/>
                <w:b w:val="0"/>
                <w:bCs/>
                <w:color w:val="auto"/>
                <w:sz w:val="24"/>
                <w:szCs w:val="24"/>
                <w:lang w:eastAsia="zh-CN"/>
              </w:rPr>
              <w:t>任务</w:t>
            </w:r>
          </w:p>
        </w:tc>
        <w:tc>
          <w:tcPr>
            <w:tcW w:w="55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序号</w:t>
            </w:r>
          </w:p>
        </w:tc>
        <w:tc>
          <w:tcPr>
            <w:tcW w:w="3600"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指标</w:t>
            </w:r>
          </w:p>
        </w:tc>
        <w:tc>
          <w:tcPr>
            <w:tcW w:w="121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单位</w:t>
            </w:r>
          </w:p>
        </w:tc>
        <w:tc>
          <w:tcPr>
            <w:tcW w:w="11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指标值</w:t>
            </w:r>
          </w:p>
        </w:tc>
        <w:tc>
          <w:tcPr>
            <w:tcW w:w="139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指标属性</w:t>
            </w:r>
          </w:p>
        </w:tc>
        <w:tc>
          <w:tcPr>
            <w:tcW w:w="157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kern w:val="0"/>
                <w:sz w:val="24"/>
                <w:szCs w:val="24"/>
              </w:rPr>
            </w:pPr>
            <w:r>
              <w:rPr>
                <w:rFonts w:hint="eastAsia" w:ascii="黑体" w:hAnsi="黑体" w:eastAsia="黑体" w:cs="黑体"/>
                <w:b w:val="0"/>
                <w:bCs/>
                <w:color w:val="auto"/>
                <w:kern w:val="0"/>
                <w:sz w:val="24"/>
                <w:szCs w:val="24"/>
                <w:lang w:val="en-US" w:eastAsia="zh-CN"/>
              </w:rPr>
              <w:t>2022</w:t>
            </w:r>
            <w:r>
              <w:rPr>
                <w:rFonts w:hint="eastAsia" w:ascii="黑体" w:hAnsi="黑体" w:eastAsia="黑体" w:cs="黑体"/>
                <w:b w:val="0"/>
                <w:bCs/>
                <w:color w:val="auto"/>
                <w:kern w:val="0"/>
                <w:sz w:val="24"/>
                <w:szCs w:val="24"/>
              </w:rPr>
              <w:t>年</w:t>
            </w:r>
          </w:p>
          <w:p>
            <w:pPr>
              <w:widowControl/>
              <w:jc w:val="center"/>
              <w:rPr>
                <w:rFonts w:hint="eastAsia" w:ascii="黑体" w:hAnsi="黑体" w:eastAsia="黑体" w:cs="黑体"/>
                <w:b w:val="0"/>
                <w:bCs/>
                <w:color w:val="auto"/>
                <w:kern w:val="0"/>
                <w:sz w:val="24"/>
                <w:szCs w:val="24"/>
              </w:rPr>
            </w:pPr>
            <w:r>
              <w:rPr>
                <w:rFonts w:hint="eastAsia" w:ascii="黑体" w:hAnsi="黑体" w:eastAsia="黑体" w:cs="黑体"/>
                <w:b w:val="0"/>
                <w:bCs/>
                <w:color w:val="auto"/>
                <w:kern w:val="0"/>
                <w:sz w:val="24"/>
                <w:szCs w:val="24"/>
              </w:rPr>
              <w:t>状态值</w:t>
            </w:r>
          </w:p>
        </w:tc>
        <w:tc>
          <w:tcPr>
            <w:tcW w:w="98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kern w:val="0"/>
                <w:sz w:val="24"/>
                <w:szCs w:val="24"/>
              </w:rPr>
            </w:pPr>
            <w:r>
              <w:rPr>
                <w:rFonts w:hint="eastAsia" w:ascii="黑体" w:hAnsi="黑体" w:eastAsia="黑体" w:cs="黑体"/>
                <w:b w:val="0"/>
                <w:bCs/>
                <w:color w:val="auto"/>
                <w:kern w:val="0"/>
                <w:sz w:val="24"/>
                <w:szCs w:val="24"/>
              </w:rPr>
              <w:t>达标</w:t>
            </w:r>
          </w:p>
          <w:p>
            <w:pPr>
              <w:widowControl/>
              <w:jc w:val="center"/>
              <w:rPr>
                <w:rFonts w:hint="eastAsia" w:ascii="黑体" w:hAnsi="黑体" w:eastAsia="黑体" w:cs="黑体"/>
                <w:b w:val="0"/>
                <w:bCs/>
                <w:color w:val="auto"/>
                <w:kern w:val="0"/>
                <w:sz w:val="24"/>
                <w:szCs w:val="24"/>
              </w:rPr>
            </w:pPr>
            <w:r>
              <w:rPr>
                <w:rFonts w:hint="eastAsia" w:ascii="黑体" w:hAnsi="黑体" w:eastAsia="黑体" w:cs="黑体"/>
                <w:b w:val="0"/>
                <w:bCs/>
                <w:color w:val="auto"/>
                <w:kern w:val="0"/>
                <w:sz w:val="24"/>
                <w:szCs w:val="24"/>
              </w:rPr>
              <w:t>情况</w:t>
            </w:r>
          </w:p>
        </w:tc>
        <w:tc>
          <w:tcPr>
            <w:tcW w:w="208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blHeader/>
        </w:trPr>
        <w:tc>
          <w:tcPr>
            <w:tcW w:w="6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黑体" w:eastAsia="黑体" w:cs="黑体"/>
                <w:b w:val="0"/>
                <w:bCs/>
                <w:color w:val="auto"/>
                <w:sz w:val="24"/>
                <w:szCs w:val="24"/>
              </w:rPr>
            </w:pPr>
          </w:p>
        </w:tc>
        <w:tc>
          <w:tcPr>
            <w:tcW w:w="1003" w:type="dxa"/>
            <w:vMerge w:val="continue"/>
            <w:tcBorders>
              <w:left w:val="single" w:color="auto" w:sz="4" w:space="0"/>
              <w:bottom w:val="single" w:color="auto" w:sz="4" w:space="0"/>
              <w:right w:val="single" w:color="auto" w:sz="4" w:space="0"/>
            </w:tcBorders>
            <w:vAlign w:val="center"/>
          </w:tcPr>
          <w:p>
            <w:pPr>
              <w:widowControl/>
              <w:jc w:val="left"/>
              <w:rPr>
                <w:rFonts w:hint="eastAsia" w:ascii="黑体" w:hAnsi="黑体" w:eastAsia="黑体" w:cs="黑体"/>
                <w:b w:val="0"/>
                <w:bCs/>
                <w:color w:val="auto"/>
                <w:sz w:val="24"/>
                <w:szCs w:val="24"/>
              </w:rPr>
            </w:pPr>
          </w:p>
        </w:tc>
        <w:tc>
          <w:tcPr>
            <w:tcW w:w="55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sz w:val="24"/>
                <w:szCs w:val="24"/>
              </w:rPr>
            </w:pPr>
          </w:p>
        </w:tc>
        <w:tc>
          <w:tcPr>
            <w:tcW w:w="36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黑体" w:eastAsia="黑体" w:cs="黑体"/>
                <w:b w:val="0"/>
                <w:bCs/>
                <w:color w:val="auto"/>
                <w:sz w:val="24"/>
                <w:szCs w:val="24"/>
              </w:rPr>
            </w:pPr>
          </w:p>
        </w:tc>
        <w:tc>
          <w:tcPr>
            <w:tcW w:w="121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sz w:val="24"/>
                <w:szCs w:val="24"/>
              </w:rPr>
            </w:pPr>
          </w:p>
        </w:tc>
        <w:tc>
          <w:tcPr>
            <w:tcW w:w="114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kern w:val="0"/>
                <w:sz w:val="24"/>
                <w:szCs w:val="24"/>
              </w:rPr>
            </w:pPr>
          </w:p>
        </w:tc>
        <w:tc>
          <w:tcPr>
            <w:tcW w:w="9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黑体" w:eastAsia="黑体" w:cs="黑体"/>
                <w:b w:val="0"/>
                <w:bCs/>
                <w:color w:val="auto"/>
                <w:kern w:val="0"/>
                <w:sz w:val="24"/>
                <w:szCs w:val="24"/>
              </w:rPr>
            </w:pPr>
          </w:p>
        </w:tc>
        <w:tc>
          <w:tcPr>
            <w:tcW w:w="100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kern w:val="0"/>
                <w:sz w:val="24"/>
                <w:szCs w:val="24"/>
              </w:rPr>
            </w:pPr>
            <w:r>
              <w:rPr>
                <w:rFonts w:hint="eastAsia" w:ascii="黑体" w:hAnsi="黑体" w:eastAsia="黑体" w:cs="黑体"/>
                <w:b w:val="0"/>
                <w:bCs/>
                <w:color w:val="auto"/>
                <w:kern w:val="0"/>
                <w:sz w:val="24"/>
                <w:szCs w:val="24"/>
              </w:rPr>
              <w:t>202</w:t>
            </w:r>
            <w:r>
              <w:rPr>
                <w:rFonts w:hint="eastAsia" w:ascii="黑体" w:hAnsi="黑体" w:eastAsia="黑体" w:cs="黑体"/>
                <w:b w:val="0"/>
                <w:bCs/>
                <w:color w:val="auto"/>
                <w:kern w:val="0"/>
                <w:sz w:val="24"/>
                <w:szCs w:val="24"/>
                <w:lang w:val="en-US" w:eastAsia="zh-CN"/>
              </w:rPr>
              <w:t>3</w:t>
            </w:r>
            <w:r>
              <w:rPr>
                <w:rFonts w:hint="eastAsia" w:ascii="黑体" w:hAnsi="黑体" w:eastAsia="黑体" w:cs="黑体"/>
                <w:b w:val="0"/>
                <w:bCs/>
                <w:color w:val="auto"/>
                <w:kern w:val="0"/>
                <w:sz w:val="24"/>
                <w:szCs w:val="24"/>
              </w:rPr>
              <w:t>年</w:t>
            </w:r>
          </w:p>
        </w:tc>
        <w:tc>
          <w:tcPr>
            <w:tcW w:w="107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黑体" w:eastAsia="黑体" w:cs="黑体"/>
                <w:b w:val="0"/>
                <w:bCs/>
                <w:color w:val="auto"/>
                <w:kern w:val="0"/>
                <w:sz w:val="24"/>
                <w:szCs w:val="24"/>
              </w:rPr>
            </w:pPr>
            <w:r>
              <w:rPr>
                <w:rFonts w:hint="eastAsia" w:ascii="黑体" w:hAnsi="黑体" w:eastAsia="黑体" w:cs="黑体"/>
                <w:b w:val="0"/>
                <w:bCs/>
                <w:color w:val="auto"/>
                <w:kern w:val="0"/>
                <w:sz w:val="24"/>
                <w:szCs w:val="24"/>
              </w:rPr>
              <w:t>202</w:t>
            </w:r>
            <w:r>
              <w:rPr>
                <w:rFonts w:hint="eastAsia" w:ascii="黑体" w:hAnsi="黑体" w:eastAsia="黑体" w:cs="黑体"/>
                <w:b w:val="0"/>
                <w:bCs/>
                <w:color w:val="auto"/>
                <w:kern w:val="0"/>
                <w:sz w:val="24"/>
                <w:szCs w:val="24"/>
                <w:lang w:val="en-US" w:eastAsia="zh-CN"/>
              </w:rPr>
              <w:t>5</w:t>
            </w:r>
            <w:r>
              <w:rPr>
                <w:rFonts w:hint="eastAsia" w:ascii="黑体" w:hAnsi="黑体" w:eastAsia="黑体" w:cs="黑体"/>
                <w:b w:val="0"/>
                <w:bCs/>
                <w:color w:val="auto"/>
                <w:kern w:val="0"/>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617"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生态制度</w:t>
            </w:r>
          </w:p>
        </w:tc>
        <w:tc>
          <w:tcPr>
            <w:tcW w:w="1003"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（一）目标责任体系与制度建设</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镇、村生态文明示范创建规划</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（方案）</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制定</w:t>
            </w:r>
          </w:p>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实施</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未制定实施</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未达标</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276"/>
              </w:tabs>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制定</w:t>
            </w:r>
          </w:p>
          <w:p>
            <w:pPr>
              <w:tabs>
                <w:tab w:val="left" w:pos="276"/>
              </w:tabs>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实施</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制定</w:t>
            </w:r>
          </w:p>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617"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1003"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林长制</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全面</w:t>
            </w:r>
          </w:p>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实施</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全面实施</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276"/>
              </w:tabs>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全面</w:t>
            </w:r>
          </w:p>
          <w:p>
            <w:pPr>
              <w:tabs>
                <w:tab w:val="left" w:pos="276"/>
              </w:tabs>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实施</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全面</w:t>
            </w:r>
          </w:p>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617"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1003"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3</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河（湖）长制</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全面</w:t>
            </w:r>
          </w:p>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实施</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全面实施</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tabs>
                <w:tab w:val="left" w:pos="276"/>
              </w:tabs>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全面</w:t>
            </w:r>
          </w:p>
          <w:p>
            <w:pPr>
              <w:tabs>
                <w:tab w:val="left" w:pos="276"/>
              </w:tabs>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实施</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全面</w:t>
            </w:r>
          </w:p>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生态安全</w:t>
            </w:r>
          </w:p>
        </w:tc>
        <w:tc>
          <w:tcPr>
            <w:tcW w:w="1003"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（二）生态系统保护及环境风险防范</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4</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林草覆盖率</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山区</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丘陵地区</w:t>
            </w:r>
          </w:p>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平原地区</w:t>
            </w:r>
          </w:p>
        </w:tc>
        <w:tc>
          <w:tcPr>
            <w:tcW w:w="12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≥60</w:t>
            </w:r>
          </w:p>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≥40</w:t>
            </w:r>
          </w:p>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≥18</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参考性</w:t>
            </w:r>
          </w:p>
          <w:p>
            <w:pPr>
              <w:widowControl/>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平原地区：22.3</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≥22.3</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617"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5</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裸露地块绿化率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100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参考性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100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617"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6</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工业企业污染物排放达标率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100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约束性</w:t>
            </w:r>
          </w:p>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restart"/>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生态</w:t>
            </w:r>
            <w:r>
              <w:rPr>
                <w:rFonts w:hint="eastAsia" w:ascii="仿宋_GB2312" w:hAnsi="仿宋_GB2312" w:eastAsia="仿宋_GB2312" w:cs="仿宋_GB2312"/>
                <w:color w:val="auto"/>
                <w:sz w:val="24"/>
                <w:szCs w:val="24"/>
                <w:lang w:eastAsia="zh-CN"/>
              </w:rPr>
              <w:t>经济</w:t>
            </w:r>
          </w:p>
        </w:tc>
        <w:tc>
          <w:tcPr>
            <w:tcW w:w="1003"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（三）资源节约与利用</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7</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农用化肥施用强度</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折纯，千克/公顷</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≤300，或逐年下降</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282.5</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≤282.5</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8</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农药施用强度</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折纯，千克/公顷</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≤3.5，或逐年下降</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2.95</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≤2.95</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9</w:t>
            </w:r>
          </w:p>
        </w:tc>
        <w:tc>
          <w:tcPr>
            <w:tcW w:w="360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应当实施清洁生产审核的企业通过审核比例</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完成年度审核计划</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约束性</w:t>
            </w:r>
          </w:p>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2022年无强制清洁生产审核企业</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完成年度审核计划</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完成年度审核计划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9"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（四）绿色农业</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有机、绿色或地理标志农产品认证</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开展</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参考性</w:t>
            </w:r>
          </w:p>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开展</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开展</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（五）产业循环发展</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11</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农作物秸秆综合利用率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94.8</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94.8</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1003"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12</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农膜回收率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rPr>
              <w:t>≥8</w:t>
            </w:r>
            <w:r>
              <w:rPr>
                <w:rFonts w:hint="eastAsia" w:ascii="仿宋_GB2312" w:hAnsi="仿宋_GB2312" w:eastAsia="仿宋_GB2312" w:cs="仿宋_GB2312"/>
                <w:color w:val="auto"/>
                <w:sz w:val="24"/>
                <w:szCs w:val="24"/>
                <w:lang w:val="en-US" w:eastAsia="zh-CN"/>
              </w:rPr>
              <w:t>5</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87.6</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87.6</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13</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畜禽粪污综合利用率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rPr>
              <w:t>≥80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无规模化畜禽养殖场</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无规模化畜禽养殖场</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无规模化畜禽养殖场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restart"/>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生态生活</w:t>
            </w:r>
          </w:p>
        </w:tc>
        <w:tc>
          <w:tcPr>
            <w:tcW w:w="1003"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（六）人居环境改善</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14</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集中式饮用水水源地水质优良率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100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无集中式饮用水水源地</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无集中式饮用水水源地</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无集中式饮用水水源地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5</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村镇饮用水卫生合格率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100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100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16</w:t>
            </w:r>
          </w:p>
        </w:tc>
        <w:tc>
          <w:tcPr>
            <w:tcW w:w="360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乡镇污水处理达标率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100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17</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农村生活污水治理率</w:t>
            </w:r>
          </w:p>
        </w:tc>
        <w:tc>
          <w:tcPr>
            <w:tcW w:w="121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t>0</w:t>
            </w:r>
          </w:p>
        </w:tc>
        <w:tc>
          <w:tcPr>
            <w:tcW w:w="13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参考性</w:t>
            </w:r>
          </w:p>
          <w:p>
            <w:pPr>
              <w:widowControl/>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98.7</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98.7</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18</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生活垃圾无害化处理率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96.8</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96.8</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1003"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19</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小微水体管护及黑臭水体治理</w:t>
            </w:r>
          </w:p>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小微水体管护率</w:t>
            </w:r>
          </w:p>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黑臭水体治理率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p>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32"/>
                <w:lang w:val="en-US" w:eastAsia="zh-CN"/>
              </w:rPr>
            </w:pPr>
          </w:p>
          <w:p>
            <w:pPr>
              <w:jc w:val="center"/>
              <w:rPr>
                <w:rFonts w:hint="eastAsia" w:ascii="仿宋_GB2312" w:hAnsi="仿宋_GB2312" w:eastAsia="仿宋_GB2312" w:cs="仿宋_GB2312"/>
                <w:color w:val="auto"/>
                <w:sz w:val="24"/>
                <w:szCs w:val="32"/>
                <w:lang w:val="en-US" w:eastAsia="zh-CN"/>
              </w:rPr>
            </w:pPr>
            <w:r>
              <w:rPr>
                <w:rFonts w:hint="eastAsia" w:ascii="仿宋_GB2312" w:hAnsi="仿宋_GB2312" w:eastAsia="仿宋_GB2312" w:cs="仿宋_GB2312"/>
                <w:color w:val="auto"/>
                <w:sz w:val="24"/>
                <w:szCs w:val="32"/>
                <w:lang w:val="en-US" w:eastAsia="zh-CN"/>
              </w:rPr>
              <w:t>100</w:t>
            </w:r>
          </w:p>
          <w:p>
            <w:pPr>
              <w:jc w:val="center"/>
              <w:rPr>
                <w:rFonts w:hint="eastAsia" w:ascii="仿宋_GB2312" w:hAnsi="仿宋_GB2312" w:eastAsia="仿宋_GB2312" w:cs="仿宋_GB2312"/>
                <w:color w:val="auto"/>
                <w:sz w:val="24"/>
                <w:szCs w:val="32"/>
                <w:lang w:val="en-US" w:eastAsia="zh-CN"/>
              </w:rPr>
            </w:pPr>
            <w:r>
              <w:rPr>
                <w:rFonts w:hint="eastAsia" w:ascii="仿宋_GB2312" w:hAnsi="仿宋_GB2312" w:eastAsia="仿宋_GB2312" w:cs="仿宋_GB2312"/>
                <w:color w:val="auto"/>
                <w:sz w:val="24"/>
                <w:szCs w:val="32"/>
                <w:lang w:val="en-US" w:eastAsia="zh-CN"/>
              </w:rPr>
              <w:t>无黑臭水体</w:t>
            </w:r>
          </w:p>
        </w:tc>
        <w:tc>
          <w:tcPr>
            <w:tcW w:w="9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32"/>
                <w:lang w:val="en-US" w:eastAsia="zh-CN"/>
              </w:rPr>
            </w:pPr>
          </w:p>
          <w:p>
            <w:pPr>
              <w:jc w:val="center"/>
              <w:rPr>
                <w:rFonts w:hint="eastAsia" w:ascii="仿宋_GB2312" w:hAnsi="仿宋_GB2312" w:eastAsia="仿宋_GB2312" w:cs="仿宋_GB2312"/>
                <w:color w:val="auto"/>
                <w:sz w:val="24"/>
                <w:szCs w:val="32"/>
                <w:lang w:val="en-US" w:eastAsia="zh-CN"/>
              </w:rPr>
            </w:pPr>
            <w:r>
              <w:rPr>
                <w:rFonts w:hint="eastAsia" w:ascii="仿宋_GB2312" w:hAnsi="仿宋_GB2312" w:eastAsia="仿宋_GB2312" w:cs="仿宋_GB2312"/>
                <w:color w:val="auto"/>
                <w:sz w:val="24"/>
                <w:szCs w:val="32"/>
                <w:lang w:val="en-US" w:eastAsia="zh-CN"/>
              </w:rPr>
              <w:t>100</w:t>
            </w:r>
          </w:p>
          <w:p>
            <w:pPr>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32"/>
                <w:lang w:val="en-US" w:eastAsia="zh-CN"/>
              </w:rPr>
              <w:t>100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32"/>
                <w:lang w:val="en-US" w:eastAsia="zh-CN"/>
              </w:rPr>
            </w:pPr>
          </w:p>
          <w:p>
            <w:pPr>
              <w:jc w:val="center"/>
              <w:rPr>
                <w:rFonts w:hint="eastAsia" w:ascii="仿宋_GB2312" w:hAnsi="仿宋_GB2312" w:eastAsia="仿宋_GB2312" w:cs="仿宋_GB2312"/>
                <w:color w:val="auto"/>
                <w:sz w:val="24"/>
                <w:szCs w:val="32"/>
                <w:lang w:val="en-US" w:eastAsia="zh-CN"/>
              </w:rPr>
            </w:pPr>
            <w:r>
              <w:rPr>
                <w:rFonts w:hint="eastAsia" w:ascii="仿宋_GB2312" w:hAnsi="仿宋_GB2312" w:eastAsia="仿宋_GB2312" w:cs="仿宋_GB2312"/>
                <w:color w:val="auto"/>
                <w:sz w:val="24"/>
                <w:szCs w:val="32"/>
                <w:lang w:val="en-US" w:eastAsia="zh-CN"/>
              </w:rPr>
              <w:t>100</w:t>
            </w:r>
          </w:p>
          <w:p>
            <w:pPr>
              <w:jc w:val="center"/>
              <w:rPr>
                <w:rFonts w:hint="eastAsia" w:ascii="仿宋_GB2312" w:hAnsi="仿宋_GB2312" w:eastAsia="仿宋_GB2312" w:cs="仿宋_GB2312"/>
                <w:color w:val="auto"/>
                <w:sz w:val="24"/>
                <w:szCs w:val="32"/>
                <w:lang w:val="en-US" w:eastAsia="zh-CN"/>
              </w:rPr>
            </w:pPr>
            <w:r>
              <w:rPr>
                <w:rFonts w:hint="eastAsia" w:ascii="仿宋_GB2312" w:hAnsi="仿宋_GB2312" w:eastAsia="仿宋_GB2312" w:cs="仿宋_GB2312"/>
                <w:color w:val="auto"/>
                <w:sz w:val="24"/>
                <w:szCs w:val="32"/>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20</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卫生厕所普及率</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100</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100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p>
        </w:tc>
        <w:tc>
          <w:tcPr>
            <w:tcW w:w="1003"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（七）生活方式绿色化</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21</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使用清洁能源的户数比例</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t>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参考性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96.5</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96.5</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22</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生活垃圾分类减量</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实施</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实施</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实施</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auto"/>
                <w:sz w:val="24"/>
                <w:szCs w:val="24"/>
              </w:rPr>
            </w:pPr>
          </w:p>
        </w:tc>
        <w:tc>
          <w:tcPr>
            <w:tcW w:w="1003" w:type="dxa"/>
            <w:vMerge w:val="continue"/>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23</w:t>
            </w:r>
          </w:p>
        </w:tc>
        <w:tc>
          <w:tcPr>
            <w:tcW w:w="3600" w:type="dxa"/>
            <w:tcBorders>
              <w:top w:val="single" w:color="auto" w:sz="4" w:space="0"/>
              <w:left w:val="single" w:color="auto" w:sz="4" w:space="0"/>
              <w:bottom w:val="single" w:color="auto" w:sz="4" w:space="0"/>
              <w:right w:val="single" w:color="auto" w:sz="4" w:space="0"/>
            </w:tcBorders>
            <w:vAlign w:val="center"/>
          </w:tcPr>
          <w:p>
            <w:pPr>
              <w:jc w:val="both"/>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政府绿色采购比例</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≥80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参考性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restart"/>
            <w:tcBorders>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生态文化</w:t>
            </w:r>
          </w:p>
        </w:tc>
        <w:tc>
          <w:tcPr>
            <w:tcW w:w="1003" w:type="dxa"/>
            <w:vMerge w:val="restart"/>
            <w:tcBorders>
              <w:top w:val="single" w:color="auto" w:sz="4" w:space="0"/>
              <w:left w:val="single" w:color="auto" w:sz="4" w:space="0"/>
              <w:right w:val="single" w:color="auto" w:sz="4" w:space="0"/>
            </w:tcBorders>
            <w:vAlign w:val="center"/>
          </w:tcPr>
          <w:p>
            <w:pPr>
              <w:widowControl/>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val="en-US" w:eastAsia="zh-CN"/>
              </w:rPr>
              <w:t>（八）观念意识普及</w:t>
            </w: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24</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制定实施有关节约资源和保护环境村（社区）规民约</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制定并实施</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约束性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制定并</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实施</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制定并实施</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制定并实施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0000FF"/>
                <w:sz w:val="24"/>
                <w:szCs w:val="24"/>
              </w:rPr>
            </w:pPr>
          </w:p>
        </w:tc>
        <w:tc>
          <w:tcPr>
            <w:tcW w:w="1003"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0000FF"/>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25</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生态环境保护宣传教育</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开展</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参考性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开展</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开展</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0000FF"/>
                <w:sz w:val="24"/>
                <w:szCs w:val="24"/>
              </w:rPr>
            </w:pPr>
          </w:p>
        </w:tc>
        <w:tc>
          <w:tcPr>
            <w:tcW w:w="1003" w:type="dxa"/>
            <w:vMerge w:val="continue"/>
            <w:tcBorders>
              <w:left w:val="single" w:color="auto" w:sz="4" w:space="0"/>
              <w:right w:val="single" w:color="auto" w:sz="4" w:space="0"/>
            </w:tcBorders>
            <w:vAlign w:val="center"/>
          </w:tcPr>
          <w:p>
            <w:pPr>
              <w:widowControl/>
              <w:jc w:val="left"/>
              <w:rPr>
                <w:rFonts w:hint="eastAsia" w:ascii="仿宋_GB2312" w:hAnsi="仿宋_GB2312" w:eastAsia="仿宋_GB2312" w:cs="仿宋_GB2312"/>
                <w:color w:val="0000FF"/>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26</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镇（村）干部参加生态文明培训</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执行</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参考性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执行</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执行</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617" w:type="dxa"/>
            <w:vMerge w:val="continue"/>
            <w:tcBorders>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FF"/>
                <w:sz w:val="24"/>
                <w:szCs w:val="24"/>
              </w:rPr>
            </w:pPr>
          </w:p>
        </w:tc>
        <w:tc>
          <w:tcPr>
            <w:tcW w:w="1003" w:type="dxa"/>
            <w:vMerge w:val="continue"/>
            <w:tcBorders>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color w:val="0000FF"/>
                <w:sz w:val="24"/>
                <w:szCs w:val="24"/>
              </w:rPr>
            </w:pPr>
          </w:p>
        </w:tc>
        <w:tc>
          <w:tcPr>
            <w:tcW w:w="55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27</w:t>
            </w:r>
          </w:p>
        </w:tc>
        <w:tc>
          <w:tcPr>
            <w:tcW w:w="36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公众对生态文明建设的满意度</w:t>
            </w:r>
          </w:p>
        </w:tc>
        <w:tc>
          <w:tcPr>
            <w:tcW w:w="12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1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≥80</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参考性</w:t>
            </w:r>
          </w:p>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指标</w:t>
            </w:r>
          </w:p>
        </w:tc>
        <w:tc>
          <w:tcPr>
            <w:tcW w:w="15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90</w:t>
            </w:r>
          </w:p>
        </w:tc>
        <w:tc>
          <w:tcPr>
            <w:tcW w:w="98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已达标</w:t>
            </w:r>
          </w:p>
        </w:tc>
        <w:tc>
          <w:tcPr>
            <w:tcW w:w="10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90</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94</w:t>
            </w:r>
          </w:p>
        </w:tc>
      </w:tr>
    </w:tbl>
    <w:p>
      <w:pPr>
        <w:snapToGrid w:val="0"/>
        <w:spacing w:line="300" w:lineRule="auto"/>
        <w:jc w:val="center"/>
        <w:rPr>
          <w:rFonts w:hint="default" w:ascii="Times New Roman" w:hAnsi="Times New Roman" w:cs="Times New Roman"/>
          <w:b/>
          <w:color w:val="0000FF"/>
        </w:rPr>
      </w:pPr>
    </w:p>
    <w:p>
      <w:pPr>
        <w:snapToGrid w:val="0"/>
        <w:spacing w:line="300" w:lineRule="auto"/>
        <w:jc w:val="both"/>
        <w:rPr>
          <w:rFonts w:hint="default" w:ascii="Times New Roman" w:hAnsi="Times New Roman" w:cs="Times New Roman"/>
          <w:b/>
          <w:color w:val="0000FF"/>
        </w:rPr>
      </w:pPr>
    </w:p>
    <w:p>
      <w:pPr>
        <w:pStyle w:val="6"/>
        <w:rPr>
          <w:rFonts w:hint="default" w:ascii="Times New Roman" w:hAnsi="Times New Roman" w:eastAsia="宋体" w:cs="Times New Roman"/>
          <w:color w:val="0000FF"/>
          <w:kern w:val="0"/>
        </w:rPr>
        <w:sectPr>
          <w:pgSz w:w="16838" w:h="11906" w:orient="landscape"/>
          <w:pgMar w:top="1797" w:right="1440" w:bottom="1797" w:left="1440" w:header="851" w:footer="992" w:gutter="0"/>
          <w:pgBorders w:offsetFrom="page">
            <w:top w:val="none" w:sz="0" w:space="0"/>
            <w:left w:val="none" w:sz="0" w:space="0"/>
            <w:bottom w:val="none" w:sz="0" w:space="0"/>
            <w:right w:val="none" w:sz="0" w:space="0"/>
          </w:pgBorders>
          <w:pgNumType w:fmt="numberInDash"/>
          <w:cols w:space="720" w:num="1"/>
          <w:rtlGutter w:val="0"/>
          <w:docGrid w:type="linesAndChars" w:linePitch="312" w:charSpace="0"/>
        </w:sectPr>
      </w:pPr>
    </w:p>
    <w:p>
      <w:pPr>
        <w:pStyle w:val="5"/>
        <w:pageBreakBefore w:val="0"/>
        <w:tabs>
          <w:tab w:val="clear" w:pos="576"/>
        </w:tabs>
        <w:kinsoku/>
        <w:overflowPunct/>
        <w:topLinePunct w:val="0"/>
        <w:autoSpaceDE/>
        <w:autoSpaceDN/>
        <w:bidi w:val="0"/>
        <w:adjustRightInd/>
        <w:snapToGri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val="en-US" w:eastAsia="zh-CN"/>
        </w:rPr>
      </w:pPr>
      <w:bookmarkStart w:id="169" w:name="_Toc6898"/>
      <w:bookmarkStart w:id="170" w:name="_Toc10571"/>
      <w:r>
        <w:rPr>
          <w:rFonts w:hint="eastAsia" w:ascii="楷体_GB2312" w:hAnsi="楷体_GB2312" w:eastAsia="楷体_GB2312" w:cs="楷体_GB2312"/>
          <w:color w:val="auto"/>
          <w:sz w:val="32"/>
          <w:szCs w:val="32"/>
          <w:lang w:eastAsia="zh-CN"/>
        </w:rPr>
        <w:t>（四）</w:t>
      </w:r>
      <w:r>
        <w:rPr>
          <w:rFonts w:hint="eastAsia" w:ascii="楷体_GB2312" w:hAnsi="楷体_GB2312" w:eastAsia="楷体_GB2312" w:cs="楷体_GB2312"/>
          <w:color w:val="auto"/>
          <w:sz w:val="32"/>
          <w:szCs w:val="32"/>
          <w:lang w:val="en-US" w:eastAsia="zh-CN"/>
        </w:rPr>
        <w:t>指标达标分析</w:t>
      </w:r>
      <w:bookmarkEnd w:id="169"/>
      <w:bookmarkEnd w:id="170"/>
    </w:p>
    <w:p>
      <w:pPr>
        <w:pageBreakBefore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1.生态制度</w:t>
      </w:r>
    </w:p>
    <w:p>
      <w:pPr>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正在编制《</w:t>
      </w:r>
      <w:r>
        <w:rPr>
          <w:rFonts w:hint="eastAsia" w:ascii="仿宋_GB2312" w:hAnsi="仿宋_GB2312" w:eastAsia="仿宋_GB2312" w:cs="仿宋_GB2312"/>
          <w:color w:val="auto"/>
          <w:sz w:val="32"/>
          <w:szCs w:val="32"/>
          <w:lang w:val="en-US" w:eastAsia="zh-CN"/>
        </w:rPr>
        <w:t>长沙市望城区高塘岭街道</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实施方案》（</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编制完成并评审通过后，</w:t>
      </w:r>
      <w:r>
        <w:rPr>
          <w:rFonts w:hint="eastAsia" w:ascii="仿宋_GB2312" w:hAnsi="仿宋_GB2312" w:eastAsia="仿宋_GB2312" w:cs="仿宋_GB2312"/>
          <w:color w:val="auto"/>
          <w:sz w:val="32"/>
          <w:szCs w:val="32"/>
          <w:lang w:val="en-US" w:eastAsia="zh-CN"/>
        </w:rPr>
        <w:t>由街道办事处审议后颁布实施</w:t>
      </w:r>
      <w:r>
        <w:rPr>
          <w:rFonts w:hint="eastAsia" w:ascii="仿宋_GB2312" w:hAnsi="仿宋_GB2312" w:eastAsia="仿宋_GB2312" w:cs="仿宋_GB2312"/>
          <w:color w:val="auto"/>
          <w:sz w:val="32"/>
          <w:szCs w:val="32"/>
        </w:rPr>
        <w:t>，作为指导</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创建生态文明建设示范街道</w:t>
      </w:r>
      <w:r>
        <w:rPr>
          <w:rFonts w:hint="eastAsia" w:ascii="仿宋_GB2312" w:hAnsi="仿宋_GB2312" w:eastAsia="仿宋_GB2312" w:cs="仿宋_GB2312"/>
          <w:color w:val="auto"/>
          <w:sz w:val="32"/>
          <w:szCs w:val="32"/>
        </w:rPr>
        <w:t>的纲领性文件，</w:t>
      </w:r>
      <w:r>
        <w:rPr>
          <w:rFonts w:hint="eastAsia" w:ascii="仿宋_GB2312" w:hAnsi="仿宋_GB2312" w:eastAsia="仿宋_GB2312" w:cs="仿宋_GB2312"/>
          <w:color w:val="auto"/>
          <w:sz w:val="32"/>
          <w:szCs w:val="32"/>
          <w:lang w:eastAsia="zh-CN"/>
        </w:rPr>
        <w:t>由</w:t>
      </w:r>
      <w:r>
        <w:rPr>
          <w:rFonts w:hint="eastAsia" w:ascii="仿宋_GB2312" w:hAnsi="仿宋_GB2312" w:eastAsia="仿宋_GB2312" w:cs="仿宋_GB2312"/>
          <w:color w:val="auto"/>
          <w:sz w:val="32"/>
          <w:szCs w:val="32"/>
          <w:lang w:val="en-US" w:eastAsia="zh-CN"/>
        </w:rPr>
        <w:t>街道办事处</w:t>
      </w:r>
      <w:r>
        <w:rPr>
          <w:rFonts w:hint="eastAsia" w:ascii="仿宋_GB2312" w:hAnsi="仿宋_GB2312" w:eastAsia="仿宋_GB2312" w:cs="仿宋_GB2312"/>
          <w:color w:val="auto"/>
          <w:sz w:val="32"/>
          <w:szCs w:val="32"/>
          <w:lang w:eastAsia="zh-CN"/>
        </w:rPr>
        <w:t>组织实施。方案实施年限为202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年，到202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年创建收官年份尚在有效期，可达到创建指标要求。</w:t>
      </w:r>
    </w:p>
    <w:p>
      <w:pPr>
        <w:keepNext w:val="0"/>
        <w:keepLines w:val="0"/>
        <w:pageBreakBefore w:val="0"/>
        <w:widowControl/>
        <w:suppressLineNumbers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根据《长沙市全面推行林长制实施方案》、林长会议制度、巡林制度、林长令等各项制度，2022年高塘岭街道按照上级要求已全面实施林长制，全面建立街道、村（社区）林长制工作体系，构建“一长三员”（林长+护林员+监管员+执法员）分区负责的网络化管护体系，基本建立林长会议、部门协作、信息公开、工作督查、考核等十项制度。设立街道级林长，由街道党工委书记担任，第一副林长由办事处主任担任，其他班子副职担任街道级副林长。村（社区）设立林长，由村（社区）党组织书记担任，支村（社区）两委成员担任村级副林长。全面落实林长制，加强区域森林资源保护工作，符合创建指标要求；根据《高塘岭街道全面推行河长制工作实施方案》，高塘岭街道已于2018年开始全面推行河长制、湖长制，各级河长、湖长加强巡河管控，强化河道清淤、岸线保洁工作，有序劝离河边钓鱼人员、劝阻市民下河游泳，加强对污水收集处置及排水的监测监督。</w:t>
      </w:r>
      <w:r>
        <w:rPr>
          <w:rFonts w:hint="eastAsia" w:ascii="仿宋_GB2312" w:hAnsi="仿宋_GB2312" w:eastAsia="仿宋_GB2312" w:cs="仿宋_GB2312"/>
          <w:color w:val="auto"/>
          <w:sz w:val="32"/>
          <w:szCs w:val="32"/>
          <w:highlight w:val="none"/>
          <w:lang w:val="en-US" w:eastAsia="zh-CN"/>
        </w:rPr>
        <w:t>截至2022年底，高塘岭街道已稳定推行“河长制”3年以上，符合创建指标要求。</w:t>
      </w:r>
      <w:r>
        <w:rPr>
          <w:rFonts w:hint="eastAsia" w:ascii="仿宋_GB2312" w:hAnsi="仿宋_GB2312" w:eastAsia="仿宋_GB2312" w:cs="仿宋_GB2312"/>
          <w:color w:val="auto"/>
          <w:sz w:val="32"/>
          <w:szCs w:val="32"/>
          <w:lang w:val="en-US" w:eastAsia="zh-CN"/>
        </w:rPr>
        <w:t>林长制、河长制</w:t>
      </w:r>
      <w:r>
        <w:rPr>
          <w:rFonts w:hint="eastAsia" w:ascii="仿宋_GB2312" w:hAnsi="仿宋_GB2312" w:eastAsia="仿宋_GB2312" w:cs="仿宋_GB2312"/>
          <w:color w:val="auto"/>
          <w:sz w:val="32"/>
          <w:szCs w:val="32"/>
        </w:rPr>
        <w:t>达到</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rPr>
        <w:t>长沙市</w:t>
      </w:r>
      <w:r>
        <w:rPr>
          <w:rFonts w:hint="eastAsia" w:ascii="仿宋_GB2312" w:hAnsi="仿宋_GB2312" w:eastAsia="仿宋_GB2312" w:cs="仿宋_GB2312"/>
          <w:bCs/>
          <w:color w:val="auto"/>
          <w:sz w:val="32"/>
          <w:szCs w:val="32"/>
          <w:lang w:eastAsia="zh-CN"/>
        </w:rPr>
        <w:t>生态文明建设示范街道</w:t>
      </w:r>
      <w:r>
        <w:rPr>
          <w:rFonts w:hint="eastAsia" w:ascii="仿宋_GB2312" w:hAnsi="仿宋_GB2312" w:eastAsia="仿宋_GB2312" w:cs="仿宋_GB2312"/>
          <w:bCs/>
          <w:color w:val="auto"/>
          <w:sz w:val="32"/>
          <w:szCs w:val="32"/>
        </w:rPr>
        <w:t>（乡）、村建设指标</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color w:val="auto"/>
          <w:sz w:val="32"/>
          <w:szCs w:val="32"/>
        </w:rPr>
        <w:t>的要求。</w:t>
      </w:r>
    </w:p>
    <w:p>
      <w:pPr>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实施期内</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将继续加强相关政策文件的学习，推动</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生态文明建设重大目标任务的实施；依据生态文明建设的各项任务，修订并完善生态文明建设任务执行情况的考核办法；强化河长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林长巡查</w:t>
      </w:r>
      <w:r>
        <w:rPr>
          <w:rFonts w:hint="eastAsia" w:ascii="仿宋_GB2312" w:hAnsi="仿宋_GB2312" w:eastAsia="仿宋_GB2312" w:cs="仿宋_GB2312"/>
          <w:color w:val="auto"/>
          <w:sz w:val="32"/>
          <w:szCs w:val="32"/>
        </w:rPr>
        <w:t>管理，多级河长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林长</w:t>
      </w:r>
      <w:r>
        <w:rPr>
          <w:rFonts w:hint="eastAsia" w:ascii="仿宋_GB2312" w:hAnsi="仿宋_GB2312" w:eastAsia="仿宋_GB2312" w:cs="仿宋_GB2312"/>
          <w:color w:val="auto"/>
          <w:sz w:val="32"/>
          <w:szCs w:val="32"/>
        </w:rPr>
        <w:t>齐抓共管。</w:t>
      </w:r>
    </w:p>
    <w:p>
      <w:pPr>
        <w:pageBreakBefore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val="en-US" w:eastAsia="zh-CN"/>
        </w:rPr>
        <w:t>2.生态安全</w:t>
      </w:r>
    </w:p>
    <w:p>
      <w:pPr>
        <w:keepNext w:val="0"/>
        <w:keepLines w:val="0"/>
        <w:pageBreakBefore w:val="0"/>
        <w:widowControl/>
        <w:suppressLineNumbers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val="en-US" w:eastAsia="zh-CN" w:bidi="ar"/>
        </w:rPr>
        <w:t>高塘岭街道属于平原地区，区域面积为69.07km</w:t>
      </w:r>
      <w:r>
        <w:rPr>
          <w:rFonts w:hint="eastAsia" w:ascii="仿宋_GB2312" w:hAnsi="仿宋_GB2312" w:eastAsia="仿宋_GB2312" w:cs="仿宋_GB2312"/>
          <w:color w:val="auto"/>
          <w:kern w:val="0"/>
          <w:sz w:val="32"/>
          <w:szCs w:val="32"/>
          <w:vertAlign w:val="superscript"/>
          <w:lang w:val="en-US" w:eastAsia="zh-CN" w:bidi="ar"/>
        </w:rPr>
        <w:t>2</w:t>
      </w:r>
      <w:r>
        <w:rPr>
          <w:rFonts w:hint="eastAsia" w:ascii="仿宋_GB2312" w:hAnsi="仿宋_GB2312" w:eastAsia="仿宋_GB2312" w:cs="仿宋_GB2312"/>
          <w:color w:val="auto"/>
          <w:kern w:val="0"/>
          <w:sz w:val="32"/>
          <w:szCs w:val="32"/>
          <w:lang w:val="en-US" w:eastAsia="zh-CN" w:bidi="ar"/>
        </w:rPr>
        <w:t>，截至2022年，高塘岭街道扣除水域面积后土地总面积为6085.2公顷，林地面积350公顷、草地面积为1067.8公顷，</w:t>
      </w:r>
      <w:r>
        <w:rPr>
          <w:rFonts w:hint="eastAsia" w:ascii="仿宋_GB2312" w:hAnsi="仿宋_GB2312" w:eastAsia="仿宋_GB2312" w:cs="仿宋_GB2312"/>
          <w:color w:val="auto"/>
          <w:sz w:val="32"/>
          <w:szCs w:val="32"/>
          <w:lang w:val="en-US" w:eastAsia="zh-CN"/>
        </w:rPr>
        <w:t>现状林草覆盖率达到23.3%；近年来，为持续推动农村人居环境改善提升，高塘岭街道在全街道范围内开展裸露土地种草绿化行动。近年来，高塘岭街道积极进行裸露地块排查工作，及时排查及时完成裸露地块绿化工作，在排查的裸露地块中实施种草绿化面积10.8公顷，现状裸露地块绿化率100%；高塘岭街道有54家纳入排污许可管理的工业企业，现均按要求安装污染防治设施，污染物排放实现稳定达标。</w:t>
      </w:r>
      <w:r>
        <w:rPr>
          <w:rFonts w:hint="eastAsia" w:ascii="仿宋_GB2312" w:hAnsi="仿宋_GB2312" w:eastAsia="仿宋_GB2312" w:cs="仿宋_GB2312"/>
          <w:color w:val="auto"/>
          <w:sz w:val="32"/>
          <w:szCs w:val="32"/>
        </w:rPr>
        <w:t>以上</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项指标均</w:t>
      </w:r>
      <w:r>
        <w:rPr>
          <w:rFonts w:hint="eastAsia" w:ascii="仿宋_GB2312" w:hAnsi="仿宋_GB2312" w:eastAsia="仿宋_GB2312" w:cs="仿宋_GB2312"/>
          <w:color w:val="auto"/>
          <w:sz w:val="32"/>
          <w:szCs w:val="32"/>
          <w:lang w:val="en-US" w:eastAsia="zh-CN"/>
        </w:rPr>
        <w:t>达到《长沙市生态文明建设示范街道（乡）、村建设指标》的要求。</w:t>
      </w:r>
    </w:p>
    <w:p>
      <w:pPr>
        <w:keepNext w:val="0"/>
        <w:keepLines w:val="0"/>
        <w:pageBreakBefore w:val="0"/>
        <w:widowControl/>
        <w:suppressLineNumbers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val="en-US" w:eastAsia="zh-CN" w:bidi="ar"/>
        </w:rPr>
        <w:t>实施期内，高塘岭街道将</w:t>
      </w:r>
      <w:r>
        <w:rPr>
          <w:rFonts w:hint="eastAsia" w:ascii="仿宋_GB2312" w:hAnsi="仿宋_GB2312" w:eastAsia="仿宋_GB2312" w:cs="仿宋_GB2312"/>
          <w:color w:val="auto"/>
          <w:kern w:val="0"/>
          <w:sz w:val="32"/>
          <w:szCs w:val="32"/>
        </w:rPr>
        <w:t>加强森林资源</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绿地</w:t>
      </w:r>
      <w:r>
        <w:rPr>
          <w:rFonts w:hint="eastAsia" w:ascii="仿宋_GB2312" w:hAnsi="仿宋_GB2312" w:eastAsia="仿宋_GB2312" w:cs="仿宋_GB2312"/>
          <w:color w:val="auto"/>
          <w:kern w:val="0"/>
          <w:sz w:val="32"/>
          <w:szCs w:val="32"/>
        </w:rPr>
        <w:t>保护，坚决制止毁林开垦和乱占林地行为，加快构建块状立体相结合绿化体系，确保林草覆盖率不低于现状值</w:t>
      </w:r>
      <w:r>
        <w:rPr>
          <w:rFonts w:hint="eastAsia" w:ascii="仿宋_GB2312" w:hAnsi="仿宋_GB2312" w:eastAsia="仿宋_GB2312" w:cs="仿宋_GB2312"/>
          <w:color w:val="auto"/>
          <w:kern w:val="0"/>
          <w:sz w:val="32"/>
          <w:szCs w:val="32"/>
          <w:lang w:val="en-US" w:eastAsia="zh-CN" w:bidi="ar"/>
        </w:rPr>
        <w:t>；根据《2022年长沙市大气污染防治（蓝天保卫战）行动计划》要求，</w:t>
      </w:r>
      <w:r>
        <w:rPr>
          <w:rFonts w:hint="eastAsia" w:ascii="仿宋_GB2312" w:hAnsi="仿宋_GB2312" w:eastAsia="仿宋_GB2312" w:cs="仿宋_GB2312"/>
          <w:color w:val="auto"/>
          <w:sz w:val="32"/>
          <w:szCs w:val="32"/>
          <w:lang w:val="en-US" w:eastAsia="zh-CN"/>
        </w:rPr>
        <w:t>高塘岭街道将继续强化裸露地块管控，按照“宜林则林、宜绿则绿、宜覆则覆”的原则，强化科技手段运用，</w:t>
      </w:r>
      <w:r>
        <w:rPr>
          <w:rFonts w:hint="eastAsia" w:ascii="仿宋_GB2312" w:hAnsi="仿宋_GB2312" w:eastAsia="仿宋_GB2312" w:cs="仿宋_GB2312"/>
          <w:color w:val="auto"/>
          <w:kern w:val="0"/>
          <w:sz w:val="32"/>
          <w:szCs w:val="32"/>
          <w:lang w:val="en-US" w:eastAsia="zh-CN" w:bidi="ar"/>
        </w:rPr>
        <w:t>进一步加强裸露地块排查，及时完成裸露地块绿化，实现裸露地块绿化率稳定达到100%；加强对</w:t>
      </w:r>
      <w:r>
        <w:rPr>
          <w:rFonts w:hint="eastAsia" w:ascii="仿宋_GB2312" w:hAnsi="仿宋_GB2312" w:eastAsia="仿宋_GB2312" w:cs="仿宋_GB2312"/>
          <w:color w:val="auto"/>
          <w:sz w:val="32"/>
          <w:szCs w:val="32"/>
          <w:lang w:val="en-US" w:eastAsia="zh-CN"/>
        </w:rPr>
        <w:t>工业企业的监管，确保污染物排放实现稳定达标</w:t>
      </w:r>
      <w:r>
        <w:rPr>
          <w:rFonts w:hint="eastAsia" w:ascii="仿宋_GB2312" w:hAnsi="仿宋_GB2312" w:eastAsia="仿宋_GB2312" w:cs="仿宋_GB2312"/>
          <w:color w:val="auto"/>
          <w:kern w:val="0"/>
          <w:sz w:val="32"/>
          <w:szCs w:val="32"/>
          <w:lang w:val="en-US" w:eastAsia="zh-CN" w:bidi="ar"/>
        </w:rPr>
        <w:t>。</w:t>
      </w:r>
    </w:p>
    <w:p>
      <w:pPr>
        <w:pageBreakBefore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color w:val="auto"/>
          <w:sz w:val="32"/>
          <w:szCs w:val="32"/>
          <w:lang w:val="en-US" w:eastAsia="zh-CN"/>
        </w:rPr>
      </w:pPr>
      <w:r>
        <w:rPr>
          <w:rFonts w:hint="eastAsia" w:ascii="仿宋_GB2312" w:hAnsi="仿宋_GB2312" w:eastAsia="仿宋_GB2312" w:cs="仿宋_GB2312"/>
          <w:b/>
          <w:color w:val="auto"/>
          <w:sz w:val="32"/>
          <w:szCs w:val="32"/>
          <w:lang w:val="en-US" w:eastAsia="zh-CN"/>
        </w:rPr>
        <w:t>3.生态经济</w:t>
      </w:r>
    </w:p>
    <w:p>
      <w:pPr>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
        </w:rPr>
        <w:t>近年来，</w:t>
      </w:r>
      <w:r>
        <w:rPr>
          <w:rFonts w:hint="eastAsia" w:ascii="仿宋_GB2312" w:hAnsi="仿宋_GB2312" w:eastAsia="仿宋_GB2312" w:cs="仿宋_GB2312"/>
          <w:color w:val="auto"/>
          <w:kern w:val="0"/>
          <w:sz w:val="32"/>
          <w:szCs w:val="32"/>
          <w:lang w:val="en-US" w:eastAsia="zh-CN" w:bidi="ar"/>
        </w:rPr>
        <w:t>高塘岭街道</w:t>
      </w:r>
      <w:r>
        <w:rPr>
          <w:rFonts w:hint="eastAsia" w:ascii="仿宋_GB2312" w:hAnsi="仿宋_GB2312" w:eastAsia="仿宋_GB2312" w:cs="仿宋_GB2312"/>
          <w:color w:val="auto"/>
          <w:kern w:val="2"/>
          <w:sz w:val="32"/>
          <w:szCs w:val="32"/>
          <w:lang w:val="en-US" w:eastAsia="zh-CN" w:bidi="ar"/>
        </w:rPr>
        <w:t>深入贯彻实施《湖南省到2020年农作物化肥使用量零增长行动实施方案》《湖南省农药使用量零增长行动实施方案》《湖南省人民政府办公厅关于加快推进畜禽养殖废弃物资源化利用的实施意见》《长沙市秸秆禁烧及综合利用专项方案》</w:t>
      </w:r>
      <w:r>
        <w:rPr>
          <w:rFonts w:hint="eastAsia" w:ascii="仿宋_GB2312" w:hAnsi="仿宋_GB2312" w:eastAsia="仿宋_GB2312" w:cs="仿宋_GB2312"/>
          <w:color w:val="auto"/>
          <w:kern w:val="0"/>
          <w:sz w:val="32"/>
          <w:szCs w:val="32"/>
          <w:lang w:val="en-US" w:eastAsia="zh-CN" w:bidi="ar"/>
        </w:rPr>
        <w:t>《农用薄膜管理办法》</w:t>
      </w:r>
      <w:r>
        <w:rPr>
          <w:rFonts w:hint="eastAsia" w:ascii="仿宋_GB2312" w:hAnsi="仿宋_GB2312" w:eastAsia="仿宋_GB2312" w:cs="仿宋_GB2312"/>
          <w:color w:val="auto"/>
          <w:kern w:val="2"/>
          <w:sz w:val="32"/>
          <w:szCs w:val="32"/>
          <w:lang w:val="en-US" w:eastAsia="zh-CN" w:bidi="ar"/>
        </w:rPr>
        <w:t>等系列文件精神，在提高农药化肥减量、秸秆综合利用率、农膜回收和畜禽粪污综合利用率等方面取得显著工作成效，</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年底，</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农用化肥施用量</w:t>
      </w:r>
      <w:r>
        <w:rPr>
          <w:rFonts w:hint="eastAsia" w:ascii="仿宋_GB2312" w:hAnsi="仿宋_GB2312" w:eastAsia="仿宋_GB2312" w:cs="仿宋_GB2312"/>
          <w:color w:val="auto"/>
          <w:sz w:val="32"/>
          <w:szCs w:val="32"/>
          <w:lang w:val="en-US" w:eastAsia="zh-CN"/>
        </w:rPr>
        <w:t>1211416.5千克，</w:t>
      </w:r>
      <w:r>
        <w:rPr>
          <w:rFonts w:hint="eastAsia" w:ascii="仿宋_GB2312" w:hAnsi="仿宋_GB2312" w:eastAsia="仿宋_GB2312" w:cs="仿宋_GB2312"/>
          <w:color w:val="auto"/>
          <w:sz w:val="32"/>
          <w:szCs w:val="32"/>
          <w:lang w:eastAsia="zh-CN"/>
        </w:rPr>
        <w:t>播种面积</w:t>
      </w:r>
      <w:r>
        <w:rPr>
          <w:rFonts w:hint="eastAsia" w:ascii="仿宋_GB2312" w:hAnsi="仿宋_GB2312" w:eastAsia="仿宋_GB2312" w:cs="仿宋_GB2312"/>
          <w:color w:val="auto"/>
          <w:sz w:val="32"/>
          <w:szCs w:val="32"/>
          <w:lang w:val="en-US" w:eastAsia="zh-CN"/>
        </w:rPr>
        <w:t>4288.2公顷，</w:t>
      </w:r>
      <w:r>
        <w:rPr>
          <w:rFonts w:hint="eastAsia" w:ascii="仿宋_GB2312" w:hAnsi="仿宋_GB2312" w:eastAsia="仿宋_GB2312" w:cs="仿宋_GB2312"/>
          <w:color w:val="auto"/>
          <w:sz w:val="32"/>
          <w:szCs w:val="32"/>
        </w:rPr>
        <w:t>农用化肥</w:t>
      </w:r>
      <w:r>
        <w:rPr>
          <w:rFonts w:hint="eastAsia" w:ascii="仿宋_GB2312" w:hAnsi="仿宋_GB2312" w:eastAsia="仿宋_GB2312" w:cs="仿宋_GB2312"/>
          <w:color w:val="auto"/>
          <w:sz w:val="32"/>
          <w:szCs w:val="32"/>
          <w:lang w:eastAsia="zh-CN"/>
        </w:rPr>
        <w:t>施用强度</w:t>
      </w:r>
      <w:r>
        <w:rPr>
          <w:rFonts w:hint="eastAsia" w:ascii="仿宋_GB2312" w:hAnsi="仿宋_GB2312" w:eastAsia="仿宋_GB2312" w:cs="仿宋_GB2312"/>
          <w:color w:val="auto"/>
          <w:sz w:val="32"/>
          <w:szCs w:val="32"/>
          <w:lang w:val="en-US" w:eastAsia="zh-CN"/>
        </w:rPr>
        <w:t>282.5千克/公顷；农药施用量10270.2千克，播种面积4288.2公顷，</w:t>
      </w:r>
      <w:r>
        <w:rPr>
          <w:rFonts w:hint="eastAsia" w:ascii="仿宋_GB2312" w:hAnsi="仿宋_GB2312" w:eastAsia="仿宋_GB2312" w:cs="仿宋_GB2312"/>
          <w:color w:val="auto"/>
          <w:sz w:val="32"/>
          <w:szCs w:val="32"/>
          <w:lang w:eastAsia="zh-CN"/>
        </w:rPr>
        <w:t>农药</w:t>
      </w:r>
      <w:r>
        <w:rPr>
          <w:rFonts w:hint="eastAsia" w:ascii="仿宋_GB2312" w:hAnsi="仿宋_GB2312" w:eastAsia="仿宋_GB2312" w:cs="仿宋_GB2312"/>
          <w:color w:val="auto"/>
          <w:sz w:val="32"/>
          <w:szCs w:val="32"/>
          <w:lang w:val="en-US" w:eastAsia="zh-CN"/>
        </w:rPr>
        <w:t>施用强度2.95千克/公顷；2</w:t>
      </w:r>
      <w:r>
        <w:rPr>
          <w:rFonts w:hint="eastAsia" w:ascii="仿宋_GB2312" w:hAnsi="仿宋_GB2312" w:eastAsia="仿宋_GB2312" w:cs="仿宋_GB2312"/>
          <w:color w:val="auto"/>
          <w:kern w:val="2"/>
          <w:sz w:val="32"/>
          <w:szCs w:val="32"/>
          <w:lang w:val="en-US" w:eastAsia="zh-CN" w:bidi="ar"/>
        </w:rPr>
        <w:t>022年</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kern w:val="2"/>
          <w:sz w:val="32"/>
          <w:szCs w:val="32"/>
          <w:lang w:val="en-US" w:eastAsia="zh-CN" w:bidi="ar"/>
        </w:rPr>
        <w:t>秸秆产生量2307t，综合利用的秸秆量2433t，秸秆综合利用率94.8%；2022年，</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kern w:val="2"/>
          <w:sz w:val="32"/>
          <w:szCs w:val="32"/>
          <w:lang w:val="en-US" w:eastAsia="zh-CN" w:bidi="ar"/>
        </w:rPr>
        <w:t>农膜使用量为18.1t/a，回收农膜量20.6t/a，农膜回收率为87.6%；根据湖南省生态环境厅公布的《湖南省2022年度重点企业清洁生产审核名单》，2022年</w:t>
      </w:r>
      <w:r>
        <w:rPr>
          <w:rFonts w:hint="eastAsia" w:ascii="仿宋_GB2312" w:hAnsi="仿宋_GB2312" w:eastAsia="仿宋_GB2312" w:cs="仿宋_GB2312"/>
          <w:color w:val="auto"/>
          <w:sz w:val="32"/>
          <w:szCs w:val="32"/>
          <w:lang w:val="en-US" w:eastAsia="zh-CN"/>
        </w:rPr>
        <w:t>高塘岭街道无强制清洁生产审核企业；高塘岭街道</w:t>
      </w:r>
      <w:r>
        <w:rPr>
          <w:rFonts w:hint="eastAsia" w:ascii="仿宋_GB2312" w:hAnsi="仿宋_GB2312" w:eastAsia="仿宋_GB2312" w:cs="仿宋_GB2312"/>
          <w:color w:val="auto"/>
          <w:sz w:val="32"/>
          <w:szCs w:val="32"/>
          <w:lang w:eastAsia="zh-CN"/>
        </w:rPr>
        <w:t>积极开展</w:t>
      </w:r>
      <w:r>
        <w:rPr>
          <w:rFonts w:hint="eastAsia" w:ascii="仿宋_GB2312" w:hAnsi="仿宋_GB2312" w:eastAsia="仿宋_GB2312" w:cs="仿宋_GB2312"/>
          <w:color w:val="auto"/>
          <w:sz w:val="32"/>
          <w:szCs w:val="32"/>
          <w:lang w:val="en-US" w:eastAsia="zh-CN"/>
        </w:rPr>
        <w:t>有机、绿色或地理标志农产品认证工作，目前长沙龙虎生态农业科技有限公司的蒸香米、鲜香米、岭南丝苗米等通过绿色农产品认证；根据长沙市望城区人民政府办公室《关于调整畜禽养殖禁养区的通知》，高塘岭街道全面禁止规模养殖（除科研、教学、育种特批除外）。高塘岭街道无规模畜禽养殖场（养殖小区），因此不涉及畜禽粪污综合利用率该项指标。</w:t>
      </w:r>
      <w:r>
        <w:rPr>
          <w:rFonts w:hint="eastAsia" w:ascii="仿宋_GB2312" w:hAnsi="仿宋_GB2312" w:eastAsia="仿宋_GB2312" w:cs="仿宋_GB2312"/>
          <w:color w:val="auto"/>
          <w:sz w:val="32"/>
          <w:szCs w:val="32"/>
        </w:rPr>
        <w:t>以上</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项指标均达到</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rPr>
        <w:t>长沙市</w:t>
      </w:r>
      <w:r>
        <w:rPr>
          <w:rFonts w:hint="eastAsia" w:ascii="仿宋_GB2312" w:hAnsi="仿宋_GB2312" w:eastAsia="仿宋_GB2312" w:cs="仿宋_GB2312"/>
          <w:bCs/>
          <w:color w:val="auto"/>
          <w:sz w:val="32"/>
          <w:szCs w:val="32"/>
          <w:lang w:eastAsia="zh-CN"/>
        </w:rPr>
        <w:t>生态文明建设示范街道</w:t>
      </w:r>
      <w:r>
        <w:rPr>
          <w:rFonts w:hint="eastAsia" w:ascii="仿宋_GB2312" w:hAnsi="仿宋_GB2312" w:eastAsia="仿宋_GB2312" w:cs="仿宋_GB2312"/>
          <w:bCs/>
          <w:color w:val="auto"/>
          <w:sz w:val="32"/>
          <w:szCs w:val="32"/>
        </w:rPr>
        <w:t>（乡）、村建设指标</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color w:val="auto"/>
          <w:sz w:val="32"/>
          <w:szCs w:val="32"/>
        </w:rPr>
        <w:t>的要求。</w:t>
      </w:r>
    </w:p>
    <w:p>
      <w:pPr>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实施期内，高塘岭街道</w:t>
      </w:r>
      <w:r>
        <w:rPr>
          <w:rFonts w:hint="eastAsia" w:ascii="仿宋_GB2312" w:hAnsi="仿宋_GB2312" w:eastAsia="仿宋_GB2312" w:cs="仿宋_GB2312"/>
          <w:color w:val="auto"/>
          <w:sz w:val="32"/>
          <w:szCs w:val="32"/>
        </w:rPr>
        <w:t>将坚持</w:t>
      </w:r>
      <w:r>
        <w:rPr>
          <w:rFonts w:hint="eastAsia" w:ascii="仿宋_GB2312" w:hAnsi="仿宋_GB2312" w:eastAsia="仿宋_GB2312" w:cs="仿宋_GB2312"/>
          <w:color w:val="auto"/>
          <w:sz w:val="32"/>
          <w:szCs w:val="32"/>
          <w:lang w:eastAsia="zh-CN"/>
        </w:rPr>
        <w:t>生态经济发展</w:t>
      </w:r>
      <w:r>
        <w:rPr>
          <w:rFonts w:hint="eastAsia" w:ascii="仿宋_GB2312" w:hAnsi="仿宋_GB2312" w:eastAsia="仿宋_GB2312" w:cs="仿宋_GB2312"/>
          <w:color w:val="auto"/>
          <w:sz w:val="32"/>
          <w:szCs w:val="32"/>
        </w:rPr>
        <w:t>，继续大力支持和引导生态农业建设，深入推进农用化肥和农药减量增效，建立农膜回收利用长效机制，</w:t>
      </w:r>
      <w:r>
        <w:rPr>
          <w:rFonts w:hint="eastAsia" w:ascii="仿宋_GB2312" w:hAnsi="仿宋_GB2312" w:eastAsia="仿宋_GB2312" w:cs="仿宋_GB2312"/>
          <w:color w:val="auto"/>
          <w:sz w:val="32"/>
          <w:szCs w:val="32"/>
          <w:lang w:val="en-US" w:eastAsia="zh-CN"/>
        </w:rPr>
        <w:t>大力推进长沙市望城区高塘岭街道新阳村等5个村高标准农田建设项目，</w:t>
      </w:r>
      <w:r>
        <w:rPr>
          <w:rFonts w:hint="eastAsia" w:ascii="仿宋_GB2312" w:hAnsi="仿宋_GB2312" w:eastAsia="仿宋_GB2312" w:cs="仿宋_GB2312"/>
          <w:color w:val="auto"/>
          <w:sz w:val="32"/>
          <w:szCs w:val="32"/>
        </w:rPr>
        <w:t>进一步提高农业</w:t>
      </w:r>
      <w:r>
        <w:rPr>
          <w:rFonts w:hint="eastAsia" w:ascii="仿宋_GB2312" w:hAnsi="仿宋_GB2312" w:eastAsia="仿宋_GB2312" w:cs="仿宋_GB2312"/>
          <w:color w:val="auto"/>
          <w:sz w:val="32"/>
          <w:szCs w:val="32"/>
          <w:lang w:eastAsia="zh-CN"/>
        </w:rPr>
        <w:t>生产</w:t>
      </w:r>
      <w:r>
        <w:rPr>
          <w:rFonts w:hint="eastAsia" w:ascii="仿宋_GB2312" w:hAnsi="仿宋_GB2312" w:eastAsia="仿宋_GB2312" w:cs="仿宋_GB2312"/>
          <w:color w:val="auto"/>
          <w:sz w:val="32"/>
          <w:szCs w:val="32"/>
        </w:rPr>
        <w:t>发展水平。同时完善秸秆收储系统建设，</w:t>
      </w:r>
      <w:r>
        <w:rPr>
          <w:rFonts w:hint="eastAsia" w:ascii="仿宋_GB2312" w:hAnsi="仿宋_GB2312" w:eastAsia="仿宋_GB2312" w:cs="仿宋_GB2312"/>
          <w:color w:val="auto"/>
          <w:sz w:val="32"/>
          <w:szCs w:val="32"/>
          <w:lang w:eastAsia="zh-CN"/>
        </w:rPr>
        <w:t>提高</w:t>
      </w:r>
      <w:r>
        <w:rPr>
          <w:rFonts w:hint="eastAsia" w:ascii="仿宋_GB2312" w:hAnsi="仿宋_GB2312" w:eastAsia="仿宋_GB2312" w:cs="仿宋_GB2312"/>
          <w:color w:val="auto"/>
          <w:sz w:val="32"/>
          <w:szCs w:val="32"/>
        </w:rPr>
        <w:t>农业废弃物综合利用技术，到202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年底可实现</w:t>
      </w:r>
      <w:r>
        <w:rPr>
          <w:rFonts w:hint="eastAsia" w:ascii="仿宋_GB2312" w:hAnsi="仿宋_GB2312" w:eastAsia="仿宋_GB2312" w:cs="仿宋_GB2312"/>
          <w:color w:val="auto"/>
          <w:sz w:val="32"/>
          <w:szCs w:val="32"/>
          <w:lang w:eastAsia="zh-CN"/>
        </w:rPr>
        <w:t>农用化肥和农药施用强度逐年下降，</w:t>
      </w:r>
      <w:r>
        <w:rPr>
          <w:rFonts w:hint="eastAsia" w:ascii="仿宋_GB2312" w:hAnsi="仿宋_GB2312" w:eastAsia="仿宋_GB2312" w:cs="仿宋_GB2312"/>
          <w:color w:val="auto"/>
          <w:sz w:val="32"/>
          <w:szCs w:val="32"/>
        </w:rPr>
        <w:t>农作物秸秆综合利用率</w:t>
      </w:r>
      <w:r>
        <w:rPr>
          <w:rFonts w:hint="eastAsia" w:ascii="仿宋_GB2312" w:hAnsi="仿宋_GB2312" w:eastAsia="仿宋_GB2312" w:cs="仿宋_GB2312"/>
          <w:color w:val="auto"/>
          <w:sz w:val="32"/>
          <w:szCs w:val="32"/>
          <w:lang w:val="en-US" w:eastAsia="zh-CN"/>
        </w:rPr>
        <w:t>持续提高、农膜回收率持续提高，提高有机、绿色或地理标志农产品认证比例。</w:t>
      </w:r>
    </w:p>
    <w:p>
      <w:pPr>
        <w:pageBreakBefore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lang w:val="en-US" w:eastAsia="zh-CN"/>
        </w:rPr>
        <w:t>4.</w:t>
      </w:r>
      <w:r>
        <w:rPr>
          <w:rFonts w:hint="eastAsia" w:ascii="仿宋_GB2312" w:hAnsi="仿宋_GB2312" w:eastAsia="仿宋_GB2312" w:cs="仿宋_GB2312"/>
          <w:b/>
          <w:color w:val="auto"/>
          <w:sz w:val="32"/>
          <w:szCs w:val="32"/>
        </w:rPr>
        <w:t>生态</w:t>
      </w:r>
      <w:r>
        <w:rPr>
          <w:rFonts w:hint="eastAsia" w:ascii="仿宋_GB2312" w:hAnsi="仿宋_GB2312" w:eastAsia="仿宋_GB2312" w:cs="仿宋_GB2312"/>
          <w:b/>
          <w:color w:val="auto"/>
          <w:sz w:val="32"/>
          <w:szCs w:val="32"/>
          <w:lang w:eastAsia="zh-CN"/>
        </w:rPr>
        <w:t>生活</w:t>
      </w:r>
    </w:p>
    <w:p>
      <w:pPr>
        <w:pageBreakBefore w:val="0"/>
        <w:numPr>
          <w:ilvl w:val="0"/>
          <w:numId w:val="0"/>
        </w:numPr>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bidi="ar"/>
        </w:rPr>
        <w:t>高塘岭街道</w:t>
      </w:r>
      <w:r>
        <w:rPr>
          <w:rFonts w:hint="eastAsia" w:ascii="仿宋_GB2312" w:hAnsi="仿宋_GB2312" w:eastAsia="仿宋_GB2312" w:cs="仿宋_GB2312"/>
          <w:color w:val="auto"/>
          <w:sz w:val="32"/>
          <w:szCs w:val="32"/>
          <w:lang w:eastAsia="zh-CN" w:bidi="ar"/>
        </w:rPr>
        <w:t>内无集中式饮用水水源地</w:t>
      </w:r>
      <w:r>
        <w:rPr>
          <w:rFonts w:hint="eastAsia" w:ascii="仿宋_GB2312" w:hAnsi="仿宋_GB2312" w:eastAsia="仿宋_GB2312" w:cs="仿宋_GB2312"/>
          <w:color w:val="auto"/>
          <w:sz w:val="32"/>
          <w:szCs w:val="32"/>
          <w:lang w:bidi="ar"/>
        </w:rPr>
        <w:t>；</w:t>
      </w: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望城区</w:t>
      </w:r>
      <w:r>
        <w:rPr>
          <w:rFonts w:hint="eastAsia" w:ascii="仿宋_GB2312" w:hAnsi="仿宋_GB2312" w:eastAsia="仿宋_GB2312" w:cs="仿宋_GB2312"/>
          <w:color w:val="auto"/>
          <w:sz w:val="32"/>
          <w:szCs w:val="32"/>
        </w:rPr>
        <w:t>疾控中心检测村镇饮用水水质常规检测结果，</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卫生合格率现状值为100%；在生活污水治理方面，</w:t>
      </w:r>
      <w:r>
        <w:rPr>
          <w:rFonts w:hint="eastAsia" w:ascii="仿宋_GB2312" w:hAnsi="仿宋_GB2312" w:eastAsia="仿宋_GB2312" w:cs="仿宋_GB2312"/>
          <w:color w:val="auto"/>
          <w:kern w:val="2"/>
          <w:sz w:val="32"/>
          <w:szCs w:val="32"/>
          <w:shd w:val="clear" w:color="auto" w:fill="FFFFFF"/>
          <w:lang w:val="en-US" w:eastAsia="zh-CN" w:bidi="ar"/>
        </w:rPr>
        <w:t>高塘岭街道在居民较集中的地区建设污水处理厂。目前，有二处集中污水处理设施，主要处理周边农户，分别为望城污水处理厂、新康污水处理厂，同时，高塘岭街道结合农村卫生改厕项目的实施，因地制宜实现农村生活污水资源化利用。</w:t>
      </w:r>
      <w:r>
        <w:rPr>
          <w:rFonts w:hint="eastAsia" w:ascii="仿宋_GB2312" w:hAnsi="仿宋_GB2312" w:eastAsia="仿宋_GB2312" w:cs="仿宋_GB2312"/>
          <w:color w:val="auto"/>
          <w:sz w:val="32"/>
          <w:szCs w:val="32"/>
          <w:lang w:val="en-US" w:eastAsia="zh-CN"/>
        </w:rPr>
        <w:t>乡镇污水处理达标率</w:t>
      </w:r>
      <w:r>
        <w:rPr>
          <w:rFonts w:hint="eastAsia" w:ascii="仿宋_GB2312" w:hAnsi="仿宋_GB2312" w:eastAsia="仿宋_GB2312" w:cs="仿宋_GB2312"/>
          <w:color w:val="auto"/>
          <w:sz w:val="32"/>
          <w:szCs w:val="32"/>
        </w:rPr>
        <w:t>现状值达到</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农村</w:t>
      </w:r>
      <w:r>
        <w:rPr>
          <w:rFonts w:hint="eastAsia" w:ascii="仿宋_GB2312" w:hAnsi="仿宋_GB2312" w:eastAsia="仿宋_GB2312" w:cs="仿宋_GB2312"/>
          <w:color w:val="auto"/>
          <w:sz w:val="32"/>
          <w:szCs w:val="32"/>
        </w:rPr>
        <w:t>生活污水处理率现状值达到</w:t>
      </w:r>
      <w:r>
        <w:rPr>
          <w:rFonts w:hint="eastAsia" w:ascii="仿宋_GB2312" w:hAnsi="仿宋_GB2312" w:eastAsia="仿宋_GB2312" w:cs="仿宋_GB2312"/>
          <w:color w:val="auto"/>
          <w:sz w:val="32"/>
          <w:szCs w:val="32"/>
          <w:lang w:val="en-US" w:eastAsia="zh-CN"/>
        </w:rPr>
        <w:t>98.7</w:t>
      </w:r>
      <w:r>
        <w:rPr>
          <w:rFonts w:hint="eastAsia" w:ascii="仿宋_GB2312" w:hAnsi="仿宋_GB2312" w:eastAsia="仿宋_GB2312" w:cs="仿宋_GB2312"/>
          <w:color w:val="auto"/>
          <w:sz w:val="32"/>
          <w:szCs w:val="32"/>
        </w:rPr>
        <w:t>%；在生活垃圾无害化处理方面，</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bCs/>
          <w:color w:val="auto"/>
          <w:sz w:val="32"/>
          <w:szCs w:val="32"/>
        </w:rPr>
        <w:t>推广</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垃圾分类</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促进生活绿色循环，按</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一日一保洁</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制度，以</w:t>
      </w:r>
      <w:r>
        <w:rPr>
          <w:rFonts w:hint="eastAsia" w:ascii="仿宋_GB2312" w:hAnsi="仿宋_GB2312" w:eastAsia="仿宋_GB2312" w:cs="仿宋_GB2312"/>
          <w:color w:val="auto"/>
          <w:sz w:val="32"/>
          <w:szCs w:val="32"/>
          <w:shd w:val="clear" w:color="auto" w:fill="FFFFFF"/>
          <w:lang w:val="en-US" w:eastAsia="zh-CN"/>
        </w:rPr>
        <w:t>“分户收集，分类处理，村民自治，政府补贴，公司运营”</w:t>
      </w:r>
      <w:r>
        <w:rPr>
          <w:rFonts w:hint="eastAsia" w:ascii="仿宋_GB2312" w:hAnsi="仿宋_GB2312" w:eastAsia="仿宋_GB2312" w:cs="仿宋_GB2312"/>
          <w:bCs/>
          <w:color w:val="auto"/>
          <w:sz w:val="32"/>
          <w:szCs w:val="32"/>
        </w:rPr>
        <w:t>的模式，</w:t>
      </w:r>
      <w:r>
        <w:rPr>
          <w:rFonts w:hint="eastAsia" w:ascii="仿宋_GB2312" w:hAnsi="仿宋_GB2312" w:eastAsia="仿宋_GB2312" w:cs="仿宋_GB2312"/>
          <w:bCs/>
          <w:color w:val="auto"/>
          <w:sz w:val="32"/>
          <w:szCs w:val="32"/>
          <w:lang w:eastAsia="zh-CN"/>
        </w:rPr>
        <w:t>交给第三方处理公司进行处理，全街道</w:t>
      </w:r>
      <w:r>
        <w:rPr>
          <w:rFonts w:hint="eastAsia" w:ascii="仿宋_GB2312" w:hAnsi="仿宋_GB2312" w:eastAsia="仿宋_GB2312" w:cs="仿宋_GB2312"/>
          <w:bCs/>
          <w:color w:val="auto"/>
          <w:sz w:val="32"/>
          <w:szCs w:val="32"/>
        </w:rPr>
        <w:t>环境卫生质量得到显著提高，</w:t>
      </w:r>
      <w:r>
        <w:rPr>
          <w:rFonts w:hint="eastAsia" w:ascii="仿宋_GB2312" w:hAnsi="仿宋_GB2312" w:eastAsia="仿宋_GB2312" w:cs="仿宋_GB2312"/>
          <w:color w:val="auto"/>
          <w:sz w:val="32"/>
          <w:szCs w:val="32"/>
        </w:rPr>
        <w:t>现状</w:t>
      </w:r>
      <w:r>
        <w:rPr>
          <w:rFonts w:hint="eastAsia" w:ascii="仿宋_GB2312" w:hAnsi="仿宋_GB2312" w:eastAsia="仿宋_GB2312" w:cs="仿宋_GB2312"/>
          <w:color w:val="auto"/>
          <w:sz w:val="32"/>
          <w:szCs w:val="32"/>
          <w:lang w:val="en-US" w:eastAsia="zh-CN"/>
        </w:rPr>
        <w:t>生活垃圾</w:t>
      </w:r>
      <w:r>
        <w:rPr>
          <w:rFonts w:hint="eastAsia" w:ascii="仿宋_GB2312" w:hAnsi="仿宋_GB2312" w:eastAsia="仿宋_GB2312" w:cs="仿宋_GB2312"/>
          <w:color w:val="auto"/>
          <w:sz w:val="32"/>
          <w:szCs w:val="32"/>
        </w:rPr>
        <w:t>无害化处理率达到</w:t>
      </w:r>
      <w:r>
        <w:rPr>
          <w:rFonts w:hint="eastAsia" w:ascii="仿宋_GB2312" w:hAnsi="仿宋_GB2312" w:eastAsia="仿宋_GB2312" w:cs="仿宋_GB2312"/>
          <w:color w:val="auto"/>
          <w:sz w:val="32"/>
          <w:szCs w:val="32"/>
          <w:lang w:val="en-US" w:eastAsia="zh-CN"/>
        </w:rPr>
        <w:t>96.8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有小微水体共计</w:t>
      </w:r>
      <w:r>
        <w:rPr>
          <w:rFonts w:hint="eastAsia" w:ascii="仿宋_GB2312" w:hAnsi="仿宋_GB2312" w:eastAsia="仿宋_GB2312" w:cs="仿宋_GB2312"/>
          <w:color w:val="auto"/>
          <w:sz w:val="32"/>
          <w:szCs w:val="32"/>
          <w:lang w:val="en-US" w:eastAsia="zh-CN"/>
        </w:rPr>
        <w:t>557</w:t>
      </w:r>
      <w:r>
        <w:rPr>
          <w:rFonts w:hint="eastAsia" w:ascii="仿宋_GB2312" w:hAnsi="仿宋_GB2312" w:eastAsia="仿宋_GB2312" w:cs="仿宋_GB2312"/>
          <w:color w:val="auto"/>
          <w:sz w:val="32"/>
          <w:szCs w:val="32"/>
        </w:rPr>
        <w:t>处，</w:t>
      </w:r>
      <w:r>
        <w:rPr>
          <w:rFonts w:hint="eastAsia" w:ascii="仿宋_GB2312" w:hAnsi="仿宋_GB2312" w:eastAsia="仿宋_GB2312" w:cs="仿宋_GB2312"/>
          <w:color w:val="auto"/>
          <w:sz w:val="32"/>
          <w:szCs w:val="32"/>
          <w:lang w:bidi="ar"/>
        </w:rPr>
        <w:t>202</w:t>
      </w:r>
      <w:r>
        <w:rPr>
          <w:rFonts w:hint="eastAsia" w:ascii="仿宋_GB2312" w:hAnsi="仿宋_GB2312" w:eastAsia="仿宋_GB2312" w:cs="仿宋_GB2312"/>
          <w:color w:val="auto"/>
          <w:sz w:val="32"/>
          <w:szCs w:val="32"/>
          <w:lang w:val="en-US" w:eastAsia="zh-CN" w:bidi="ar"/>
        </w:rPr>
        <w:t>2</w:t>
      </w:r>
      <w:r>
        <w:rPr>
          <w:rFonts w:hint="eastAsia" w:ascii="仿宋_GB2312" w:hAnsi="仿宋_GB2312" w:eastAsia="仿宋_GB2312" w:cs="仿宋_GB2312"/>
          <w:color w:val="auto"/>
          <w:sz w:val="32"/>
          <w:szCs w:val="32"/>
          <w:lang w:bidi="ar"/>
        </w:rPr>
        <w:t>年</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bidi="ar"/>
        </w:rPr>
        <w:t>内无黑臭水体，</w:t>
      </w:r>
      <w:r>
        <w:rPr>
          <w:rFonts w:hint="eastAsia" w:ascii="仿宋_GB2312" w:hAnsi="仿宋_GB2312" w:eastAsia="仿宋_GB2312" w:cs="仿宋_GB2312"/>
          <w:color w:val="auto"/>
          <w:sz w:val="32"/>
          <w:szCs w:val="32"/>
          <w:lang w:val="en-US" w:eastAsia="zh-CN" w:bidi="ar"/>
        </w:rPr>
        <w:t>小微水体管护率100</w:t>
      </w:r>
      <w:r>
        <w:rPr>
          <w:rFonts w:hint="eastAsia" w:ascii="仿宋_GB2312" w:hAnsi="仿宋_GB2312" w:eastAsia="仿宋_GB2312" w:cs="仿宋_GB2312"/>
          <w:color w:val="auto"/>
          <w:sz w:val="32"/>
          <w:szCs w:val="32"/>
          <w:lang w:bidi="ar"/>
        </w:rPr>
        <w:t>%；</w:t>
      </w:r>
      <w:r>
        <w:rPr>
          <w:rFonts w:hint="eastAsia" w:ascii="仿宋_GB2312" w:hAnsi="仿宋_GB2312" w:eastAsia="仿宋_GB2312" w:cs="仿宋_GB2312"/>
          <w:color w:val="auto"/>
          <w:sz w:val="32"/>
          <w:szCs w:val="32"/>
          <w:shd w:val="clear" w:color="auto" w:fill="auto"/>
          <w:lang w:val="en-US" w:eastAsia="zh-CN"/>
        </w:rPr>
        <w:t>高塘岭街道</w:t>
      </w:r>
      <w:r>
        <w:rPr>
          <w:rFonts w:hint="eastAsia" w:ascii="仿宋_GB2312" w:hAnsi="仿宋_GB2312" w:eastAsia="仿宋_GB2312" w:cs="仿宋_GB2312"/>
          <w:color w:val="auto"/>
          <w:sz w:val="32"/>
          <w:szCs w:val="32"/>
          <w:shd w:val="clear" w:color="auto" w:fill="auto"/>
        </w:rPr>
        <w:t>推动实施农村</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厕所革命</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攻坚行动，</w:t>
      </w:r>
      <w:r>
        <w:rPr>
          <w:rFonts w:hint="eastAsia" w:ascii="仿宋_GB2312" w:hAnsi="仿宋_GB2312" w:eastAsia="仿宋_GB2312" w:cs="仿宋_GB2312"/>
          <w:color w:val="auto"/>
          <w:sz w:val="32"/>
          <w:szCs w:val="32"/>
          <w:shd w:val="clear" w:color="auto" w:fill="auto"/>
          <w:lang w:val="en-US" w:eastAsia="zh-CN"/>
        </w:rPr>
        <w:t>街道整体</w:t>
      </w:r>
      <w:r>
        <w:rPr>
          <w:rFonts w:hint="eastAsia" w:ascii="仿宋_GB2312" w:hAnsi="仿宋_GB2312" w:eastAsia="仿宋_GB2312" w:cs="仿宋_GB2312"/>
          <w:color w:val="auto"/>
          <w:sz w:val="32"/>
          <w:szCs w:val="32"/>
          <w:shd w:val="clear" w:color="auto" w:fill="auto"/>
        </w:rPr>
        <w:t>推进农村三（四）格式无害化厕所改造，</w:t>
      </w:r>
      <w:r>
        <w:rPr>
          <w:rFonts w:hint="eastAsia" w:ascii="仿宋_GB2312" w:hAnsi="仿宋_GB2312" w:eastAsia="仿宋_GB2312" w:cs="仿宋_GB2312"/>
          <w:color w:val="auto"/>
          <w:sz w:val="32"/>
          <w:szCs w:val="32"/>
          <w:shd w:val="clear" w:color="auto" w:fill="FFFFFF"/>
          <w:lang w:val="en-US" w:eastAsia="zh-CN"/>
        </w:rPr>
        <w:t>根据长沙市农村厕所革命信息化大数据平台显示，截至2022年底，高塘岭街道实现了农村旱厕清零，农村卫生厕所普及率达到100%；</w:t>
      </w:r>
      <w:r>
        <w:rPr>
          <w:rFonts w:hint="eastAsia" w:ascii="仿宋_GB2312" w:hAnsi="仿宋_GB2312" w:eastAsia="仿宋_GB2312" w:cs="仿宋_GB2312"/>
          <w:color w:val="auto"/>
          <w:sz w:val="32"/>
          <w:szCs w:val="32"/>
          <w:lang w:val="en-US" w:eastAsia="zh-CN"/>
        </w:rPr>
        <w:t>高塘岭街道大力推广优质能源替代民用散煤，逐步推行天然气、电力及可再生能源等清洁能源替代散煤。2022年</w:t>
      </w:r>
      <w:r>
        <w:rPr>
          <w:rFonts w:hint="eastAsia" w:ascii="仿宋_GB2312" w:hAnsi="仿宋_GB2312" w:eastAsia="仿宋_GB2312" w:cs="仿宋_GB2312"/>
          <w:color w:val="auto"/>
          <w:sz w:val="32"/>
          <w:szCs w:val="32"/>
          <w:shd w:val="clear" w:color="auto" w:fill="auto"/>
        </w:rPr>
        <w:t>使用清洁能源的户数比例现状值为</w:t>
      </w:r>
      <w:r>
        <w:rPr>
          <w:rFonts w:hint="eastAsia" w:ascii="仿宋_GB2312" w:hAnsi="仿宋_GB2312" w:eastAsia="仿宋_GB2312" w:cs="仿宋_GB2312"/>
          <w:color w:val="auto"/>
          <w:sz w:val="32"/>
          <w:szCs w:val="32"/>
          <w:shd w:val="clear" w:color="auto" w:fill="auto"/>
          <w:lang w:val="en-US" w:eastAsia="zh-CN"/>
        </w:rPr>
        <w:t>96.5</w:t>
      </w:r>
      <w:r>
        <w:rPr>
          <w:rFonts w:hint="eastAsia" w:ascii="仿宋_GB2312" w:hAnsi="仿宋_GB2312" w:eastAsia="仿宋_GB2312" w:cs="仿宋_GB2312"/>
          <w:color w:val="auto"/>
          <w:sz w:val="32"/>
          <w:szCs w:val="32"/>
          <w:shd w:val="clear" w:color="auto" w:fill="auto"/>
        </w:rPr>
        <w:t>%</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lang w:val="en-US" w:eastAsia="zh-CN"/>
        </w:rPr>
        <w:t>高塘岭街道深入贯彻实施《长沙市望城区生活垃圾分类工作方案》，制定《长沙市望城区高塘岭街道生活垃圾分类工作方案》，</w:t>
      </w:r>
      <w:r>
        <w:rPr>
          <w:rFonts w:hint="eastAsia" w:ascii="仿宋_GB2312" w:hAnsi="仿宋_GB2312" w:eastAsia="仿宋_GB2312" w:cs="仿宋_GB2312"/>
          <w:color w:val="auto"/>
          <w:sz w:val="32"/>
          <w:szCs w:val="32"/>
          <w:shd w:val="clear" w:color="auto" w:fill="auto"/>
          <w:lang w:eastAsia="zh-CN"/>
        </w:rPr>
        <w:t>按照“</w:t>
      </w:r>
      <w:r>
        <w:rPr>
          <w:rFonts w:hint="eastAsia" w:ascii="仿宋_GB2312" w:hAnsi="仿宋_GB2312" w:eastAsia="仿宋_GB2312" w:cs="仿宋_GB2312"/>
          <w:color w:val="auto"/>
          <w:sz w:val="32"/>
          <w:szCs w:val="32"/>
          <w:shd w:val="clear" w:color="auto" w:fill="auto"/>
          <w:lang w:val="en-US" w:eastAsia="zh-CN"/>
        </w:rPr>
        <w:t>以生活垃圾减量化、资源化、无害化为检验标准</w:t>
      </w:r>
      <w:r>
        <w:rPr>
          <w:rFonts w:hint="eastAsia" w:ascii="仿宋_GB2312" w:hAnsi="仿宋_GB2312" w:eastAsia="仿宋_GB2312" w:cs="仿宋_GB2312"/>
          <w:color w:val="auto"/>
          <w:sz w:val="32"/>
          <w:szCs w:val="32"/>
          <w:shd w:val="clear" w:color="auto" w:fill="auto"/>
          <w:lang w:eastAsia="zh-CN"/>
        </w:rPr>
        <w:t>”的</w:t>
      </w:r>
      <w:r>
        <w:rPr>
          <w:rFonts w:hint="eastAsia" w:ascii="仿宋_GB2312" w:hAnsi="仿宋_GB2312" w:eastAsia="仿宋_GB2312" w:cs="仿宋_GB2312"/>
          <w:color w:val="auto"/>
          <w:sz w:val="32"/>
          <w:szCs w:val="32"/>
          <w:shd w:val="clear" w:color="auto" w:fill="auto"/>
          <w:lang w:val="en-US" w:eastAsia="zh-CN"/>
        </w:rPr>
        <w:t>分类观念</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聘请保洁员</w:t>
      </w:r>
      <w:r>
        <w:rPr>
          <w:rFonts w:hint="eastAsia" w:ascii="仿宋_GB2312" w:hAnsi="仿宋_GB2312" w:eastAsia="仿宋_GB2312" w:cs="仿宋_GB2312"/>
          <w:color w:val="auto"/>
          <w:sz w:val="32"/>
          <w:szCs w:val="32"/>
          <w:shd w:val="clear" w:color="auto" w:fill="auto"/>
          <w:lang w:val="en-US" w:eastAsia="zh-CN"/>
        </w:rPr>
        <w:t>并配置垃圾车，</w:t>
      </w:r>
      <w:r>
        <w:rPr>
          <w:rFonts w:hint="eastAsia" w:ascii="仿宋_GB2312" w:hAnsi="仿宋_GB2312" w:eastAsia="仿宋_GB2312" w:cs="仿宋_GB2312"/>
          <w:color w:val="auto"/>
          <w:sz w:val="32"/>
          <w:szCs w:val="32"/>
          <w:shd w:val="clear" w:color="auto" w:fill="auto"/>
        </w:rPr>
        <w:t>全天在公共区域进行垃圾清扫，建立垃圾收集全覆盖，生活垃圾分类</w:t>
      </w:r>
      <w:r>
        <w:rPr>
          <w:rFonts w:hint="eastAsia" w:ascii="仿宋_GB2312" w:hAnsi="仿宋_GB2312" w:eastAsia="仿宋_GB2312" w:cs="仿宋_GB2312"/>
          <w:color w:val="auto"/>
          <w:sz w:val="32"/>
          <w:szCs w:val="32"/>
          <w:shd w:val="clear" w:color="auto" w:fill="auto"/>
          <w:lang w:eastAsia="zh-CN"/>
        </w:rPr>
        <w:t>减量</w:t>
      </w:r>
      <w:r>
        <w:rPr>
          <w:rFonts w:hint="eastAsia" w:ascii="仿宋_GB2312" w:hAnsi="仿宋_GB2312" w:eastAsia="仿宋_GB2312" w:cs="仿宋_GB2312"/>
          <w:color w:val="auto"/>
          <w:sz w:val="32"/>
          <w:szCs w:val="32"/>
          <w:shd w:val="clear" w:color="auto" w:fill="auto"/>
        </w:rPr>
        <w:t>工作取得显著成效</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rPr>
        <w:t>在政府绿色采购方面，</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严格执行上级相关要求及环境标志产品品目清单、节能产品品目清单、两型产品品目清单等配套文件的规定，</w:t>
      </w:r>
      <w:r>
        <w:rPr>
          <w:rFonts w:hint="eastAsia" w:ascii="仿宋_GB2312" w:hAnsi="仿宋_GB2312" w:eastAsia="仿宋_GB2312" w:cs="仿宋_GB2312"/>
          <w:color w:val="auto"/>
          <w:sz w:val="32"/>
          <w:szCs w:val="32"/>
          <w:lang w:eastAsia="zh-CN"/>
        </w:rPr>
        <w:t>政府</w:t>
      </w:r>
      <w:r>
        <w:rPr>
          <w:rFonts w:hint="eastAsia" w:ascii="仿宋_GB2312" w:hAnsi="仿宋_GB2312" w:eastAsia="仿宋_GB2312" w:cs="仿宋_GB2312"/>
          <w:color w:val="auto"/>
          <w:sz w:val="32"/>
          <w:szCs w:val="32"/>
        </w:rPr>
        <w:t>绿色采购比例达到</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%。以上</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项指标均</w:t>
      </w:r>
      <w:r>
        <w:rPr>
          <w:rFonts w:hint="eastAsia" w:ascii="仿宋_GB2312" w:hAnsi="仿宋_GB2312" w:eastAsia="仿宋_GB2312" w:cs="仿宋_GB2312"/>
          <w:color w:val="auto"/>
          <w:kern w:val="0"/>
          <w:sz w:val="32"/>
          <w:szCs w:val="32"/>
        </w:rPr>
        <w:t>达到</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rPr>
        <w:t>长沙市</w:t>
      </w:r>
      <w:r>
        <w:rPr>
          <w:rFonts w:hint="eastAsia" w:ascii="仿宋_GB2312" w:hAnsi="仿宋_GB2312" w:eastAsia="仿宋_GB2312" w:cs="仿宋_GB2312"/>
          <w:bCs/>
          <w:color w:val="auto"/>
          <w:sz w:val="32"/>
          <w:szCs w:val="32"/>
          <w:lang w:eastAsia="zh-CN"/>
        </w:rPr>
        <w:t>生态文明建设示范街道</w:t>
      </w:r>
      <w:r>
        <w:rPr>
          <w:rFonts w:hint="eastAsia" w:ascii="仿宋_GB2312" w:hAnsi="仿宋_GB2312" w:eastAsia="仿宋_GB2312" w:cs="仿宋_GB2312"/>
          <w:bCs/>
          <w:color w:val="auto"/>
          <w:sz w:val="32"/>
          <w:szCs w:val="32"/>
        </w:rPr>
        <w:t>（乡）、村建设指标</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color w:val="auto"/>
          <w:kern w:val="0"/>
          <w:sz w:val="32"/>
          <w:szCs w:val="32"/>
        </w:rPr>
        <w:t>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实施期内，高塘岭街道</w:t>
      </w:r>
      <w:r>
        <w:rPr>
          <w:rFonts w:hint="eastAsia" w:ascii="仿宋_GB2312" w:hAnsi="仿宋_GB2312" w:eastAsia="仿宋_GB2312" w:cs="仿宋_GB2312"/>
          <w:color w:val="auto"/>
          <w:kern w:val="0"/>
          <w:sz w:val="32"/>
          <w:szCs w:val="32"/>
        </w:rPr>
        <w:t>将实行</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一日一保洁</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制度，及时清理河道、山塘及公共区域垃圾，打捞水面漂浮物，整治乱堆乱放</w:t>
      </w:r>
      <w:r>
        <w:rPr>
          <w:rFonts w:hint="eastAsia" w:ascii="仿宋_GB2312" w:hAnsi="仿宋_GB2312" w:eastAsia="仿宋_GB2312" w:cs="仿宋_GB2312"/>
          <w:color w:val="auto"/>
          <w:kern w:val="0"/>
          <w:sz w:val="32"/>
          <w:szCs w:val="32"/>
          <w:lang w:eastAsia="zh-CN"/>
        </w:rPr>
        <w:t>，加强小微水体管护</w:t>
      </w:r>
      <w:r>
        <w:rPr>
          <w:rFonts w:hint="eastAsia" w:ascii="仿宋_GB2312" w:hAnsi="仿宋_GB2312" w:eastAsia="仿宋_GB2312" w:cs="仿宋_GB2312"/>
          <w:color w:val="auto"/>
          <w:kern w:val="0"/>
          <w:sz w:val="32"/>
          <w:szCs w:val="32"/>
        </w:rPr>
        <w:t>。继续深入推进</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kern w:val="0"/>
          <w:sz w:val="32"/>
          <w:szCs w:val="32"/>
        </w:rPr>
        <w:t>域雨污分流改造，加快配套管网建设步伐，切实提高</w:t>
      </w:r>
      <w:r>
        <w:rPr>
          <w:rFonts w:hint="eastAsia" w:ascii="仿宋_GB2312" w:hAnsi="仿宋_GB2312" w:eastAsia="仿宋_GB2312" w:cs="仿宋_GB2312"/>
          <w:color w:val="auto"/>
          <w:kern w:val="0"/>
          <w:sz w:val="32"/>
          <w:szCs w:val="32"/>
          <w:lang w:val="en-US" w:eastAsia="zh-CN"/>
        </w:rPr>
        <w:t>农村生活</w:t>
      </w:r>
      <w:r>
        <w:rPr>
          <w:rFonts w:hint="eastAsia" w:ascii="仿宋_GB2312" w:hAnsi="仿宋_GB2312" w:eastAsia="仿宋_GB2312" w:cs="仿宋_GB2312"/>
          <w:color w:val="auto"/>
          <w:kern w:val="0"/>
          <w:sz w:val="32"/>
          <w:szCs w:val="32"/>
        </w:rPr>
        <w:t>污水处理效率</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到202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年底</w:t>
      </w:r>
      <w:r>
        <w:rPr>
          <w:rFonts w:hint="eastAsia" w:ascii="仿宋_GB2312" w:hAnsi="仿宋_GB2312" w:eastAsia="仿宋_GB2312" w:cs="仿宋_GB2312"/>
          <w:color w:val="auto"/>
          <w:kern w:val="0"/>
          <w:sz w:val="32"/>
          <w:szCs w:val="32"/>
          <w:lang w:val="en-US" w:eastAsia="zh-CN"/>
        </w:rPr>
        <w:t>农村</w:t>
      </w:r>
      <w:r>
        <w:rPr>
          <w:rFonts w:hint="eastAsia" w:ascii="仿宋_GB2312" w:hAnsi="仿宋_GB2312" w:eastAsia="仿宋_GB2312" w:cs="仿宋_GB2312"/>
          <w:color w:val="auto"/>
          <w:kern w:val="0"/>
          <w:sz w:val="32"/>
          <w:szCs w:val="32"/>
        </w:rPr>
        <w:t>生活污水处理率可</w:t>
      </w:r>
      <w:r>
        <w:rPr>
          <w:rFonts w:hint="eastAsia" w:ascii="仿宋_GB2312" w:hAnsi="仿宋_GB2312" w:eastAsia="仿宋_GB2312" w:cs="仿宋_GB2312"/>
          <w:color w:val="auto"/>
          <w:kern w:val="0"/>
          <w:sz w:val="32"/>
          <w:szCs w:val="32"/>
          <w:lang w:val="en-US" w:eastAsia="zh-CN"/>
        </w:rPr>
        <w:t>稳定提高</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乡镇污水处理达标率稳定达到100%</w:t>
      </w:r>
      <w:r>
        <w:rPr>
          <w:rFonts w:hint="eastAsia" w:ascii="仿宋_GB2312" w:hAnsi="仿宋_GB2312" w:eastAsia="仿宋_GB2312" w:cs="仿宋_GB2312"/>
          <w:color w:val="auto"/>
          <w:kern w:val="0"/>
          <w:sz w:val="32"/>
          <w:szCs w:val="32"/>
        </w:rPr>
        <w:t>。继续深入推进村庄清洁行动，全面开展农村垃圾简易填埋场、非正规垃圾堆放（暂存）点摸底排查，严厉打击城市垃圾向农村转移倾倒行为，确保</w:t>
      </w:r>
      <w:r>
        <w:rPr>
          <w:rFonts w:hint="eastAsia" w:ascii="仿宋_GB2312" w:hAnsi="仿宋_GB2312" w:eastAsia="仿宋_GB2312" w:cs="仿宋_GB2312"/>
          <w:color w:val="auto"/>
          <w:kern w:val="0"/>
          <w:sz w:val="32"/>
          <w:szCs w:val="32"/>
          <w:lang w:val="en-US" w:eastAsia="zh-CN"/>
        </w:rPr>
        <w:t>区</w:t>
      </w:r>
      <w:r>
        <w:rPr>
          <w:rFonts w:hint="eastAsia" w:ascii="仿宋_GB2312" w:hAnsi="仿宋_GB2312" w:eastAsia="仿宋_GB2312" w:cs="仿宋_GB2312"/>
          <w:color w:val="auto"/>
          <w:kern w:val="0"/>
          <w:sz w:val="32"/>
          <w:szCs w:val="32"/>
        </w:rPr>
        <w:t>域</w:t>
      </w:r>
      <w:r>
        <w:rPr>
          <w:rFonts w:hint="eastAsia" w:ascii="仿宋_GB2312" w:hAnsi="仿宋_GB2312" w:eastAsia="仿宋_GB2312" w:cs="仿宋_GB2312"/>
          <w:color w:val="auto"/>
          <w:kern w:val="0"/>
          <w:sz w:val="32"/>
          <w:szCs w:val="32"/>
          <w:lang w:val="en-US" w:eastAsia="zh-CN"/>
        </w:rPr>
        <w:t>内</w:t>
      </w:r>
      <w:r>
        <w:rPr>
          <w:rFonts w:hint="eastAsia" w:ascii="仿宋_GB2312" w:hAnsi="仿宋_GB2312" w:eastAsia="仿宋_GB2312" w:cs="仿宋_GB2312"/>
          <w:color w:val="auto"/>
          <w:kern w:val="0"/>
          <w:sz w:val="32"/>
          <w:szCs w:val="32"/>
        </w:rPr>
        <w:t>生活垃圾均得到有效收集和合理处置，到202</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年底</w:t>
      </w:r>
      <w:r>
        <w:rPr>
          <w:rFonts w:hint="eastAsia" w:ascii="仿宋_GB2312" w:hAnsi="仿宋_GB2312" w:eastAsia="仿宋_GB2312" w:cs="仿宋_GB2312"/>
          <w:color w:val="auto"/>
          <w:kern w:val="0"/>
          <w:sz w:val="32"/>
          <w:szCs w:val="32"/>
          <w:lang w:eastAsia="zh-CN"/>
        </w:rPr>
        <w:t>全街道</w:t>
      </w:r>
      <w:r>
        <w:rPr>
          <w:rFonts w:hint="eastAsia" w:ascii="仿宋_GB2312" w:hAnsi="仿宋_GB2312" w:eastAsia="仿宋_GB2312" w:cs="仿宋_GB2312"/>
          <w:color w:val="auto"/>
          <w:kern w:val="0"/>
          <w:sz w:val="32"/>
          <w:szCs w:val="32"/>
        </w:rPr>
        <w:t>生活垃圾无害化处理</w:t>
      </w:r>
      <w:r>
        <w:rPr>
          <w:rFonts w:hint="eastAsia" w:ascii="仿宋_GB2312" w:hAnsi="仿宋_GB2312" w:eastAsia="仿宋_GB2312" w:cs="仿宋_GB2312"/>
          <w:color w:val="auto"/>
          <w:kern w:val="0"/>
          <w:sz w:val="32"/>
          <w:szCs w:val="32"/>
          <w:lang w:val="en-US" w:eastAsia="zh-CN"/>
        </w:rPr>
        <w:t>率持续提高</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sz w:val="32"/>
          <w:szCs w:val="32"/>
          <w:shd w:val="clear" w:color="auto" w:fill="auto"/>
        </w:rPr>
        <w:t>在农村全面推广太阳能、沼气等清洁能源利用技术，202</w:t>
      </w:r>
      <w:r>
        <w:rPr>
          <w:rFonts w:hint="eastAsia" w:ascii="仿宋_GB2312" w:hAnsi="仿宋_GB2312" w:eastAsia="仿宋_GB2312" w:cs="仿宋_GB2312"/>
          <w:color w:val="auto"/>
          <w:sz w:val="32"/>
          <w:szCs w:val="32"/>
          <w:shd w:val="clear" w:color="auto" w:fill="auto"/>
          <w:lang w:val="en-US" w:eastAsia="zh-CN"/>
        </w:rPr>
        <w:t>5</w:t>
      </w:r>
      <w:r>
        <w:rPr>
          <w:rFonts w:hint="eastAsia" w:ascii="仿宋_GB2312" w:hAnsi="仿宋_GB2312" w:eastAsia="仿宋_GB2312" w:cs="仿宋_GB2312"/>
          <w:color w:val="auto"/>
          <w:sz w:val="32"/>
          <w:szCs w:val="32"/>
          <w:shd w:val="clear" w:color="auto" w:fill="auto"/>
        </w:rPr>
        <w:t>年底实现</w:t>
      </w:r>
      <w:r>
        <w:rPr>
          <w:rFonts w:hint="eastAsia" w:ascii="仿宋_GB2312" w:hAnsi="仿宋_GB2312" w:eastAsia="仿宋_GB2312" w:cs="仿宋_GB2312"/>
          <w:color w:val="auto"/>
          <w:sz w:val="32"/>
          <w:szCs w:val="32"/>
          <w:shd w:val="clear" w:color="auto" w:fill="auto"/>
          <w:lang w:eastAsia="zh-CN"/>
        </w:rPr>
        <w:t>全街道</w:t>
      </w:r>
      <w:r>
        <w:rPr>
          <w:rFonts w:hint="eastAsia" w:ascii="仿宋_GB2312" w:hAnsi="仿宋_GB2312" w:eastAsia="仿宋_GB2312" w:cs="仿宋_GB2312"/>
          <w:color w:val="auto"/>
          <w:sz w:val="32"/>
          <w:szCs w:val="32"/>
          <w:shd w:val="clear" w:color="auto" w:fill="auto"/>
        </w:rPr>
        <w:t>使用清洁能源户数比例</w:t>
      </w:r>
      <w:r>
        <w:rPr>
          <w:rFonts w:hint="eastAsia" w:ascii="仿宋_GB2312" w:hAnsi="仿宋_GB2312" w:eastAsia="仿宋_GB2312" w:cs="仿宋_GB2312"/>
          <w:color w:val="auto"/>
          <w:sz w:val="32"/>
          <w:szCs w:val="32"/>
          <w:shd w:val="clear" w:color="auto" w:fill="auto"/>
          <w:lang w:val="en-US" w:eastAsia="zh-CN"/>
        </w:rPr>
        <w:t>持续提高</w:t>
      </w:r>
      <w:r>
        <w:rPr>
          <w:rFonts w:hint="eastAsia" w:ascii="仿宋_GB2312" w:hAnsi="仿宋_GB2312" w:eastAsia="仿宋_GB2312" w:cs="仿宋_GB2312"/>
          <w:color w:val="auto"/>
          <w:sz w:val="32"/>
          <w:szCs w:val="32"/>
          <w:shd w:val="clear" w:color="auto" w:fill="auto"/>
        </w:rPr>
        <w:t>。</w:t>
      </w:r>
      <w:r>
        <w:rPr>
          <w:rFonts w:hint="eastAsia" w:ascii="仿宋_GB2312" w:hAnsi="仿宋_GB2312" w:eastAsia="仿宋_GB2312" w:cs="仿宋_GB2312"/>
          <w:color w:val="auto"/>
          <w:sz w:val="32"/>
          <w:szCs w:val="32"/>
          <w:lang w:val="en-US" w:eastAsia="zh-CN"/>
        </w:rPr>
        <w:t>积极推进多网融合，探索农户厨余垃圾就地资源化处理的好办法，加强分拣站的管理，真正实现农村生活垃圾的减量化、无害化和资源化，使垃圾分类减量工作有效实施。</w:t>
      </w:r>
      <w:r>
        <w:rPr>
          <w:rFonts w:hint="eastAsia" w:ascii="仿宋_GB2312" w:hAnsi="仿宋_GB2312" w:eastAsia="仿宋_GB2312" w:cs="仿宋_GB2312"/>
          <w:color w:val="auto"/>
          <w:sz w:val="32"/>
          <w:szCs w:val="32"/>
          <w:shd w:val="clear" w:color="auto" w:fill="auto"/>
        </w:rPr>
        <w:t>强化最新户厕建设技术规范宣传贯彻和执行力度，新建房屋户厕均严格执行标准规范，稳定达到卫生厕所普及率100%。</w:t>
      </w:r>
    </w:p>
    <w:p>
      <w:pPr>
        <w:pageBreakBefore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color w:val="auto"/>
          <w:sz w:val="32"/>
          <w:szCs w:val="32"/>
          <w:shd w:val="clear" w:color="auto" w:fill="auto"/>
          <w:lang w:eastAsia="zh-CN"/>
        </w:rPr>
      </w:pPr>
      <w:bookmarkStart w:id="171" w:name="_Toc2776637"/>
      <w:bookmarkStart w:id="172" w:name="_Toc34508548"/>
      <w:r>
        <w:rPr>
          <w:rFonts w:hint="eastAsia" w:ascii="仿宋_GB2312" w:hAnsi="仿宋_GB2312" w:eastAsia="仿宋_GB2312" w:cs="仿宋_GB2312"/>
          <w:b/>
          <w:color w:val="auto"/>
          <w:sz w:val="32"/>
          <w:szCs w:val="32"/>
          <w:shd w:val="clear" w:color="auto" w:fill="auto"/>
          <w:lang w:val="en-US" w:eastAsia="zh-CN"/>
        </w:rPr>
        <w:t>5.</w:t>
      </w:r>
      <w:r>
        <w:rPr>
          <w:rFonts w:hint="eastAsia" w:ascii="仿宋_GB2312" w:hAnsi="仿宋_GB2312" w:eastAsia="仿宋_GB2312" w:cs="仿宋_GB2312"/>
          <w:b/>
          <w:color w:val="auto"/>
          <w:sz w:val="32"/>
          <w:szCs w:val="32"/>
          <w:shd w:val="clear" w:color="auto" w:fill="auto"/>
          <w:lang w:eastAsia="zh-CN"/>
        </w:rPr>
        <w:t>生态文化</w:t>
      </w:r>
    </w:p>
    <w:p>
      <w:pPr>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shd w:val="clear" w:color="auto" w:fill="auto"/>
        </w:rPr>
      </w:pP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共辖</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个村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社区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都已</w:t>
      </w:r>
      <w:r>
        <w:rPr>
          <w:rFonts w:hint="eastAsia" w:ascii="仿宋_GB2312" w:hAnsi="仿宋_GB2312" w:eastAsia="仿宋_GB2312" w:cs="仿宋_GB2312"/>
          <w:color w:val="auto"/>
          <w:sz w:val="32"/>
          <w:szCs w:val="32"/>
          <w:lang w:val="en-US" w:eastAsia="zh-CN"/>
        </w:rPr>
        <w:t>制定实施有关节约资源和保护环境村（社区）规民约；2022年，高塘岭街道定期开展生态环境保护宣传教育工作提高村民生态环境保护意识，利用多种方式和载体，宣传生态环境保护宣传教育工作；街道、村（社区）干部通过参加生态文明培训，学习其他生态文明示范镇生态文明建设工作经验，加强高塘岭街道生态文明建设。以上</w:t>
      </w:r>
      <w:r>
        <w:rPr>
          <w:rFonts w:hint="eastAsia" w:ascii="仿宋_GB2312" w:hAnsi="仿宋_GB2312" w:eastAsia="仿宋_GB2312" w:cs="仿宋_GB2312"/>
          <w:color w:val="auto"/>
          <w:sz w:val="32"/>
          <w:szCs w:val="32"/>
          <w:shd w:val="clear" w:color="auto" w:fill="auto"/>
          <w:lang w:val="en-US" w:eastAsia="zh-CN"/>
        </w:rPr>
        <w:t>3</w:t>
      </w:r>
      <w:r>
        <w:rPr>
          <w:rFonts w:hint="eastAsia" w:ascii="仿宋_GB2312" w:hAnsi="仿宋_GB2312" w:eastAsia="仿宋_GB2312" w:cs="仿宋_GB2312"/>
          <w:color w:val="auto"/>
          <w:sz w:val="32"/>
          <w:szCs w:val="32"/>
          <w:shd w:val="clear" w:color="auto" w:fill="auto"/>
        </w:rPr>
        <w:t>项指标均达到</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rPr>
        <w:t>长沙市</w:t>
      </w:r>
      <w:r>
        <w:rPr>
          <w:rFonts w:hint="eastAsia" w:ascii="仿宋_GB2312" w:hAnsi="仿宋_GB2312" w:eastAsia="仿宋_GB2312" w:cs="仿宋_GB2312"/>
          <w:bCs/>
          <w:color w:val="auto"/>
          <w:sz w:val="32"/>
          <w:szCs w:val="32"/>
          <w:lang w:eastAsia="zh-CN"/>
        </w:rPr>
        <w:t>生态文明建设示范街道</w:t>
      </w:r>
      <w:r>
        <w:rPr>
          <w:rFonts w:hint="eastAsia" w:ascii="仿宋_GB2312" w:hAnsi="仿宋_GB2312" w:eastAsia="仿宋_GB2312" w:cs="仿宋_GB2312"/>
          <w:bCs/>
          <w:color w:val="auto"/>
          <w:sz w:val="32"/>
          <w:szCs w:val="32"/>
        </w:rPr>
        <w:t>（乡）、村建设指标</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color w:val="auto"/>
          <w:sz w:val="32"/>
          <w:szCs w:val="32"/>
          <w:shd w:val="clear" w:color="auto" w:fill="auto"/>
        </w:rPr>
        <w:t>的要求。</w:t>
      </w:r>
      <w:r>
        <w:rPr>
          <w:rFonts w:hint="eastAsia" w:ascii="仿宋_GB2312" w:hAnsi="仿宋_GB2312" w:eastAsia="仿宋_GB2312" w:cs="仿宋_GB2312"/>
          <w:color w:val="auto"/>
          <w:sz w:val="32"/>
          <w:szCs w:val="32"/>
          <w:lang w:val="en-US" w:eastAsia="zh-CN"/>
        </w:rPr>
        <w:t>2022年高塘岭街道通过开展公众对生态文明建设满意度的调查，公众对生态文明建设满意度高达90%。高塘岭街道通过美丽宜居村庄建设，不断增强农民群众的获得感、幸福感、安全感，提高村民对生态文明建设的满意度。</w:t>
      </w:r>
    </w:p>
    <w:p>
      <w:pPr>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kern w:val="2"/>
          <w:sz w:val="32"/>
          <w:szCs w:val="32"/>
          <w:shd w:val="clear" w:color="auto" w:fill="FFFFFF"/>
          <w:lang w:val="en-US" w:eastAsia="zh-CN" w:bidi="ar-SA"/>
        </w:rPr>
        <w:t>实施期内，高塘岭街道、村（社区）干部将全面贯彻党的指导思想，积极推进农村生态文化建设，培育特色文化景观，开展宣传教育、引导农民追求科学、健康、文明、低碳的生产生活与行为方式，提升村民对生态文明建设的满意度。</w:t>
      </w:r>
    </w:p>
    <w:p>
      <w:pPr>
        <w:pStyle w:val="18"/>
        <w:rPr>
          <w:rFonts w:hint="default" w:ascii="Times New Roman" w:hAnsi="Times New Roman" w:cs="Times New Roman"/>
          <w:color w:val="0000FF"/>
        </w:rPr>
      </w:pPr>
      <w:r>
        <w:rPr>
          <w:rFonts w:hint="default" w:ascii="Times New Roman" w:hAnsi="Times New Roman" w:cs="Times New Roman"/>
          <w:color w:val="0000FF"/>
        </w:rPr>
        <w:br w:type="page"/>
      </w:r>
    </w:p>
    <w:bookmarkEnd w:id="171"/>
    <w:bookmarkEnd w:id="172"/>
    <w:p>
      <w:pPr>
        <w:pStyle w:val="4"/>
        <w:pageBreakBefore w:val="0"/>
        <w:widowControl w:val="0"/>
        <w:kinsoku/>
        <w:overflowPunct/>
        <w:topLinePunct w:val="0"/>
        <w:autoSpaceDE/>
        <w:autoSpaceDN/>
        <w:bidi w:val="0"/>
        <w:snapToGrid/>
        <w:spacing w:before="0" w:after="0" w:line="600" w:lineRule="exact"/>
        <w:ind w:left="0"/>
        <w:textAlignment w:val="auto"/>
        <w:rPr>
          <w:rFonts w:hint="eastAsia" w:ascii="黑体" w:hAnsi="黑体" w:eastAsia="黑体" w:cs="黑体"/>
          <w:b w:val="0"/>
          <w:bCs w:val="0"/>
          <w:color w:val="auto"/>
          <w:kern w:val="44"/>
          <w:sz w:val="32"/>
          <w:szCs w:val="32"/>
          <w:lang w:val="en-US" w:eastAsia="zh-CN" w:bidi="ar-SA"/>
        </w:rPr>
      </w:pPr>
      <w:bookmarkStart w:id="173" w:name="_Toc30257"/>
      <w:bookmarkStart w:id="174" w:name="_Toc30381"/>
      <w:bookmarkStart w:id="175" w:name="_Toc28127"/>
      <w:bookmarkStart w:id="176" w:name="_Toc30262"/>
      <w:bookmarkStart w:id="177" w:name="_Toc16971"/>
      <w:bookmarkStart w:id="178" w:name="_Toc9561"/>
      <w:bookmarkStart w:id="179" w:name="_Toc500168743"/>
      <w:bookmarkStart w:id="180" w:name="_Toc491852173"/>
      <w:r>
        <w:rPr>
          <w:rFonts w:hint="eastAsia" w:ascii="黑体" w:hAnsi="黑体" w:eastAsia="黑体" w:cs="黑体"/>
          <w:b w:val="0"/>
          <w:bCs w:val="0"/>
          <w:color w:val="auto"/>
          <w:kern w:val="44"/>
          <w:sz w:val="32"/>
          <w:szCs w:val="32"/>
          <w:lang w:val="en-US" w:eastAsia="zh-CN" w:bidi="ar-SA"/>
        </w:rPr>
        <w:t>第四章 重点任务</w:t>
      </w:r>
      <w:bookmarkEnd w:id="173"/>
      <w:bookmarkEnd w:id="174"/>
      <w:bookmarkEnd w:id="175"/>
      <w:bookmarkEnd w:id="176"/>
      <w:bookmarkEnd w:id="177"/>
      <w:bookmarkEnd w:id="178"/>
    </w:p>
    <w:p>
      <w:pPr>
        <w:rPr>
          <w:rFonts w:hint="default"/>
          <w:lang w:val="en-US" w:eastAsia="zh-CN"/>
        </w:rPr>
      </w:pPr>
    </w:p>
    <w:p>
      <w:pPr>
        <w:pStyle w:val="5"/>
        <w:keepNext w:val="0"/>
        <w:keepLines w:val="0"/>
        <w:pageBreakBefore w:val="0"/>
        <w:widowControl w:val="0"/>
        <w:tabs>
          <w:tab w:val="clear" w:pos="576"/>
        </w:tabs>
        <w:kinsoku/>
        <w:overflowPunct/>
        <w:topLinePunct w:val="0"/>
        <w:autoSpaceDE/>
        <w:autoSpaceDN/>
        <w:bidi w:val="0"/>
        <w:snapToGri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rPr>
      </w:pPr>
      <w:bookmarkStart w:id="181" w:name="_Toc11262"/>
      <w:bookmarkStart w:id="182" w:name="_Toc8826"/>
      <w:bookmarkStart w:id="183" w:name="_Toc2278"/>
      <w:bookmarkStart w:id="184" w:name="_Toc345"/>
      <w:bookmarkStart w:id="185" w:name="_Toc15832"/>
      <w:bookmarkStart w:id="186" w:name="_Toc31073"/>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rPr>
        <w:t>强化生态制度管控</w:t>
      </w:r>
      <w:bookmarkEnd w:id="181"/>
      <w:bookmarkEnd w:id="182"/>
      <w:bookmarkEnd w:id="183"/>
      <w:bookmarkEnd w:id="184"/>
      <w:bookmarkEnd w:id="185"/>
      <w:bookmarkEnd w:id="186"/>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left="0" w:firstLine="643" w:firstLineChars="200"/>
        <w:jc w:val="both"/>
        <w:textAlignment w:val="auto"/>
        <w:rPr>
          <w:rFonts w:hint="eastAsia" w:ascii="仿宋_GB2312" w:hAnsi="仿宋_GB2312" w:eastAsia="仿宋_GB2312" w:cs="仿宋_GB2312"/>
          <w:color w:val="auto"/>
          <w:kern w:val="0"/>
          <w:sz w:val="32"/>
          <w:szCs w:val="32"/>
          <w:lang w:val="en-US" w:eastAsia="zh-CN"/>
        </w:rPr>
      </w:pPr>
      <w:bookmarkStart w:id="187" w:name="_Toc8821"/>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全面启动</w:t>
      </w:r>
      <w:bookmarkEnd w:id="187"/>
      <w:r>
        <w:rPr>
          <w:rFonts w:hint="eastAsia" w:ascii="仿宋_GB2312" w:hAnsi="仿宋_GB2312" w:eastAsia="仿宋_GB2312" w:cs="仿宋_GB2312"/>
          <w:color w:val="auto"/>
          <w:kern w:val="0"/>
          <w:sz w:val="32"/>
          <w:szCs w:val="32"/>
          <w:lang w:eastAsia="zh-CN"/>
        </w:rPr>
        <w:t>生态文明建设示范街道</w:t>
      </w:r>
      <w:r>
        <w:rPr>
          <w:rFonts w:hint="eastAsia" w:ascii="仿宋_GB2312" w:hAnsi="仿宋_GB2312" w:eastAsia="仿宋_GB2312" w:cs="仿宋_GB2312"/>
          <w:color w:val="auto"/>
          <w:kern w:val="0"/>
          <w:sz w:val="32"/>
          <w:szCs w:val="32"/>
          <w:lang w:val="en-US" w:eastAsia="zh-CN"/>
        </w:rPr>
        <w:t>创建</w:t>
      </w:r>
    </w:p>
    <w:p>
      <w:pPr>
        <w:keepNext w:val="0"/>
        <w:keepLines w:val="0"/>
        <w:pageBreakBefore w:val="0"/>
        <w:widowControl w:val="0"/>
        <w:kinsoku/>
        <w:overflowPunct/>
        <w:topLinePunct w:val="0"/>
        <w:autoSpaceDE/>
        <w:autoSpaceDN/>
        <w:bidi w:val="0"/>
        <w:adjustRightInd w:val="0"/>
        <w:snapToGrid/>
        <w:spacing w:line="60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正在编制《</w:t>
      </w:r>
      <w:r>
        <w:rPr>
          <w:rFonts w:hint="eastAsia" w:ascii="仿宋_GB2312" w:hAnsi="仿宋_GB2312" w:eastAsia="仿宋_GB2312" w:cs="仿宋_GB2312"/>
          <w:color w:val="auto"/>
          <w:sz w:val="32"/>
          <w:szCs w:val="32"/>
          <w:lang w:val="en-US" w:eastAsia="zh-CN"/>
        </w:rPr>
        <w:t>长沙市望城区高塘岭街道</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实施方案》（</w:t>
      </w: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方案</w:t>
      </w:r>
      <w:r>
        <w:rPr>
          <w:rFonts w:hint="eastAsia" w:ascii="仿宋_GB2312" w:hAnsi="仿宋_GB2312" w:eastAsia="仿宋_GB2312" w:cs="仿宋_GB2312"/>
          <w:color w:val="auto"/>
          <w:sz w:val="32"/>
          <w:szCs w:val="32"/>
        </w:rPr>
        <w:t>编制完成并评审通过后，</w:t>
      </w:r>
      <w:r>
        <w:rPr>
          <w:rFonts w:hint="eastAsia" w:ascii="仿宋_GB2312" w:hAnsi="仿宋_GB2312" w:eastAsia="仿宋_GB2312" w:cs="仿宋_GB2312"/>
          <w:color w:val="auto"/>
          <w:sz w:val="32"/>
          <w:szCs w:val="32"/>
          <w:lang w:val="en-US" w:eastAsia="zh-CN"/>
        </w:rPr>
        <w:t>应由街道办事处审议后颁布实施</w:t>
      </w:r>
      <w:r>
        <w:rPr>
          <w:rFonts w:hint="eastAsia" w:ascii="仿宋_GB2312" w:hAnsi="仿宋_GB2312" w:eastAsia="仿宋_GB2312" w:cs="仿宋_GB2312"/>
          <w:color w:val="auto"/>
          <w:sz w:val="32"/>
          <w:szCs w:val="32"/>
        </w:rPr>
        <w:t>，作为指导</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创建生态文明建设示范街道</w:t>
      </w:r>
      <w:r>
        <w:rPr>
          <w:rFonts w:hint="eastAsia" w:ascii="仿宋_GB2312" w:hAnsi="仿宋_GB2312" w:eastAsia="仿宋_GB2312" w:cs="仿宋_GB2312"/>
          <w:color w:val="auto"/>
          <w:sz w:val="32"/>
          <w:szCs w:val="32"/>
        </w:rPr>
        <w:t>的纲领性文件，由</w:t>
      </w:r>
      <w:r>
        <w:rPr>
          <w:rFonts w:hint="eastAsia" w:ascii="仿宋_GB2312" w:hAnsi="仿宋_GB2312" w:eastAsia="仿宋_GB2312" w:cs="仿宋_GB2312"/>
          <w:color w:val="auto"/>
          <w:sz w:val="32"/>
          <w:szCs w:val="32"/>
          <w:lang w:val="en-US" w:eastAsia="zh-CN"/>
        </w:rPr>
        <w:t>街道办事处</w:t>
      </w:r>
      <w:r>
        <w:rPr>
          <w:rFonts w:hint="eastAsia" w:ascii="仿宋_GB2312" w:hAnsi="仿宋_GB2312" w:eastAsia="仿宋_GB2312" w:cs="仿宋_GB2312"/>
          <w:color w:val="auto"/>
          <w:sz w:val="32"/>
          <w:szCs w:val="32"/>
        </w:rPr>
        <w:t>组织实施。</w:t>
      </w:r>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color w:val="auto"/>
          <w:kern w:val="0"/>
          <w:sz w:val="32"/>
          <w:szCs w:val="32"/>
        </w:rPr>
      </w:pPr>
      <w:bookmarkStart w:id="188" w:name="_Toc12992"/>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落实</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三线一单</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管控要求</w:t>
      </w:r>
      <w:bookmarkEnd w:id="188"/>
    </w:p>
    <w:p>
      <w:pPr>
        <w:keepNext w:val="0"/>
        <w:keepLines w:val="0"/>
        <w:pageBreakBefore w:val="0"/>
        <w:widowControl w:val="0"/>
        <w:kinsoku/>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贯彻落实《长沙市人民政府关于实施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三线一单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生态环境分区管控的意见》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长政发</w:t>
      </w:r>
      <w:r>
        <w:rPr>
          <w:rFonts w:hint="eastAsia" w:ascii="仿宋_GB2312" w:hAnsi="仿宋_GB2312" w:eastAsia="仿宋_GB2312" w:cs="仿宋_GB2312"/>
          <w:color w:val="auto"/>
          <w:kern w:val="2"/>
          <w:sz w:val="32"/>
          <w:szCs w:val="32"/>
          <w:lang w:val="en-US" w:eastAsia="zh-CN" w:bidi="ar"/>
        </w:rPr>
        <w:t>〔2020〕15号〕，高塘岭街道为一般管控单元，积极发展生态农业、生态旅游、高效种植业。以“三线一单”成果为指引，加快制定产业准入清单，并实时做好动态更新与发布。强化“三线一单”成果与国土空间规划等相关规划的衔接，并作为区域资源开发、产业布局、结构调整、重大项目选址等方面的重要依据。</w:t>
      </w:r>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color w:val="auto"/>
          <w:kern w:val="0"/>
          <w:sz w:val="32"/>
          <w:szCs w:val="32"/>
        </w:rPr>
      </w:pPr>
      <w:bookmarkStart w:id="189" w:name="_Toc13672"/>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严格耕地保护措施</w:t>
      </w:r>
      <w:bookmarkEnd w:id="189"/>
    </w:p>
    <w:p>
      <w:pPr>
        <w:keepNext w:val="0"/>
        <w:keepLines w:val="0"/>
        <w:pageBreakBefore w:val="0"/>
        <w:widowControl w:val="0"/>
        <w:kinsoku/>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
        </w:rPr>
        <w:t>坚持最严格耕地保护制度，严格控制优质耕地流失，鼓励和引导城镇发展少占、不占优质耕地。按照耕地面积不减少、质量有提高、生态逐步优化和布局总体稳定的原则，严格遵守耕地红线。禁止占用基本农田进行非农建设，积极推进基本农田保护与建设。如遇国家建设占地，可采取占补平衡或先补后占。按《中华人民共和国</w:t>
      </w:r>
      <w:bookmarkStart w:id="294" w:name="_GoBack"/>
      <w:bookmarkEnd w:id="294"/>
      <w:r>
        <w:rPr>
          <w:rFonts w:hint="eastAsia" w:ascii="仿宋_GB2312" w:hAnsi="仿宋_GB2312" w:eastAsia="仿宋_GB2312" w:cs="仿宋_GB2312"/>
          <w:color w:val="auto"/>
          <w:kern w:val="2"/>
          <w:sz w:val="32"/>
          <w:szCs w:val="32"/>
          <w:lang w:val="en-US" w:eastAsia="zh-CN" w:bidi="ar"/>
        </w:rPr>
        <w:t>土地管理法》《基本农田保护条例》，基本农田保护区经依法划定后，任何单位和个人不得改变或者占用。实施期内，高塘岭街道</w:t>
      </w:r>
      <w:r>
        <w:rPr>
          <w:rFonts w:hint="eastAsia" w:ascii="仿宋_GB2312" w:hAnsi="仿宋_GB2312" w:eastAsia="仿宋_GB2312" w:cs="仿宋_GB2312"/>
          <w:color w:val="auto"/>
          <w:sz w:val="32"/>
          <w:szCs w:val="32"/>
        </w:rPr>
        <w:t>以耕地数量、质量、生态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三位一体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保护为目标，以制止耕地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非农化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、防止耕地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非粮化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为着力点，扎实有效地推进耕地保护</w:t>
      </w:r>
      <w:r>
        <w:rPr>
          <w:rFonts w:hint="eastAsia" w:ascii="仿宋_GB2312" w:hAnsi="仿宋_GB2312" w:eastAsia="仿宋_GB2312" w:cs="仿宋_GB2312"/>
          <w:color w:val="auto"/>
          <w:sz w:val="32"/>
          <w:szCs w:val="32"/>
          <w:lang w:eastAsia="zh-CN"/>
        </w:rPr>
        <w:t>巡查与监督</w:t>
      </w:r>
      <w:r>
        <w:rPr>
          <w:rFonts w:hint="eastAsia" w:ascii="仿宋_GB2312" w:hAnsi="仿宋_GB2312" w:eastAsia="仿宋_GB2312" w:cs="仿宋_GB2312"/>
          <w:color w:val="auto"/>
          <w:sz w:val="32"/>
          <w:szCs w:val="32"/>
        </w:rPr>
        <w:t>工作，坚决守住耕地保护红线。对破坏耕作层、违规占用耕地建房、盗挖黑土等违法行为及时、全面查处。</w:t>
      </w:r>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4.营造爱林护林良好氛围</w:t>
      </w:r>
    </w:p>
    <w:p>
      <w:pPr>
        <w:keepNext w:val="0"/>
        <w:keepLines w:val="0"/>
        <w:pageBreakBefore w:val="0"/>
        <w:widowControl w:val="0"/>
        <w:kinsoku/>
        <w:overflowPunct/>
        <w:topLinePunct w:val="0"/>
        <w:autoSpaceDE/>
        <w:autoSpaceDN/>
        <w:bidi w:val="0"/>
        <w:adjustRightInd w:val="0"/>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2022年高塘岭街道按照上级要求已全面实施林长制。实施期内，高塘岭街道将</w:t>
      </w:r>
      <w:r>
        <w:rPr>
          <w:rFonts w:hint="eastAsia" w:ascii="仿宋_GB2312" w:hAnsi="仿宋_GB2312" w:eastAsia="仿宋_GB2312" w:cs="仿宋_GB2312"/>
          <w:color w:val="auto"/>
          <w:sz w:val="32"/>
          <w:szCs w:val="32"/>
        </w:rPr>
        <w:t>充分利用微信公众号、村广播、宣传栏、标语横幅等媒介，广泛宣传森林保护法律法规，积极宣传报道林长制工作的经验和做法，进一步提</w:t>
      </w:r>
      <w:r>
        <w:rPr>
          <w:rFonts w:hint="eastAsia" w:ascii="仿宋_GB2312" w:hAnsi="仿宋_GB2312" w:eastAsia="仿宋_GB2312" w:cs="仿宋_GB2312"/>
          <w:color w:val="auto"/>
          <w:sz w:val="32"/>
          <w:szCs w:val="32"/>
          <w:lang w:val="en-US" w:eastAsia="zh-CN"/>
        </w:rPr>
        <w:t>高辖区群众对林长制工作的知晓度，营造全民关心、支持、参与造林护林的良好氛围，向群众普及森林防火、禁伐等知识，带动群众共同爱林、护林。</w:t>
      </w:r>
      <w:r>
        <w:rPr>
          <w:rFonts w:hint="eastAsia" w:ascii="仿宋_GB2312" w:hAnsi="仿宋_GB2312" w:eastAsia="仿宋_GB2312" w:cs="仿宋_GB2312"/>
          <w:color w:val="auto"/>
          <w:sz w:val="32"/>
          <w:szCs w:val="32"/>
        </w:rPr>
        <w:t>保证林地无滥砍、滥伐现象，草地无乱垦、乱牧和超载过牧现象，坚决落实长江流域十年禁渔。</w:t>
      </w:r>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b/>
          <w:bCs/>
          <w:color w:val="auto"/>
          <w:kern w:val="0"/>
          <w:sz w:val="32"/>
          <w:szCs w:val="32"/>
          <w:lang w:val="en-US" w:eastAsia="zh-CN"/>
        </w:rPr>
        <w:t>多措并举发挥“河长制”作用</w:t>
      </w:r>
    </w:p>
    <w:p>
      <w:pPr>
        <w:keepNext w:val="0"/>
        <w:keepLines w:val="0"/>
        <w:pageBreakBefore w:val="0"/>
        <w:widowControl w:val="0"/>
        <w:kinsoku/>
        <w:overflowPunct/>
        <w:topLinePunct w:val="0"/>
        <w:autoSpaceDE/>
        <w:autoSpaceDN/>
        <w:bidi w:val="0"/>
        <w:snapToGrid/>
        <w:spacing w:line="600" w:lineRule="exact"/>
        <w:ind w:firstLine="640" w:firstLineChars="200"/>
        <w:jc w:val="both"/>
        <w:textAlignment w:val="auto"/>
        <w:rPr>
          <w:rFonts w:hint="eastAsia" w:ascii="仿宋_GB2312" w:hAnsi="仿宋_GB2312" w:eastAsia="仿宋_GB2312" w:cs="仿宋_GB2312"/>
          <w:b w:val="0"/>
          <w:bCs w:val="0"/>
          <w:color w:val="0000FF"/>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全面推行河长制以来，</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b w:val="0"/>
          <w:bCs w:val="0"/>
          <w:color w:val="auto"/>
          <w:kern w:val="2"/>
          <w:sz w:val="32"/>
          <w:szCs w:val="32"/>
          <w:lang w:val="en-US" w:eastAsia="zh-CN"/>
        </w:rPr>
        <w:t>按照上级要求，坚持节水优先、空间均衡、系统治理、两手发力，以保护水资源、防治水污染、改善水环境、修复水生态为主要任务，在全街道所有河道全面实施河长制。实施期内，高塘岭街道将依托“斑马湖一湖一策”实施方案、河湖“清四乱”专项整治行动，扎实开展马桥河、沩水、八曲河等河道综合整治工程，建立生态保护长效机制。营造“水清、河畅、岸绿、景美”的亲水宜居环境。</w:t>
      </w:r>
    </w:p>
    <w:p>
      <w:pPr>
        <w:pStyle w:val="5"/>
        <w:keepNext w:val="0"/>
        <w:keepLines w:val="0"/>
        <w:pageBreakBefore w:val="0"/>
        <w:widowControl w:val="0"/>
        <w:tabs>
          <w:tab w:val="clear" w:pos="576"/>
        </w:tabs>
        <w:kinsoku/>
        <w:overflowPunct/>
        <w:topLinePunct w:val="0"/>
        <w:autoSpaceDE/>
        <w:autoSpaceDN/>
        <w:bidi w:val="0"/>
        <w:snapToGri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val="en-US" w:eastAsia="zh-CN"/>
        </w:rPr>
      </w:pPr>
      <w:bookmarkStart w:id="190" w:name="_Toc499"/>
      <w:bookmarkStart w:id="191" w:name="_Toc5790"/>
      <w:r>
        <w:rPr>
          <w:rFonts w:hint="eastAsia" w:ascii="楷体_GB2312" w:hAnsi="楷体_GB2312" w:eastAsia="楷体_GB2312" w:cs="楷体_GB2312"/>
          <w:color w:val="auto"/>
          <w:sz w:val="32"/>
          <w:szCs w:val="32"/>
          <w:lang w:val="en-US" w:eastAsia="zh-CN"/>
        </w:rPr>
        <w:t>（二）维护生态环境安全</w:t>
      </w:r>
      <w:bookmarkEnd w:id="190"/>
      <w:bookmarkEnd w:id="191"/>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1.推进裸露土地种草绿化</w:t>
      </w:r>
    </w:p>
    <w:p>
      <w:pPr>
        <w:keepNext w:val="0"/>
        <w:keepLines w:val="0"/>
        <w:pageBreakBefore w:val="0"/>
        <w:widowControl w:val="0"/>
        <w:kinsoku/>
        <w:overflowPunct/>
        <w:topLinePunct w:val="0"/>
        <w:autoSpaceDE/>
        <w:autoSpaceDN/>
        <w:bidi w:val="0"/>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加强农村地区裸露土地绿化工作，防治扬尘污染、改善空气质量、美化环境，加强裸露地块排查工作，按时序推进农村裸露土地种草绿化工作，持续推动农村人居环境改善提升。实施期内，高塘岭街道将结合主体功能区战略，加强区域内生态红线严管。</w:t>
      </w:r>
      <w:r>
        <w:rPr>
          <w:rFonts w:hint="eastAsia" w:ascii="仿宋_GB2312" w:hAnsi="仿宋_GB2312" w:eastAsia="仿宋_GB2312" w:cs="仿宋_GB2312"/>
          <w:color w:val="auto"/>
          <w:sz w:val="32"/>
          <w:szCs w:val="32"/>
        </w:rPr>
        <w:t>加强区域内裸露地块的绿化美化工作。组织人员对新增的闲置土地、公共建筑及设施周边裸露土地、道路两侧及河道堤岸裸露土地进行种树、植草等绿化工作，要求企业对尚未施工且暂不施工的裸露场地进行绿化措施，并呼吁村民对庭院及房屋周边新增裸露土地进行绿化</w:t>
      </w:r>
      <w:r>
        <w:rPr>
          <w:rFonts w:hint="eastAsia" w:ascii="仿宋_GB2312" w:hAnsi="仿宋_GB2312" w:eastAsia="仿宋_GB2312" w:cs="仿宋_GB2312"/>
          <w:color w:val="auto"/>
          <w:sz w:val="32"/>
          <w:szCs w:val="32"/>
          <w:lang w:eastAsia="zh-CN"/>
        </w:rPr>
        <w:t>，进一步</w:t>
      </w:r>
      <w:r>
        <w:rPr>
          <w:rFonts w:hint="eastAsia" w:ascii="仿宋_GB2312" w:hAnsi="仿宋_GB2312" w:eastAsia="仿宋_GB2312" w:cs="仿宋_GB2312"/>
          <w:color w:val="auto"/>
          <w:sz w:val="32"/>
          <w:szCs w:val="32"/>
          <w:lang w:val="en-US" w:eastAsia="zh-CN"/>
        </w:rPr>
        <w:t>提高裸露地块绿化水平，实现裸露地块绿化率稳定达到100%。</w:t>
      </w:r>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2.开展工业企业污染物达标提升行动</w:t>
      </w:r>
    </w:p>
    <w:p>
      <w:pPr>
        <w:keepNext w:val="0"/>
        <w:keepLines w:val="0"/>
        <w:pageBreakBefore w:val="0"/>
        <w:widowControl w:val="0"/>
        <w:kinsoku/>
        <w:overflowPunct/>
        <w:topLinePunct w:val="0"/>
        <w:autoSpaceDE/>
        <w:autoSpaceDN/>
        <w:bidi w:val="0"/>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以改善环境质量为核心，突出精准治污、科学治污、依法治污，进一步强化执法监管，深入排查</w:t>
      </w:r>
      <w:r>
        <w:rPr>
          <w:rFonts w:hint="eastAsia" w:ascii="仿宋_GB2312" w:hAnsi="仿宋_GB2312" w:eastAsia="仿宋_GB2312" w:cs="仿宋_GB2312"/>
          <w:color w:val="auto"/>
          <w:sz w:val="32"/>
          <w:szCs w:val="32"/>
          <w:lang w:eastAsia="zh-CN"/>
        </w:rPr>
        <w:t>重点</w:t>
      </w:r>
      <w:r>
        <w:rPr>
          <w:rFonts w:hint="eastAsia" w:ascii="仿宋_GB2312" w:hAnsi="仿宋_GB2312" w:eastAsia="仿宋_GB2312" w:cs="仿宋_GB2312"/>
          <w:color w:val="auto"/>
          <w:sz w:val="32"/>
          <w:szCs w:val="32"/>
        </w:rPr>
        <w:t>行业企业大气环境污染突出问题，规范企业有组织及无组织排放治理，持续减少工业企业污染物排放总量，提升</w:t>
      </w:r>
      <w:r>
        <w:rPr>
          <w:rFonts w:hint="eastAsia" w:ascii="仿宋_GB2312" w:hAnsi="仿宋_GB2312" w:eastAsia="仿宋_GB2312" w:cs="仿宋_GB2312"/>
          <w:color w:val="auto"/>
          <w:sz w:val="32"/>
          <w:szCs w:val="32"/>
          <w:lang w:eastAsia="zh-CN"/>
        </w:rPr>
        <w:t>排污许可证</w:t>
      </w:r>
      <w:r>
        <w:rPr>
          <w:rFonts w:hint="eastAsia" w:ascii="仿宋_GB2312" w:hAnsi="仿宋_GB2312" w:eastAsia="仿宋_GB2312" w:cs="仿宋_GB2312"/>
          <w:color w:val="auto"/>
          <w:sz w:val="32"/>
          <w:szCs w:val="32"/>
        </w:rPr>
        <w:t>管理水平，推动</w:t>
      </w:r>
      <w:r>
        <w:rPr>
          <w:rFonts w:hint="eastAsia" w:ascii="仿宋_GB2312" w:hAnsi="仿宋_GB2312" w:eastAsia="仿宋_GB2312" w:cs="仿宋_GB2312"/>
          <w:color w:val="auto"/>
          <w:sz w:val="32"/>
          <w:szCs w:val="32"/>
          <w:lang w:eastAsia="zh-CN"/>
        </w:rPr>
        <w:t>全街道范围内</w:t>
      </w:r>
      <w:r>
        <w:rPr>
          <w:rFonts w:hint="eastAsia" w:ascii="仿宋_GB2312" w:hAnsi="仿宋_GB2312" w:eastAsia="仿宋_GB2312" w:cs="仿宋_GB2312"/>
          <w:color w:val="auto"/>
          <w:sz w:val="32"/>
          <w:szCs w:val="32"/>
        </w:rPr>
        <w:t>工业企业</w:t>
      </w:r>
      <w:r>
        <w:rPr>
          <w:rFonts w:hint="eastAsia" w:ascii="仿宋_GB2312" w:hAnsi="仿宋_GB2312" w:eastAsia="仿宋_GB2312" w:cs="仿宋_GB2312"/>
          <w:color w:val="auto"/>
          <w:sz w:val="32"/>
          <w:szCs w:val="32"/>
          <w:lang w:eastAsia="zh-CN"/>
        </w:rPr>
        <w:t>持续</w:t>
      </w:r>
      <w:r>
        <w:rPr>
          <w:rFonts w:hint="eastAsia" w:ascii="仿宋_GB2312" w:hAnsi="仿宋_GB2312" w:eastAsia="仿宋_GB2312" w:cs="仿宋_GB2312"/>
          <w:color w:val="auto"/>
          <w:sz w:val="32"/>
          <w:szCs w:val="32"/>
        </w:rPr>
        <w:t>达标排放，促进产业结构调整和绿色发展。</w:t>
      </w:r>
    </w:p>
    <w:p>
      <w:pPr>
        <w:pStyle w:val="5"/>
        <w:keepNext w:val="0"/>
        <w:keepLines w:val="0"/>
        <w:pageBreakBefore w:val="0"/>
        <w:widowControl w:val="0"/>
        <w:tabs>
          <w:tab w:val="clear" w:pos="576"/>
        </w:tabs>
        <w:kinsoku/>
        <w:overflowPunct/>
        <w:topLinePunct w:val="0"/>
        <w:autoSpaceDE/>
        <w:autoSpaceDN/>
        <w:bidi w:val="0"/>
        <w:snapToGri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val="en-US" w:eastAsia="zh-CN"/>
        </w:rPr>
      </w:pPr>
      <w:bookmarkStart w:id="192" w:name="_Toc22884"/>
      <w:bookmarkStart w:id="193" w:name="_Toc22729"/>
      <w:bookmarkStart w:id="194" w:name="_Toc25944"/>
      <w:bookmarkStart w:id="195" w:name="_Toc17305"/>
      <w:bookmarkStart w:id="196" w:name="_Toc7008"/>
      <w:bookmarkStart w:id="197" w:name="_Toc23832"/>
      <w:r>
        <w:rPr>
          <w:rFonts w:hint="eastAsia" w:ascii="楷体_GB2312" w:hAnsi="楷体_GB2312" w:eastAsia="楷体_GB2312" w:cs="楷体_GB2312"/>
          <w:color w:val="auto"/>
          <w:sz w:val="32"/>
          <w:szCs w:val="32"/>
          <w:lang w:val="en-US" w:eastAsia="zh-CN"/>
        </w:rPr>
        <w:t>（三）发展特色生态</w:t>
      </w:r>
      <w:bookmarkEnd w:id="192"/>
      <w:bookmarkEnd w:id="193"/>
      <w:bookmarkEnd w:id="194"/>
      <w:bookmarkEnd w:id="195"/>
      <w:r>
        <w:rPr>
          <w:rFonts w:hint="eastAsia" w:ascii="楷体_GB2312" w:hAnsi="楷体_GB2312" w:eastAsia="楷体_GB2312" w:cs="楷体_GB2312"/>
          <w:color w:val="auto"/>
          <w:sz w:val="32"/>
          <w:szCs w:val="32"/>
          <w:lang w:val="en-US" w:eastAsia="zh-CN"/>
        </w:rPr>
        <w:t>经济</w:t>
      </w:r>
      <w:bookmarkEnd w:id="196"/>
      <w:bookmarkEnd w:id="197"/>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color w:val="auto"/>
          <w:kern w:val="0"/>
          <w:sz w:val="32"/>
          <w:szCs w:val="32"/>
        </w:rPr>
      </w:pPr>
      <w:bookmarkStart w:id="198" w:name="_Toc6531"/>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大力发展优势产业</w:t>
      </w:r>
      <w:bookmarkEnd w:id="198"/>
    </w:p>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实施期内，高塘岭街道将大力发展现代都市农业，充分发挥高塘岭有城有乡的优势，提升农业产业品质和规模，大力发展以观光农业为主的现代都市农业。按照“农区变景区、田园变花园、产品变商品”的思路，分批推进、成片建设，打造穿点成线、连线成片的美丽宜居乡村示范集群。延伸都市农业产业链，全力补齐农业基础设施短板，提高农业综合效益，打造稻花麦浪、绿色果园、生态农庄等项目。以中国工程院院士、华南农大教授罗锡文专家团队为技术支撑，集中建设农业示范面积，包括智慧农机建设、高标准农田建设、智能灌溉体系建设、天空地一体化精准农情遥感监测系统等四大板块，打造在全国具有科技引领示范作用的智慧农业园区。</w:t>
      </w:r>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2.大力提升旅游水平</w:t>
      </w:r>
    </w:p>
    <w:p>
      <w:pPr>
        <w:keepNext w:val="0"/>
        <w:keepLines w:val="0"/>
        <w:pageBreakBefore w:val="0"/>
        <w:widowControl w:val="0"/>
        <w:numPr>
          <w:ilvl w:val="0"/>
          <w:numId w:val="2"/>
        </w:numPr>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依托市场发展趋势及消费人群的兴趣联动点进行景区运营模式转型。5G时代的来临，全世界已进入急速信息交互时代，所以需快速改进传统门票机制，以网络app、直播等电子共享设施来改进传统运营模式以求达到更加贴近市场的最优管理模式。</w:t>
      </w:r>
    </w:p>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2）大力发展城乡旅游，结合斑马湖、新康广场景区等生态旅游资源优势，加强各行政村（社区）旅游资源开发，比如六合围村伍家塘美丽宜居村庄深入挖掘劳模张仕斌的先进事迹，提质“梅树猪场”旧址，打造张仕斌先进事迹陈列室，以劳模文化带动村民共绘现代版“富春山居图”；新阳村严家旺美丽宜居村庄依托市级小微水体示范片创建，打造富贵桥、亲水平台、水体净化浮岛等水生态美景，成为新晋网红打卡点；名盛村黄沙湾美丽宜居村庄修缮抗美援朝老兵墓，建设“老兵之家”，打造爱军拥军为主题的美丽村庄；沱市村梽木美丽宜居村庄挖掘中华千年礼孝文化，形成特色乡村振兴模式。结合“文化+”，串联一村一品、乡野本色、山水自然、运动休闲、传统美食、乡野美宿、特色工艺、文化展示于一体的观光体验旅游线，实现全域旅游发展新突破。为望城将“一江两岸”打造成“山水洲城新样板、湘江两岸新客厅、望城核心增长极”贡献“高塘岭力量”。</w:t>
      </w:r>
    </w:p>
    <w:p>
      <w:pPr>
        <w:pStyle w:val="6"/>
        <w:keepNext w:val="0"/>
        <w:keepLines w:val="0"/>
        <w:pageBreakBefore w:val="0"/>
        <w:widowControl w:val="0"/>
        <w:numPr>
          <w:ilvl w:val="0"/>
          <w:numId w:val="0"/>
        </w:numPr>
        <w:tabs>
          <w:tab w:val="clear" w:pos="720"/>
        </w:tabs>
        <w:kinsoku/>
        <w:overflowPunct/>
        <w:topLinePunct w:val="0"/>
        <w:autoSpaceDE/>
        <w:autoSpaceDN/>
        <w:bidi w:val="0"/>
        <w:snapToGrid/>
        <w:spacing w:line="600" w:lineRule="exact"/>
        <w:ind w:firstLine="643" w:firstLineChars="200"/>
        <w:jc w:val="both"/>
        <w:textAlignment w:val="auto"/>
        <w:rPr>
          <w:rFonts w:hint="eastAsia" w:ascii="仿宋_GB2312" w:hAnsi="仿宋_GB2312" w:eastAsia="仿宋_GB2312" w:cs="仿宋_GB2312"/>
          <w:color w:val="auto"/>
          <w:kern w:val="0"/>
          <w:sz w:val="32"/>
          <w:szCs w:val="32"/>
        </w:rPr>
      </w:pPr>
      <w:bookmarkStart w:id="199" w:name="_Toc28893"/>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推进农业</w:t>
      </w:r>
      <w:r>
        <w:rPr>
          <w:rFonts w:hint="eastAsia" w:ascii="仿宋_GB2312" w:hAnsi="仿宋_GB2312" w:eastAsia="仿宋_GB2312" w:cs="仿宋_GB2312"/>
          <w:color w:val="auto"/>
          <w:kern w:val="0"/>
          <w:sz w:val="32"/>
          <w:szCs w:val="32"/>
          <w:lang w:val="en-US" w:eastAsia="zh-CN"/>
        </w:rPr>
        <w:t>绿色</w:t>
      </w:r>
      <w:r>
        <w:rPr>
          <w:rFonts w:hint="eastAsia" w:ascii="仿宋_GB2312" w:hAnsi="仿宋_GB2312" w:eastAsia="仿宋_GB2312" w:cs="仿宋_GB2312"/>
          <w:color w:val="auto"/>
          <w:kern w:val="0"/>
          <w:sz w:val="32"/>
          <w:szCs w:val="32"/>
        </w:rPr>
        <w:t>发展</w:t>
      </w:r>
      <w:bookmarkEnd w:id="199"/>
    </w:p>
    <w:p>
      <w:pPr>
        <w:keepNext w:val="0"/>
        <w:keepLines w:val="0"/>
        <w:pageBreakBefore w:val="0"/>
        <w:widowControl w:val="0"/>
        <w:kinsoku/>
        <w:overflowPunct/>
        <w:topLinePunct w:val="0"/>
        <w:autoSpaceDE/>
        <w:autoSpaceDN/>
        <w:bidi w:val="0"/>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实现化肥、农药使用量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减量增效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。实施有机肥替代化肥示范工程，推广秸秆生物反应堆、商品有机肥等技术模式，发展节水农业和水肥一体化，实施化肥农药减量增效行动。加快推进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改土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，推广精准施肥和绿色防控技术，实现化肥、农药使用量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零增长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。实施期内，实现</w:t>
      </w:r>
      <w:r>
        <w:rPr>
          <w:rFonts w:hint="eastAsia" w:ascii="仿宋_GB2312" w:hAnsi="仿宋_GB2312" w:eastAsia="仿宋_GB2312" w:cs="仿宋_GB2312"/>
          <w:color w:val="auto"/>
          <w:sz w:val="32"/>
          <w:szCs w:val="32"/>
          <w:lang w:eastAsia="zh-CN"/>
        </w:rPr>
        <w:t>化肥、</w:t>
      </w:r>
      <w:r>
        <w:rPr>
          <w:rFonts w:hint="eastAsia" w:ascii="仿宋_GB2312" w:hAnsi="仿宋_GB2312" w:eastAsia="仿宋_GB2312" w:cs="仿宋_GB2312"/>
          <w:color w:val="auto"/>
          <w:sz w:val="32"/>
          <w:szCs w:val="32"/>
        </w:rPr>
        <w:t>农药</w:t>
      </w:r>
      <w:r>
        <w:rPr>
          <w:rFonts w:hint="eastAsia" w:ascii="仿宋_GB2312" w:hAnsi="仿宋_GB2312" w:eastAsia="仿宋_GB2312" w:cs="仿宋_GB2312"/>
          <w:color w:val="auto"/>
          <w:sz w:val="32"/>
          <w:szCs w:val="32"/>
          <w:lang w:eastAsia="zh-CN"/>
        </w:rPr>
        <w:t>化肥</w:t>
      </w:r>
      <w:r>
        <w:rPr>
          <w:rFonts w:hint="eastAsia" w:ascii="仿宋_GB2312" w:hAnsi="仿宋_GB2312" w:eastAsia="仿宋_GB2312" w:cs="仿宋_GB2312"/>
          <w:color w:val="auto"/>
          <w:sz w:val="32"/>
          <w:szCs w:val="32"/>
        </w:rPr>
        <w:t>施用强度逐年下降。</w:t>
      </w:r>
    </w:p>
    <w:p>
      <w:pPr>
        <w:keepNext w:val="0"/>
        <w:keepLines w:val="0"/>
        <w:pageBreakBefore w:val="0"/>
        <w:widowControl w:val="0"/>
        <w:kinsoku/>
        <w:overflowPunct/>
        <w:topLinePunct w:val="0"/>
        <w:autoSpaceDE/>
        <w:autoSpaceDN/>
        <w:bidi w:val="0"/>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提高</w:t>
      </w:r>
      <w:r>
        <w:rPr>
          <w:rFonts w:hint="eastAsia" w:ascii="仿宋_GB2312" w:hAnsi="仿宋_GB2312" w:eastAsia="仿宋_GB2312" w:cs="仿宋_GB2312"/>
          <w:color w:val="auto"/>
          <w:sz w:val="32"/>
          <w:szCs w:val="32"/>
          <w:lang w:eastAsia="zh-CN"/>
        </w:rPr>
        <w:t>秸秆综合</w:t>
      </w:r>
      <w:r>
        <w:rPr>
          <w:rFonts w:hint="eastAsia" w:ascii="仿宋_GB2312" w:hAnsi="仿宋_GB2312" w:eastAsia="仿宋_GB2312" w:cs="仿宋_GB2312"/>
          <w:color w:val="auto"/>
          <w:sz w:val="32"/>
          <w:szCs w:val="32"/>
        </w:rPr>
        <w:t>利用水平。坚持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农用为主，多元利用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的原则和肥料化、饲料化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两大方向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，鼓励秸秆粉碎还田和腐熟还田，不断提升秸秆农用水平、收储运专业化水平、市场化利用水平和综合利用水平。到202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年底，实现农作物秸秆综合利用率</w:t>
      </w:r>
      <w:r>
        <w:rPr>
          <w:rFonts w:hint="eastAsia" w:ascii="仿宋_GB2312" w:hAnsi="仿宋_GB2312" w:eastAsia="仿宋_GB2312" w:cs="仿宋_GB2312"/>
          <w:color w:val="auto"/>
          <w:sz w:val="32"/>
          <w:szCs w:val="32"/>
          <w:lang w:val="en-US" w:eastAsia="zh-CN"/>
        </w:rPr>
        <w:t>96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建立农膜回收利用长效机制。大力推广使用无毒可降解农用薄膜，鼓励扶持无毒可降解农用薄膜的销售。深入推进以农用塑料薄膜回收再利用为主的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白色污染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治理，对目前生产上大量使用的不可降解的农膜进行回收再利用，减少污染。确保</w:t>
      </w:r>
      <w:r>
        <w:rPr>
          <w:rFonts w:hint="eastAsia" w:ascii="仿宋_GB2312" w:hAnsi="仿宋_GB2312" w:eastAsia="仿宋_GB2312" w:cs="仿宋_GB2312"/>
          <w:color w:val="auto"/>
          <w:sz w:val="32"/>
          <w:szCs w:val="32"/>
          <w:lang w:eastAsia="zh-CN"/>
        </w:rPr>
        <w:t>到</w:t>
      </w:r>
      <w:r>
        <w:rPr>
          <w:rFonts w:hint="eastAsia" w:ascii="仿宋_GB2312" w:hAnsi="仿宋_GB2312" w:eastAsia="仿宋_GB2312" w:cs="仿宋_GB2312"/>
          <w:color w:val="auto"/>
          <w:sz w:val="32"/>
          <w:szCs w:val="32"/>
          <w:lang w:val="en-US" w:eastAsia="zh-CN"/>
        </w:rPr>
        <w:t>2025年底</w:t>
      </w:r>
      <w:r>
        <w:rPr>
          <w:rFonts w:hint="eastAsia" w:ascii="仿宋_GB2312" w:hAnsi="仿宋_GB2312" w:eastAsia="仿宋_GB2312" w:cs="仿宋_GB2312"/>
          <w:color w:val="auto"/>
          <w:sz w:val="32"/>
          <w:szCs w:val="32"/>
        </w:rPr>
        <w:t>，农膜回收率达到</w:t>
      </w:r>
      <w:r>
        <w:rPr>
          <w:rFonts w:hint="eastAsia" w:ascii="仿宋_GB2312" w:hAnsi="仿宋_GB2312" w:eastAsia="仿宋_GB2312" w:cs="仿宋_GB2312"/>
          <w:color w:val="auto"/>
          <w:sz w:val="32"/>
          <w:szCs w:val="32"/>
          <w:lang w:val="en-US" w:eastAsia="zh-CN"/>
        </w:rPr>
        <w:t>90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w:t>
      </w:r>
    </w:p>
    <w:p>
      <w:pPr>
        <w:keepNext w:val="0"/>
        <w:keepLines w:val="0"/>
        <w:pageBreakBefore w:val="0"/>
        <w:widowControl w:val="0"/>
        <w:kinsoku/>
        <w:overflowPunct/>
        <w:topLinePunct w:val="0"/>
        <w:autoSpaceDE/>
        <w:autoSpaceDN/>
        <w:bidi w:val="0"/>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rPr>
        <w:t>规划期内，完成</w:t>
      </w:r>
      <w:r>
        <w:rPr>
          <w:rFonts w:hint="eastAsia" w:ascii="仿宋_GB2312" w:hAnsi="仿宋_GB2312" w:eastAsia="仿宋_GB2312" w:cs="仿宋_GB2312"/>
          <w:color w:val="auto"/>
          <w:sz w:val="32"/>
          <w:szCs w:val="32"/>
        </w:rPr>
        <w:t>长沙市望城区高塘岭街道新阳村等5个村高标准农田建设项目</w:t>
      </w:r>
      <w:r>
        <w:rPr>
          <w:rFonts w:hint="eastAsia" w:ascii="仿宋_GB2312" w:hAnsi="仿宋_GB2312" w:eastAsia="仿宋_GB2312" w:cs="仿宋_GB2312"/>
          <w:color w:val="auto"/>
          <w:sz w:val="32"/>
          <w:szCs w:val="32"/>
          <w:lang w:eastAsia="zh-CN"/>
        </w:rPr>
        <w:t>，达到“田地平整肥沃、水利设施配套、田间道路畅通、林网建设适宜、科技先进适用、优质高产高效”的总体目标，</w:t>
      </w:r>
      <w:r>
        <w:rPr>
          <w:rFonts w:hint="eastAsia" w:ascii="仿宋_GB2312" w:hAnsi="仿宋_GB2312" w:eastAsia="仿宋_GB2312" w:cs="仿宋_GB2312"/>
          <w:color w:val="auto"/>
          <w:sz w:val="32"/>
          <w:szCs w:val="32"/>
          <w:lang w:val="en-US" w:eastAsia="zh-CN"/>
        </w:rPr>
        <w:t>加速推进</w:t>
      </w:r>
      <w:r>
        <w:rPr>
          <w:rFonts w:hint="eastAsia" w:ascii="仿宋_GB2312" w:hAnsi="仿宋_GB2312" w:eastAsia="仿宋_GB2312" w:cs="仿宋_GB2312"/>
          <w:color w:val="auto"/>
          <w:kern w:val="0"/>
          <w:sz w:val="32"/>
          <w:szCs w:val="32"/>
        </w:rPr>
        <w:t>农业</w:t>
      </w:r>
      <w:r>
        <w:rPr>
          <w:rFonts w:hint="eastAsia" w:ascii="仿宋_GB2312" w:hAnsi="仿宋_GB2312" w:eastAsia="仿宋_GB2312" w:cs="仿宋_GB2312"/>
          <w:color w:val="auto"/>
          <w:kern w:val="0"/>
          <w:sz w:val="32"/>
          <w:szCs w:val="32"/>
          <w:lang w:val="en-US" w:eastAsia="zh-CN"/>
        </w:rPr>
        <w:t>绿色</w:t>
      </w:r>
      <w:r>
        <w:rPr>
          <w:rFonts w:hint="eastAsia" w:ascii="仿宋_GB2312" w:hAnsi="仿宋_GB2312" w:eastAsia="仿宋_GB2312" w:cs="仿宋_GB2312"/>
          <w:color w:val="auto"/>
          <w:kern w:val="0"/>
          <w:sz w:val="32"/>
          <w:szCs w:val="32"/>
        </w:rPr>
        <w:t>发展</w:t>
      </w:r>
      <w:r>
        <w:rPr>
          <w:rFonts w:hint="eastAsia" w:ascii="仿宋_GB2312" w:hAnsi="仿宋_GB2312" w:eastAsia="仿宋_GB2312" w:cs="仿宋_GB2312"/>
          <w:color w:val="auto"/>
          <w:sz w:val="32"/>
          <w:szCs w:val="32"/>
          <w:lang w:eastAsia="zh-CN"/>
        </w:rPr>
        <w:t>。</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lang w:eastAsia="zh-CN"/>
        </w:rPr>
        <w:t>加快有机、绿色或地理标志农产品认证</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高塘岭街道将</w:t>
      </w:r>
      <w:r>
        <w:rPr>
          <w:rFonts w:hint="eastAsia" w:ascii="仿宋_GB2312" w:hAnsi="仿宋_GB2312" w:eastAsia="仿宋_GB2312" w:cs="仿宋_GB2312"/>
          <w:color w:val="auto"/>
          <w:sz w:val="32"/>
          <w:szCs w:val="32"/>
        </w:rPr>
        <w:t>围绕提高农产品质量，大力实施农产品品牌提升工程，提升</w:t>
      </w:r>
      <w:r>
        <w:rPr>
          <w:rFonts w:hint="eastAsia" w:ascii="仿宋_GB2312" w:hAnsi="仿宋_GB2312" w:eastAsia="仿宋_GB2312" w:cs="仿宋_GB2312"/>
          <w:color w:val="auto"/>
          <w:sz w:val="32"/>
          <w:szCs w:val="32"/>
          <w:lang w:val="en-US" w:eastAsia="zh-CN"/>
        </w:rPr>
        <w:t>葡萄、丑橘</w:t>
      </w:r>
      <w:r>
        <w:rPr>
          <w:rFonts w:hint="eastAsia" w:ascii="仿宋_GB2312" w:hAnsi="仿宋_GB2312" w:eastAsia="仿宋_GB2312" w:cs="仿宋_GB2312"/>
          <w:color w:val="auto"/>
          <w:sz w:val="32"/>
          <w:szCs w:val="32"/>
        </w:rPr>
        <w:t>等传统品牌档次，</w:t>
      </w:r>
      <w:r>
        <w:rPr>
          <w:rFonts w:hint="eastAsia" w:ascii="仿宋_GB2312" w:hAnsi="仿宋_GB2312" w:eastAsia="仿宋_GB2312" w:cs="仿宋_GB2312"/>
          <w:color w:val="auto"/>
          <w:sz w:val="32"/>
          <w:szCs w:val="32"/>
          <w:lang w:val="en-US" w:eastAsia="zh-CN"/>
        </w:rPr>
        <w:t>引进美国红冠（红桃）</w:t>
      </w:r>
      <w:r>
        <w:rPr>
          <w:rFonts w:hint="eastAsia" w:ascii="仿宋_GB2312" w:hAnsi="仿宋_GB2312" w:eastAsia="仿宋_GB2312" w:cs="仿宋_GB2312"/>
          <w:color w:val="auto"/>
          <w:sz w:val="32"/>
          <w:szCs w:val="32"/>
        </w:rPr>
        <w:t>等一批优质农产品品牌，加大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三品一标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产品认证力度，到202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实现</w:t>
      </w:r>
      <w:r>
        <w:rPr>
          <w:rFonts w:hint="eastAsia" w:ascii="仿宋_GB2312" w:hAnsi="仿宋_GB2312" w:eastAsia="仿宋_GB2312" w:cs="仿宋_GB2312"/>
          <w:color w:val="auto"/>
          <w:sz w:val="32"/>
          <w:szCs w:val="32"/>
          <w:lang w:val="en-US" w:eastAsia="zh-CN"/>
        </w:rPr>
        <w:t>有机、绿色或地理标志农产品认证比例逐步提高。</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i w:val="0"/>
          <w:iCs w:val="0"/>
          <w:color w:val="auto"/>
          <w:kern w:val="0"/>
          <w:sz w:val="32"/>
          <w:szCs w:val="32"/>
          <w:lang w:val="en-US" w:eastAsia="zh-CN" w:bidi="ar-SA"/>
        </w:rPr>
        <w:t>以绿色发展引领乡村振兴</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b/>
          <w:bCs/>
          <w:color w:val="auto"/>
          <w:kern w:val="0"/>
          <w:sz w:val="32"/>
          <w:szCs w:val="32"/>
          <w:lang w:val="en-US" w:eastAsia="zh-CN" w:bidi="ar-SA"/>
        </w:rPr>
        <w:t>全力推动产业创新</w:t>
      </w:r>
    </w:p>
    <w:p>
      <w:pPr>
        <w:keepNext w:val="0"/>
        <w:keepLines w:val="0"/>
        <w:pageBreakBefore w:val="0"/>
        <w:widowControl w:val="0"/>
        <w:suppressLineNumbers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olor w:val="auto"/>
          <w:kern w:val="2"/>
          <w:sz w:val="32"/>
          <w:szCs w:val="32"/>
          <w:lang w:val="en-US" w:eastAsia="zh-CN" w:bidi="ar"/>
        </w:rPr>
        <w:t>依据《长沙市望城区生态文明建设示范区规划》《望城区“十四五”国土空间发展规划》《长沙市望城区“实施乡村建设行动、全力推进乡村振兴”三年计划（2021－2023年）》《长沙市望城区特色小城镇和特色小村庄建设工作实施方案（2021-2023年）》，高塘岭街道将立足望城中心城区，借力经济优势，加快创新产业发展，走绿色发展道路，引导绿色、生态、高端、智慧、高效的产业发展。</w:t>
      </w:r>
    </w:p>
    <w:p>
      <w:pPr>
        <w:keepNext w:val="0"/>
        <w:keepLines w:val="0"/>
        <w:pageBreakBefore w:val="0"/>
        <w:widowControl w:val="0"/>
        <w:suppressLineNumbers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i w:val="0"/>
          <w:iCs w:val="0"/>
          <w:color w:val="auto"/>
          <w:kern w:val="2"/>
          <w:sz w:val="32"/>
          <w:szCs w:val="32"/>
          <w:lang w:val="en-US" w:eastAsia="zh-CN" w:bidi="ar"/>
        </w:rPr>
      </w:pPr>
      <w:r>
        <w:rPr>
          <w:rFonts w:hint="eastAsia" w:ascii="仿宋_GB2312" w:hAnsi="仿宋_GB2312" w:eastAsia="仿宋_GB2312" w:cs="仿宋_GB2312"/>
          <w:i w:val="0"/>
          <w:iCs w:val="0"/>
          <w:color w:val="auto"/>
          <w:kern w:val="2"/>
          <w:sz w:val="32"/>
          <w:szCs w:val="32"/>
          <w:lang w:val="en-US" w:eastAsia="zh-CN" w:bidi="ar"/>
        </w:rPr>
        <w:t>牢固树立和践行绿水青山就是金山银山的理念，以绿色发展引领乡村振兴。重点以生态旅游、农业休闲等绿色产业发展带动高塘岭街道乡村振兴，让美丽宜居村庄的建设撬动“美丽经济”。</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textAlignment w:val="baseline"/>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下一步，高塘岭街道将</w:t>
      </w:r>
      <w:r>
        <w:rPr>
          <w:rFonts w:hint="eastAsia" w:ascii="仿宋_GB2312" w:hAnsi="仿宋_GB2312" w:eastAsia="仿宋_GB2312" w:cs="仿宋_GB2312"/>
          <w:color w:val="auto"/>
          <w:sz w:val="32"/>
          <w:szCs w:val="32"/>
        </w:rPr>
        <w:t>以现代化、市场化、品质化理念，全力推动产业转型升级，以产业赋能促进高质量发展</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（1）加快推广</w:t>
      </w:r>
      <w:r>
        <w:rPr>
          <w:rFonts w:hint="eastAsia" w:ascii="仿宋_GB2312" w:hAnsi="仿宋_GB2312" w:eastAsia="仿宋_GB2312" w:cs="仿宋_GB2312"/>
          <w:color w:val="auto"/>
          <w:sz w:val="32"/>
          <w:szCs w:val="32"/>
        </w:rPr>
        <w:t>双季稻无人农场，采用物联网、大数据、人工智能、5G、机器人等新一代信息技术，实现智能机械自主决策、自主作业，完成所有生产、管理任务。以前需要20多个人作业的200亩水稻春耕春插，如今只需2到3人，还可节约灌溉用水、肥料和农药投入，</w:t>
      </w:r>
      <w:r>
        <w:rPr>
          <w:rFonts w:hint="eastAsia" w:ascii="仿宋_GB2312" w:hAnsi="仿宋_GB2312" w:eastAsia="仿宋_GB2312" w:cs="仿宋_GB2312"/>
          <w:color w:val="auto"/>
          <w:sz w:val="32"/>
          <w:szCs w:val="32"/>
          <w:lang w:val="en-US" w:eastAsia="zh-CN"/>
        </w:rPr>
        <w:t>同时</w:t>
      </w:r>
      <w:r>
        <w:rPr>
          <w:rFonts w:hint="eastAsia" w:ascii="仿宋_GB2312" w:hAnsi="仿宋_GB2312" w:eastAsia="仿宋_GB2312" w:cs="仿宋_GB2312"/>
          <w:color w:val="auto"/>
          <w:sz w:val="32"/>
          <w:szCs w:val="32"/>
        </w:rPr>
        <w:t>实现核心示范区增产10%以上。</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提质文旅休闲产业。加快新康戏乡里，漮水梨园、戏曲主题展览馆</w:t>
      </w:r>
      <w:r>
        <w:rPr>
          <w:rFonts w:hint="eastAsia" w:ascii="仿宋_GB2312" w:hAnsi="仿宋_GB2312" w:eastAsia="仿宋_GB2312" w:cs="仿宋_GB2312"/>
          <w:color w:val="auto"/>
          <w:sz w:val="32"/>
          <w:szCs w:val="32"/>
          <w:lang w:val="en-US" w:eastAsia="zh-CN"/>
        </w:rPr>
        <w:t>等景区</w:t>
      </w:r>
      <w:r>
        <w:rPr>
          <w:rFonts w:hint="eastAsia" w:ascii="仿宋_GB2312" w:hAnsi="仿宋_GB2312" w:eastAsia="仿宋_GB2312" w:cs="仿宋_GB2312"/>
          <w:color w:val="auto"/>
          <w:sz w:val="32"/>
          <w:szCs w:val="32"/>
        </w:rPr>
        <w:t>特色民宿建设，高标准做好宣传推广运营，推动民宿产业成规模、上档次、有品位，让</w:t>
      </w:r>
      <w:r>
        <w:rPr>
          <w:rFonts w:hint="eastAsia" w:ascii="仿宋_GB2312" w:hAnsi="仿宋_GB2312" w:eastAsia="仿宋_GB2312" w:cs="仿宋_GB2312"/>
          <w:color w:val="auto"/>
          <w:sz w:val="32"/>
          <w:szCs w:val="32"/>
          <w:lang w:val="en-US" w:eastAsia="zh-CN"/>
        </w:rPr>
        <w:t>水生态美景与田园风光相映成趣，打造湖滨游览区、娱乐休闲区、餐饮民宿区等特色，</w:t>
      </w:r>
      <w:r>
        <w:rPr>
          <w:rFonts w:hint="eastAsia" w:ascii="仿宋_GB2312" w:hAnsi="仿宋_GB2312" w:eastAsia="仿宋_GB2312" w:cs="仿宋_GB2312"/>
          <w:color w:val="auto"/>
          <w:sz w:val="32"/>
          <w:szCs w:val="32"/>
        </w:rPr>
        <w:t>成为休闲度假的人气之地。</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创新现代服务产业。</w:t>
      </w:r>
      <w:r>
        <w:rPr>
          <w:rFonts w:hint="eastAsia" w:ascii="仿宋_GB2312" w:hAnsi="仿宋_GB2312" w:eastAsia="仿宋_GB2312" w:cs="仿宋_GB2312"/>
          <w:color w:val="auto"/>
          <w:sz w:val="32"/>
          <w:szCs w:val="32"/>
          <w:lang w:val="en-US" w:eastAsia="zh-CN"/>
        </w:rPr>
        <w:t>紧抓望城区打造“一江两岸”的机遇，依托高塘岭街道</w:t>
      </w:r>
      <w:r>
        <w:rPr>
          <w:rFonts w:hint="eastAsia" w:ascii="仿宋_GB2312" w:hAnsi="仿宋_GB2312" w:eastAsia="仿宋_GB2312" w:cs="仿宋_GB2312"/>
          <w:color w:val="auto"/>
          <w:sz w:val="32"/>
          <w:szCs w:val="32"/>
        </w:rPr>
        <w:t>良好的生态环境，立足优越的自然资源禀赋，重点引进康养、教育等现代服务产业，打造一个田园、健康、养生、养老、休闲、文化、旅游、生态研学等多元化功能融为一体的现代服务基地。</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6.建立与健全补偿方式与途径</w:t>
      </w:r>
    </w:p>
    <w:p>
      <w:pPr>
        <w:keepNext w:val="0"/>
        <w:keepLines w:val="0"/>
        <w:pageBreakBefore w:val="0"/>
        <w:widowControl w:val="0"/>
        <w:suppressLineNumbers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b/>
          <w:bCs/>
          <w:color w:val="auto"/>
          <w:kern w:val="0"/>
          <w:sz w:val="32"/>
          <w:szCs w:val="32"/>
          <w:lang w:val="en-US" w:eastAsia="zh-CN" w:bidi="ar-SA"/>
        </w:rPr>
      </w:pPr>
      <w:r>
        <w:rPr>
          <w:rFonts w:hint="eastAsia" w:ascii="仿宋_GB2312" w:hAnsi="仿宋_GB2312" w:eastAsia="仿宋_GB2312" w:cs="仿宋_GB2312"/>
          <w:i w:val="0"/>
          <w:iCs w:val="0"/>
          <w:color w:val="auto"/>
          <w:kern w:val="2"/>
          <w:sz w:val="32"/>
          <w:szCs w:val="32"/>
          <w:lang w:val="en-US" w:eastAsia="zh-CN" w:bidi="ar"/>
        </w:rPr>
        <w:t>采取多种生态公益林效益补偿形式；探索市场化生态补偿模式，培育资源市场，探索资源使用权、碳排放权交易等市场化的补偿模式；积极实行挂钩型生态补偿，建立促进跨行政区的生态补偿专项资金和基金。加大生态建设投入，采取多元化资金筹集模式，多渠道、多层次筹集生态补偿资金；逐步建立政府引导、市场推进、社会参与的生态补偿和生态建设投融资机制，扩大生态公益林补偿资金来源。引导社会资金投向生态补偿，改善环境。</w:t>
      </w:r>
    </w:p>
    <w:p>
      <w:pPr>
        <w:pStyle w:val="5"/>
        <w:keepNext w:val="0"/>
        <w:keepLines w:val="0"/>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val="en-US" w:eastAsia="zh-CN"/>
        </w:rPr>
      </w:pPr>
      <w:bookmarkStart w:id="200" w:name="_Toc12422"/>
      <w:bookmarkStart w:id="201" w:name="_Toc22657"/>
      <w:r>
        <w:rPr>
          <w:rFonts w:hint="eastAsia" w:ascii="楷体_GB2312" w:hAnsi="楷体_GB2312" w:eastAsia="楷体_GB2312" w:cs="楷体_GB2312"/>
          <w:color w:val="auto"/>
          <w:sz w:val="32"/>
          <w:szCs w:val="32"/>
          <w:lang w:val="en-US" w:eastAsia="zh-CN"/>
        </w:rPr>
        <w:t>（四）推进生态生活建设</w:t>
      </w:r>
      <w:bookmarkEnd w:id="200"/>
      <w:bookmarkEnd w:id="201"/>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bookmarkStart w:id="202" w:name="_Toc22571"/>
      <w:r>
        <w:rPr>
          <w:rFonts w:hint="eastAsia" w:ascii="仿宋_GB2312" w:hAnsi="仿宋_GB2312" w:eastAsia="仿宋_GB2312" w:cs="仿宋_GB2312"/>
          <w:b/>
          <w:bCs/>
          <w:color w:val="auto"/>
          <w:kern w:val="0"/>
          <w:sz w:val="32"/>
          <w:szCs w:val="32"/>
          <w:lang w:val="en-US" w:eastAsia="zh-CN"/>
        </w:rPr>
        <w:t>1.加强农村饮水工程保障</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近年来，高塘岭街道认真组织实施城乡供水一体化，全面落实《长沙市望城区城乡供水一体化三年行动实施方案(2021-2023)》的要求，且高塘岭街道位于望城区城区范围，优先于2022年全部完成城乡供水一体化建设，目前高塘岭街道村民饮用水源全部为自来水。实施期内，高塘岭街道将不断加强农村自来水管理，提高群众的节约意识。充分利用宣传栏、宣传会以及宣传单的作用，对环境卫生、健康教育和安全饮水工作等进行多形式的、多层次的宣传，积极的、全面的宣传饮水安全的知识，引导村民树立正确的用水观念，使得广大的农民群众充分认识到饮水安全的重要性。保护村内饮用水水源、灌溉水水源，不得在水域及岸边倾倒或者堆放垃圾、粪土、渣土，不得进行其他破坏水源的活动。在宣传安全用水的同时也要注意提高农民的节约用水意识，提倡群众节约用水。</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2.强化农村生活污水治理</w:t>
      </w:r>
    </w:p>
    <w:p>
      <w:pPr>
        <w:keepNext w:val="0"/>
        <w:keepLines w:val="0"/>
        <w:pageBreakBefore w:val="0"/>
        <w:widowControl w:val="0"/>
        <w:suppressLineNumbers w:val="0"/>
        <w:kinsoku/>
        <w:overflowPunct/>
        <w:topLinePunct w:val="0"/>
        <w:autoSpaceDE/>
        <w:autoSpaceDN/>
        <w:bidi w:val="0"/>
        <w:adjustRightInd/>
        <w:snapToGrid/>
        <w:spacing w:beforeAutospacing="0" w:afterAutospacing="0" w:line="60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深入推进农村生活污水处理工程。下一步，高塘岭街道将与发展生态农业、循环经济相结合，建立多形式、低成本、高效率的污水处理体系。全面深入、精细精准开展入户雨污管网摸底排查工作，重点排查雨污管网合流、错接、漏接等问题，分步分区域推进雨污分流改造，进一步解决生活污水直排的历史遗留问题，提高污水收集效率，切实提高污水处理效能。</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i w:val="0"/>
          <w:iCs w:val="0"/>
          <w:caps w:val="0"/>
          <w:color w:val="auto"/>
          <w:spacing w:val="15"/>
          <w:sz w:val="32"/>
          <w:szCs w:val="32"/>
          <w:shd w:val="clear" w:color="auto" w:fill="FFFFFF"/>
          <w:lang w:eastAsia="zh-CN"/>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lang w:eastAsia="zh-CN"/>
        </w:rPr>
        <w:t>实现垃圾无害化处理</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eastAsia="zh-CN"/>
        </w:rPr>
        <w:t>高塘岭街道</w:t>
      </w:r>
      <w:r>
        <w:rPr>
          <w:rFonts w:hint="eastAsia" w:ascii="仿宋_GB2312" w:hAnsi="仿宋_GB2312" w:eastAsia="仿宋_GB2312" w:cs="仿宋_GB2312"/>
          <w:bCs/>
          <w:color w:val="auto"/>
          <w:sz w:val="32"/>
          <w:szCs w:val="32"/>
        </w:rPr>
        <w:t>推广</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垃圾分类</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促进生活绿色循环，按</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一日一保洁</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制度，积极推进生活垃圾</w:t>
      </w:r>
      <w:r>
        <w:rPr>
          <w:rFonts w:hint="eastAsia" w:ascii="仿宋_GB2312" w:hAnsi="仿宋_GB2312" w:eastAsia="仿宋_GB2312" w:cs="仿宋_GB2312"/>
          <w:color w:val="auto"/>
          <w:sz w:val="32"/>
          <w:szCs w:val="32"/>
          <w:shd w:val="clear" w:color="auto" w:fill="FFFFFF"/>
          <w:lang w:val="en-US" w:eastAsia="zh-CN"/>
        </w:rPr>
        <w:t>“分户收集，分类处理，村民自治，政府补贴，公司运营”</w:t>
      </w:r>
      <w:r>
        <w:rPr>
          <w:rFonts w:hint="eastAsia" w:ascii="仿宋_GB2312" w:hAnsi="仿宋_GB2312" w:eastAsia="仿宋_GB2312" w:cs="仿宋_GB2312"/>
          <w:bCs/>
          <w:color w:val="auto"/>
          <w:sz w:val="32"/>
          <w:szCs w:val="32"/>
        </w:rPr>
        <w:t>模式，</w:t>
      </w:r>
      <w:r>
        <w:rPr>
          <w:rFonts w:hint="eastAsia" w:ascii="仿宋_GB2312" w:hAnsi="仿宋_GB2312" w:eastAsia="仿宋_GB2312" w:cs="仿宋_GB2312"/>
          <w:bCs/>
          <w:color w:val="auto"/>
          <w:sz w:val="32"/>
          <w:szCs w:val="32"/>
          <w:lang w:eastAsia="zh-CN"/>
        </w:rPr>
        <w:t>全街道</w:t>
      </w:r>
      <w:r>
        <w:rPr>
          <w:rFonts w:hint="eastAsia" w:ascii="仿宋_GB2312" w:hAnsi="仿宋_GB2312" w:eastAsia="仿宋_GB2312" w:cs="仿宋_GB2312"/>
          <w:bCs/>
          <w:color w:val="auto"/>
          <w:sz w:val="32"/>
          <w:szCs w:val="32"/>
        </w:rPr>
        <w:t>环境卫生质量得到显著提高</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实施期内，高塘岭街道将</w:t>
      </w:r>
      <w:r>
        <w:rPr>
          <w:rFonts w:hint="eastAsia" w:ascii="仿宋_GB2312" w:hAnsi="仿宋_GB2312" w:eastAsia="仿宋_GB2312" w:cs="仿宋_GB2312"/>
          <w:color w:val="auto"/>
          <w:sz w:val="32"/>
          <w:szCs w:val="32"/>
          <w:lang w:eastAsia="zh-CN"/>
        </w:rPr>
        <w:t>按照垃圾处理“无害化、资源化、减量化”要求，</w:t>
      </w:r>
      <w:r>
        <w:rPr>
          <w:rFonts w:hint="eastAsia" w:ascii="仿宋_GB2312" w:hAnsi="仿宋_GB2312" w:eastAsia="仿宋_GB2312" w:cs="仿宋_GB2312"/>
          <w:color w:val="auto"/>
          <w:sz w:val="32"/>
          <w:szCs w:val="32"/>
          <w:lang w:val="en-US" w:eastAsia="zh-CN"/>
        </w:rPr>
        <w:t>逐步</w:t>
      </w:r>
      <w:r>
        <w:rPr>
          <w:rFonts w:hint="eastAsia" w:ascii="仿宋_GB2312" w:hAnsi="仿宋_GB2312" w:eastAsia="仿宋_GB2312" w:cs="仿宋_GB2312"/>
          <w:color w:val="auto"/>
          <w:sz w:val="32"/>
          <w:szCs w:val="32"/>
          <w:lang w:eastAsia="zh-CN"/>
        </w:rPr>
        <w:t>构建具有</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特色的“分类</w:t>
      </w:r>
      <w:r>
        <w:rPr>
          <w:rFonts w:hint="eastAsia" w:ascii="仿宋_GB2312" w:hAnsi="仿宋_GB2312" w:eastAsia="仿宋_GB2312" w:cs="仿宋_GB2312"/>
          <w:color w:val="auto"/>
          <w:sz w:val="32"/>
          <w:szCs w:val="32"/>
          <w:lang w:val="en-US" w:eastAsia="zh-CN"/>
        </w:rPr>
        <w:t>投放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分类收集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分类运输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分类处理</w:t>
      </w:r>
      <w:r>
        <w:rPr>
          <w:rFonts w:hint="eastAsia" w:ascii="仿宋_GB2312" w:hAnsi="仿宋_GB2312" w:eastAsia="仿宋_GB2312" w:cs="仿宋_GB2312"/>
          <w:color w:val="auto"/>
          <w:sz w:val="32"/>
          <w:szCs w:val="32"/>
          <w:lang w:eastAsia="zh-CN"/>
        </w:rPr>
        <w:t>”的生活垃圾</w:t>
      </w:r>
      <w:r>
        <w:rPr>
          <w:rFonts w:hint="eastAsia" w:ascii="仿宋_GB2312" w:hAnsi="仿宋_GB2312" w:eastAsia="仿宋_GB2312" w:cs="仿宋_GB2312"/>
          <w:color w:val="auto"/>
          <w:sz w:val="32"/>
          <w:szCs w:val="32"/>
          <w:lang w:val="en-US" w:eastAsia="zh-CN"/>
        </w:rPr>
        <w:t>处理体系</w:t>
      </w:r>
      <w:r>
        <w:rPr>
          <w:rFonts w:hint="eastAsia" w:ascii="仿宋_GB2312" w:hAnsi="仿宋_GB2312" w:eastAsia="仿宋_GB2312" w:cs="仿宋_GB2312"/>
          <w:color w:val="auto"/>
          <w:sz w:val="32"/>
          <w:szCs w:val="32"/>
          <w:lang w:eastAsia="zh-CN"/>
        </w:rPr>
        <w:t>，逐步</w:t>
      </w:r>
      <w:r>
        <w:rPr>
          <w:rFonts w:hint="eastAsia" w:ascii="仿宋_GB2312" w:hAnsi="仿宋_GB2312" w:eastAsia="仿宋_GB2312" w:cs="仿宋_GB2312"/>
          <w:color w:val="auto"/>
          <w:sz w:val="32"/>
          <w:szCs w:val="32"/>
          <w:lang w:val="en-US" w:eastAsia="zh-CN"/>
        </w:rPr>
        <w:t>建立“政府主导、全民参与、市场化运作、法制化规范”的运行机制，重点抓好生活垃圾分类减量的组织管理、宣传动员等工作，</w:t>
      </w:r>
      <w:r>
        <w:rPr>
          <w:rFonts w:hint="eastAsia" w:ascii="仿宋_GB2312" w:hAnsi="仿宋_GB2312" w:eastAsia="仿宋_GB2312" w:cs="仿宋_GB2312"/>
          <w:color w:val="auto"/>
          <w:sz w:val="32"/>
          <w:szCs w:val="32"/>
          <w:lang w:eastAsia="zh-CN"/>
        </w:rPr>
        <w:t>实现生活垃圾处理的无害化、资源化。</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强化小微水体治理和管护</w:t>
      </w:r>
      <w:bookmarkEnd w:id="202"/>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持续推进小微水体治理，对河坝坝体进行加固修复，修建溢洪道、输水涵管等，高塘岭街道将加强山塘渠坝等小微水体日常巡查，做好垃圾清理、水域保洁等日常管理维护，确保无污染、无垃圾、无淤积、无违建、无损毁。</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kern w:val="0"/>
          <w:sz w:val="32"/>
          <w:szCs w:val="32"/>
          <w:lang w:eastAsia="zh-CN"/>
        </w:rPr>
      </w:pPr>
      <w:bookmarkStart w:id="203" w:name="_Toc29045"/>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推进生活垃圾分类</w:t>
      </w:r>
      <w:r>
        <w:rPr>
          <w:rFonts w:hint="eastAsia" w:ascii="仿宋_GB2312" w:hAnsi="仿宋_GB2312" w:eastAsia="仿宋_GB2312" w:cs="仿宋_GB2312"/>
          <w:color w:val="auto"/>
          <w:kern w:val="0"/>
          <w:sz w:val="32"/>
          <w:szCs w:val="32"/>
          <w:lang w:eastAsia="zh-CN"/>
        </w:rPr>
        <w:t>减量</w:t>
      </w:r>
    </w:p>
    <w:bookmarkEnd w:id="203"/>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sz w:val="32"/>
          <w:szCs w:val="32"/>
          <w:lang w:val="en-US" w:eastAsia="zh-CN"/>
        </w:rPr>
      </w:pPr>
      <w:bookmarkStart w:id="204" w:name="_Toc30426"/>
      <w:bookmarkStart w:id="205" w:name="_Toc29038"/>
      <w:bookmarkStart w:id="206" w:name="_Toc747"/>
      <w:bookmarkStart w:id="207" w:name="_Toc14792"/>
      <w:r>
        <w:rPr>
          <w:rFonts w:hint="eastAsia" w:ascii="仿宋_GB2312" w:hAnsi="仿宋_GB2312" w:eastAsia="仿宋_GB2312" w:cs="仿宋_GB2312"/>
          <w:b/>
          <w:bCs/>
          <w:color w:val="auto"/>
          <w:sz w:val="32"/>
          <w:szCs w:val="32"/>
          <w:lang w:val="en-US" w:eastAsia="zh-CN"/>
        </w:rPr>
        <w:t>全面宣传，让垃圾分类融入群众生活。</w:t>
      </w:r>
      <w:r>
        <w:rPr>
          <w:rFonts w:hint="eastAsia" w:ascii="仿宋_GB2312" w:hAnsi="仿宋_GB2312" w:eastAsia="仿宋_GB2312" w:cs="仿宋_GB2312"/>
          <w:color w:val="auto"/>
          <w:sz w:val="32"/>
          <w:szCs w:val="32"/>
          <w:lang w:val="en-US" w:eastAsia="zh-CN"/>
        </w:rPr>
        <w:t>一是全面铺开，在宣传范围上不留死角。利用宣传栏、板报、一封信等形式在全街道范围内进行垃圾分类宣传，积极引导群众自觉将剩菜剩饭、腐烂瓜果等可腐烂垃圾放入可腐烂垃圾桶，将泡沫制品、废纸、纸巾等不可腐烂垃圾放入不可腐烂垃圾桶。二是系统宣传，在分类处理上注重实效。对农村生活垃圾现状危害、环保知识、垃圾分类、收运处理机制、典型经验以及垃圾分类减量化处理资源化利用效益等进行广泛宣传，提高全社会的环保意识、生态意识，积极营造全社会共同参与的良好氛围。三是举办主题活动。</w:t>
      </w:r>
      <w:r>
        <w:rPr>
          <w:rFonts w:hint="eastAsia" w:ascii="仿宋_GB2312" w:hAnsi="仿宋_GB2312" w:eastAsia="仿宋_GB2312" w:cs="仿宋_GB2312"/>
          <w:bCs/>
          <w:color w:val="auto"/>
          <w:sz w:val="32"/>
          <w:szCs w:val="32"/>
          <w:lang w:val="en-US" w:eastAsia="zh-CN"/>
        </w:rPr>
        <w:t>定期举办生活垃圾分类特色主题活动，如“小手拉大手”、“生活垃圾进校园”、“分类知识讲座培训”等，吸引不同群体居民关注参与垃圾分类工作。</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强化督导，将垃圾分类工作抓在日常。</w:t>
      </w:r>
      <w:r>
        <w:rPr>
          <w:rFonts w:hint="eastAsia" w:ascii="仿宋_GB2312" w:hAnsi="仿宋_GB2312" w:eastAsia="仿宋_GB2312" w:cs="仿宋_GB2312"/>
          <w:color w:val="auto"/>
          <w:sz w:val="32"/>
          <w:szCs w:val="32"/>
          <w:lang w:val="en-US" w:eastAsia="zh-CN"/>
        </w:rPr>
        <w:t>建立健全农户垃圾分类激励办法，充分发挥农户参与农村垃圾分类和资源化利用工作的积极性和主动性。建立村日自查、街道月查及群众全程监督的分级督查考核体系，相关结果列入村（社区）两委、环卫专干、保洁员、分类收集员工作考核内容。</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bookmarkStart w:id="208" w:name="_Toc34508595"/>
      <w:bookmarkStart w:id="209" w:name="_Toc2776712"/>
      <w:r>
        <w:rPr>
          <w:rFonts w:hint="eastAsia" w:ascii="仿宋_GB2312" w:hAnsi="仿宋_GB2312" w:eastAsia="仿宋_GB2312" w:cs="仿宋_GB2312"/>
          <w:b/>
          <w:bCs/>
          <w:color w:val="auto"/>
          <w:kern w:val="0"/>
          <w:sz w:val="32"/>
          <w:szCs w:val="32"/>
          <w:lang w:val="en-US" w:eastAsia="zh-CN"/>
        </w:rPr>
        <w:t>6.推行政府绿色采购制度</w:t>
      </w:r>
    </w:p>
    <w:bookmarkEnd w:id="208"/>
    <w:bookmarkEnd w:id="209"/>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综合运用财税、市场和法律手段，鼓励支持企业实行产品绿色设计、绿色制造和绿色包装，鼓励使用绿色材料，规范绿色产品生产。定期公布能效标识产品、节能节水认证产品、环境标志产品和无公害标志食品等绿色标识产品目录，出台激励政策，引导公众优先采购绿色标识产品。推行政府绿色采购制度，调整完善政府绿色采购清单，提升绿色采购在政府采购中的比重。鼓励非政府机构、企业实行绿色采购，打造绿色商品供应链，建设绿色流通服务体系。</w:t>
      </w:r>
      <w:r>
        <w:rPr>
          <w:rFonts w:hint="eastAsia" w:ascii="仿宋_GB2312" w:hAnsi="仿宋_GB2312" w:eastAsia="仿宋_GB2312" w:cs="仿宋_GB2312"/>
          <w:color w:val="auto"/>
          <w:sz w:val="32"/>
          <w:szCs w:val="32"/>
          <w:lang w:val="en-US" w:eastAsia="zh-CN"/>
        </w:rPr>
        <w:t>到2025年底，</w:t>
      </w:r>
      <w:r>
        <w:rPr>
          <w:rFonts w:hint="eastAsia" w:ascii="仿宋_GB2312" w:hAnsi="仿宋_GB2312" w:eastAsia="仿宋_GB2312" w:cs="仿宋_GB2312"/>
          <w:color w:val="auto"/>
          <w:sz w:val="32"/>
          <w:szCs w:val="32"/>
        </w:rPr>
        <w:t>政府采购节能环保产品和环境标志产品所占比例</w:t>
      </w:r>
      <w:r>
        <w:rPr>
          <w:rFonts w:hint="eastAsia" w:ascii="仿宋_GB2312" w:hAnsi="仿宋_GB2312" w:eastAsia="仿宋_GB2312" w:cs="仿宋_GB2312"/>
          <w:color w:val="auto"/>
          <w:sz w:val="32"/>
          <w:szCs w:val="32"/>
          <w:lang w:val="en-US" w:eastAsia="zh-CN"/>
        </w:rPr>
        <w:t>保持在100%</w:t>
      </w:r>
      <w:r>
        <w:rPr>
          <w:rFonts w:hint="eastAsia" w:ascii="仿宋_GB2312" w:hAnsi="仿宋_GB2312" w:eastAsia="仿宋_GB2312" w:cs="仿宋_GB2312"/>
          <w:color w:val="auto"/>
          <w:sz w:val="32"/>
          <w:szCs w:val="32"/>
        </w:rPr>
        <w:t>。</w:t>
      </w:r>
    </w:p>
    <w:p>
      <w:pPr>
        <w:pStyle w:val="5"/>
        <w:keepNext w:val="0"/>
        <w:keepLines w:val="0"/>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val="en-US" w:eastAsia="zh-CN"/>
        </w:rPr>
      </w:pPr>
      <w:bookmarkStart w:id="210" w:name="_Toc12816"/>
      <w:bookmarkStart w:id="211" w:name="_Toc32091"/>
      <w:r>
        <w:rPr>
          <w:rFonts w:hint="eastAsia" w:ascii="楷体_GB2312" w:hAnsi="楷体_GB2312" w:eastAsia="楷体_GB2312" w:cs="楷体_GB2312"/>
          <w:color w:val="auto"/>
          <w:sz w:val="32"/>
          <w:szCs w:val="32"/>
          <w:lang w:val="en-US" w:eastAsia="zh-CN"/>
        </w:rPr>
        <w:t>（五）完善生态文化制度</w:t>
      </w:r>
      <w:bookmarkEnd w:id="204"/>
      <w:bookmarkEnd w:id="205"/>
      <w:bookmarkEnd w:id="206"/>
      <w:bookmarkEnd w:id="207"/>
      <w:bookmarkEnd w:id="210"/>
      <w:bookmarkEnd w:id="211"/>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kern w:val="0"/>
          <w:sz w:val="32"/>
          <w:szCs w:val="32"/>
        </w:rPr>
      </w:pPr>
      <w:bookmarkStart w:id="212" w:name="_Toc1647"/>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b/>
          <w:bCs/>
          <w:color w:val="auto"/>
          <w:kern w:val="0"/>
          <w:sz w:val="32"/>
          <w:szCs w:val="32"/>
          <w:lang w:val="en-US" w:eastAsia="zh-CN"/>
        </w:rPr>
        <w:t>完善村民自治章程和村规民约</w:t>
      </w:r>
    </w:p>
    <w:p>
      <w:pPr>
        <w:keepNext w:val="0"/>
        <w:keepLines w:val="0"/>
        <w:pageBreakBefore w:val="0"/>
        <w:widowControl w:val="0"/>
        <w:suppressLineNumbers w:val="0"/>
        <w:kinsoku/>
        <w:overflowPunct/>
        <w:topLinePunct w:val="0"/>
        <w:autoSpaceDE/>
        <w:autoSpaceDN/>
        <w:bidi w:val="0"/>
        <w:adjustRightInd/>
        <w:snapToGrid/>
        <w:spacing w:beforeAutospacing="0" w:afterAutospacing="0" w:line="600" w:lineRule="exact"/>
        <w:ind w:left="0" w:right="0" w:firstLine="640" w:firstLineChars="20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健全村党组织领导的充满活力的村民自治机制，完善村民自治章程和村规民约，健全村务监督委员会。扩大村级党务、村务、财务公开，持续抓好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四议两公开一监督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阳光议事日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公开等村级基本制度落实，全面加强农村财务管理，进一步提升村级工作规范化水平。</w:t>
      </w:r>
      <w:r>
        <w:rPr>
          <w:rFonts w:hint="eastAsia" w:ascii="仿宋_GB2312" w:hAnsi="仿宋_GB2312" w:eastAsia="仿宋_GB2312" w:cs="仿宋_GB2312"/>
          <w:color w:val="auto"/>
          <w:sz w:val="32"/>
          <w:szCs w:val="32"/>
          <w:lang w:val="en-US" w:eastAsia="zh-CN"/>
        </w:rPr>
        <w:t>组建以街道、村两级干部职工队伍为主体的工作小组，分工合作，密切配合，确保村规民约修订完善工作稳步推进。宣传动员鼓励参与。对全街道23个村（社区）进行广泛宣传动员，对村规民约修订完善工作流程做到家喻户晓、人人皆知，确保村不漏组、组不漏户，营造全民参与村规民约修订完善的良好工作氛围。</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2.加强生态环境保护宣传教育</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sz w:val="32"/>
          <w:szCs w:val="32"/>
          <w:lang w:val="en-US" w:eastAsia="zh-CN"/>
        </w:rPr>
        <w:t>扎实推进社会主义核心价值观进农家活动，加强新时代文明实践中心建设，采取人民群众喜闻乐见的形式，持续深入开展习近平新时代中国特色社会主义思想宣传教育。</w:t>
      </w:r>
      <w:r>
        <w:rPr>
          <w:rFonts w:hint="eastAsia" w:ascii="仿宋_GB2312" w:hAnsi="仿宋_GB2312" w:eastAsia="仿宋_GB2312" w:cs="仿宋_GB2312"/>
          <w:color w:val="auto"/>
          <w:sz w:val="32"/>
          <w:szCs w:val="32"/>
        </w:rPr>
        <w:t>倡导群众保护</w:t>
      </w:r>
      <w:r>
        <w:rPr>
          <w:rFonts w:hint="eastAsia" w:ascii="仿宋_GB2312" w:hAnsi="仿宋_GB2312" w:eastAsia="仿宋_GB2312" w:cs="仿宋_GB2312"/>
          <w:color w:val="auto"/>
          <w:sz w:val="32"/>
          <w:szCs w:val="32"/>
          <w:lang w:eastAsia="zh-CN"/>
        </w:rPr>
        <w:t>生态环境</w:t>
      </w:r>
      <w:r>
        <w:rPr>
          <w:rFonts w:hint="eastAsia" w:ascii="仿宋_GB2312" w:hAnsi="仿宋_GB2312" w:eastAsia="仿宋_GB2312" w:cs="仿宋_GB2312"/>
          <w:color w:val="auto"/>
          <w:sz w:val="32"/>
          <w:szCs w:val="32"/>
        </w:rPr>
        <w:t>，树立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爱护环境、热爱家乡、节约集约、绿色消费、预防污染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意识，形成良好的行为习惯。广泛深入宣传《公民生态环境行为规范（试行）》，引导公众自觉履行保护生态环境的法定义务，自觉践行绿色生活。</w:t>
      </w:r>
      <w:r>
        <w:rPr>
          <w:rFonts w:hint="eastAsia" w:ascii="仿宋_GB2312" w:hAnsi="仿宋_GB2312" w:eastAsia="仿宋_GB2312" w:cs="仿宋_GB2312"/>
          <w:color w:val="auto"/>
          <w:sz w:val="32"/>
          <w:szCs w:val="32"/>
          <w:lang w:val="en-US" w:eastAsia="zh-CN"/>
        </w:rPr>
        <w:t>对区域内居民加强生态环境保护宣传教育，包括烟花爆竹禁限放、秸秆禁烧、禁止捕鱼电鱼毒鱼、生物多样性保护、生活垃圾分类等，增强群众生态环境保护意识，</w:t>
      </w:r>
      <w:r>
        <w:rPr>
          <w:rFonts w:hint="eastAsia" w:ascii="仿宋_GB2312" w:hAnsi="仿宋_GB2312" w:eastAsia="仿宋_GB2312" w:cs="仿宋_GB2312"/>
          <w:color w:val="auto"/>
          <w:sz w:val="32"/>
          <w:szCs w:val="32"/>
        </w:rPr>
        <w:t>形成生态文明、保护生态环境的</w:t>
      </w:r>
      <w:r>
        <w:rPr>
          <w:rFonts w:hint="eastAsia" w:ascii="仿宋_GB2312" w:hAnsi="仿宋_GB2312" w:eastAsia="仿宋_GB2312" w:cs="仿宋_GB2312"/>
          <w:color w:val="auto"/>
          <w:sz w:val="32"/>
          <w:szCs w:val="32"/>
          <w:lang w:eastAsia="zh-CN"/>
        </w:rPr>
        <w:t>浓厚</w:t>
      </w:r>
      <w:r>
        <w:rPr>
          <w:rFonts w:hint="eastAsia" w:ascii="仿宋_GB2312" w:hAnsi="仿宋_GB2312" w:eastAsia="仿宋_GB2312" w:cs="仿宋_GB2312"/>
          <w:color w:val="auto"/>
          <w:sz w:val="32"/>
          <w:szCs w:val="32"/>
        </w:rPr>
        <w:t>氛围。</w:t>
      </w:r>
    </w:p>
    <w:bookmarkEnd w:id="212"/>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3.多层次开展生态教育</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0000FF"/>
          <w:sz w:val="32"/>
          <w:szCs w:val="32"/>
          <w:lang w:val="en-US"/>
        </w:rPr>
      </w:pPr>
      <w:r>
        <w:rPr>
          <w:rFonts w:hint="eastAsia" w:ascii="仿宋_GB2312" w:hAnsi="仿宋_GB2312" w:eastAsia="仿宋_GB2312" w:cs="仿宋_GB2312"/>
          <w:color w:val="auto"/>
          <w:sz w:val="32"/>
          <w:szCs w:val="32"/>
          <w:lang w:val="en-US" w:eastAsia="zh-CN"/>
        </w:rPr>
        <w:t>组织全街道以及村（社区）干部全面、系统学习生态文明相关理论以及重大政策制度，牢固树立“绿水青山就是金山银山”的理念，用生态文明建设统筹社会经济发展各项工作。督促鼓励街道、村（社区）干部认真学习习近平总书记系列重要讲话精神和环保政策法律法规，领会精神实质，掌握核心要义，教育引导领导干部自觉把思想和行动统一到保护生态环境、建设美丽家园的工作大局中来。采取集中培训、专题辅导、以会代训等实体培训和网络教育相结合方式，分类别、分层次、分专题举办学习培训班，街道、村（社区）干部参加生态文明培训的人数比例保持在100%</w:t>
      </w:r>
      <w:r>
        <w:rPr>
          <w:rFonts w:hint="eastAsia" w:ascii="仿宋_GB2312" w:hAnsi="仿宋_GB2312" w:eastAsia="仿宋_GB2312" w:cs="仿宋_GB2312"/>
          <w:color w:val="0000FF"/>
          <w:sz w:val="32"/>
          <w:szCs w:val="32"/>
          <w:lang w:val="en-US" w:eastAsia="zh-CN"/>
        </w:rPr>
        <w:t>。</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bookmarkStart w:id="213" w:name="_Toc30138"/>
      <w:r>
        <w:rPr>
          <w:rFonts w:hint="eastAsia" w:ascii="仿宋_GB2312" w:hAnsi="仿宋_GB2312" w:eastAsia="仿宋_GB2312" w:cs="仿宋_GB2312"/>
          <w:b/>
          <w:bCs/>
          <w:color w:val="auto"/>
          <w:kern w:val="0"/>
          <w:sz w:val="32"/>
          <w:szCs w:val="32"/>
          <w:lang w:val="en-US" w:eastAsia="zh-CN"/>
        </w:rPr>
        <w:t>4.加强生态文化宣传，提高公众满意度</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深化乡村文明行动。</w:t>
      </w:r>
      <w:r>
        <w:rPr>
          <w:rFonts w:hint="eastAsia" w:ascii="仿宋_GB2312" w:hAnsi="仿宋_GB2312" w:eastAsia="仿宋_GB2312" w:cs="仿宋_GB2312"/>
          <w:color w:val="auto"/>
          <w:sz w:val="32"/>
          <w:szCs w:val="32"/>
        </w:rPr>
        <w:t>坚持物质文明和精神文明一起抓，培育文明乡风、良好家风、淳朴民风，改善农民精神风貌。以社会主义核心价值观为引领，通过多种形式的文艺活动，加强爱国主义、集体主义、社会主义教育，弘扬主旋律。深入实施公民道德建设工程，开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道德模范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好媳妇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好婆婆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等文明评选活动，把孝文化运用到农村社会治理中，深化乡村文明行动，持续开展文明村、星级文明户评选，不断提高乡村社会文明程度。</w:t>
      </w:r>
    </w:p>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b/>
          <w:bCs/>
          <w:color w:val="auto"/>
          <w:sz w:val="32"/>
          <w:szCs w:val="32"/>
          <w:lang w:eastAsia="zh-CN"/>
        </w:rPr>
        <w:t>大力发展优秀文化</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highlight w:val="none"/>
          <w:shd w:val="clear" w:color="auto" w:fill="auto"/>
          <w:lang w:eastAsia="zh-CN"/>
        </w:rPr>
        <w:t>充分挖掘人文历史文化资源，着力培育特色文化产业。完善提升</w:t>
      </w:r>
      <w:r>
        <w:rPr>
          <w:rFonts w:hint="eastAsia" w:ascii="仿宋_GB2312" w:hAnsi="仿宋_GB2312" w:eastAsia="仿宋_GB2312" w:cs="仿宋_GB2312"/>
          <w:color w:val="auto"/>
          <w:sz w:val="32"/>
          <w:szCs w:val="32"/>
          <w:highlight w:val="none"/>
          <w:shd w:val="clear" w:color="auto" w:fill="auto"/>
          <w:lang w:val="en-US" w:eastAsia="zh-CN"/>
        </w:rPr>
        <w:t>雷锋公园、新康戏乡景区资源发展空间</w:t>
      </w:r>
      <w:r>
        <w:rPr>
          <w:rFonts w:hint="eastAsia" w:ascii="仿宋_GB2312" w:hAnsi="仿宋_GB2312" w:eastAsia="仿宋_GB2312" w:cs="仿宋_GB2312"/>
          <w:color w:val="auto"/>
          <w:sz w:val="32"/>
          <w:szCs w:val="32"/>
          <w:highlight w:val="none"/>
          <w:shd w:val="clear" w:color="auto" w:fill="auto"/>
          <w:lang w:eastAsia="zh-CN"/>
        </w:rPr>
        <w:t>，积极申报</w:t>
      </w:r>
      <w:r>
        <w:rPr>
          <w:rFonts w:hint="eastAsia" w:ascii="仿宋_GB2312" w:hAnsi="仿宋_GB2312" w:eastAsia="仿宋_GB2312" w:cs="仿宋_GB2312"/>
          <w:color w:val="auto"/>
          <w:sz w:val="32"/>
          <w:szCs w:val="32"/>
          <w:highlight w:val="none"/>
          <w:shd w:val="clear" w:color="auto" w:fill="auto"/>
          <w:lang w:val="en-US" w:eastAsia="zh-CN"/>
        </w:rPr>
        <w:t>省级</w:t>
      </w:r>
      <w:r>
        <w:rPr>
          <w:rFonts w:hint="eastAsia" w:ascii="仿宋_GB2312" w:hAnsi="仿宋_GB2312" w:eastAsia="仿宋_GB2312" w:cs="仿宋_GB2312"/>
          <w:color w:val="auto"/>
          <w:sz w:val="32"/>
          <w:szCs w:val="32"/>
          <w:highlight w:val="none"/>
          <w:shd w:val="clear" w:color="auto" w:fill="auto"/>
          <w:lang w:eastAsia="zh-CN"/>
        </w:rPr>
        <w:t>物质文化遗产项目，打造</w:t>
      </w:r>
      <w:r>
        <w:rPr>
          <w:rFonts w:hint="eastAsia" w:ascii="仿宋_GB2312" w:hAnsi="仿宋_GB2312" w:eastAsia="仿宋_GB2312" w:cs="仿宋_GB2312"/>
          <w:color w:val="auto"/>
          <w:sz w:val="32"/>
          <w:szCs w:val="32"/>
          <w:highlight w:val="none"/>
          <w:shd w:val="clear" w:color="auto" w:fill="auto"/>
          <w:lang w:val="en-US" w:eastAsia="zh-CN"/>
        </w:rPr>
        <w:t>知名</w:t>
      </w:r>
      <w:r>
        <w:rPr>
          <w:rFonts w:hint="eastAsia" w:ascii="仿宋_GB2312" w:hAnsi="仿宋_GB2312" w:eastAsia="仿宋_GB2312" w:cs="仿宋_GB2312"/>
          <w:color w:val="auto"/>
          <w:sz w:val="32"/>
          <w:szCs w:val="32"/>
          <w:highlight w:val="none"/>
          <w:shd w:val="clear" w:color="auto" w:fill="auto"/>
          <w:lang w:eastAsia="zh-CN"/>
        </w:rPr>
        <w:t>文化品牌。高</w:t>
      </w:r>
      <w:r>
        <w:rPr>
          <w:rFonts w:hint="eastAsia" w:ascii="仿宋_GB2312" w:hAnsi="仿宋_GB2312" w:eastAsia="仿宋_GB2312" w:cs="仿宋_GB2312"/>
          <w:color w:val="auto"/>
          <w:sz w:val="32"/>
          <w:szCs w:val="32"/>
          <w:highlight w:val="none"/>
          <w:shd w:val="clear" w:color="auto" w:fill="auto"/>
          <w:lang w:val="en-US" w:eastAsia="zh-CN"/>
        </w:rPr>
        <w:t>质量推广</w:t>
      </w:r>
      <w:r>
        <w:rPr>
          <w:rFonts w:hint="eastAsia" w:ascii="仿宋_GB2312" w:hAnsi="仿宋_GB2312" w:eastAsia="仿宋_GB2312" w:cs="仿宋_GB2312"/>
          <w:color w:val="auto"/>
          <w:sz w:val="32"/>
          <w:szCs w:val="32"/>
          <w:highlight w:val="none"/>
          <w:shd w:val="clear" w:color="auto" w:fill="auto"/>
          <w:lang w:eastAsia="zh-CN"/>
        </w:rPr>
        <w:t>望城皮影</w:t>
      </w:r>
      <w:r>
        <w:rPr>
          <w:rFonts w:hint="eastAsia" w:ascii="仿宋_GB2312" w:hAnsi="仿宋_GB2312" w:eastAsia="仿宋_GB2312" w:cs="仿宋_GB2312"/>
          <w:color w:val="auto"/>
          <w:sz w:val="32"/>
          <w:szCs w:val="32"/>
          <w:highlight w:val="none"/>
          <w:shd w:val="clear" w:color="auto" w:fill="auto"/>
          <w:lang w:val="en-US" w:eastAsia="zh-CN"/>
        </w:rPr>
        <w:t>艺术</w:t>
      </w:r>
      <w:r>
        <w:rPr>
          <w:rFonts w:hint="eastAsia" w:ascii="仿宋_GB2312" w:hAnsi="仿宋_GB2312" w:eastAsia="仿宋_GB2312" w:cs="仿宋_GB2312"/>
          <w:color w:val="auto"/>
          <w:sz w:val="32"/>
          <w:szCs w:val="32"/>
          <w:highlight w:val="none"/>
          <w:shd w:val="clear" w:color="auto" w:fill="auto"/>
          <w:lang w:eastAsia="zh-CN"/>
        </w:rPr>
        <w:t>、新康木雕、新康花鼓戏、裕源槽坊古法酿酒、洪山古寺等非物质文化遗产项目。充分发挥文联、书协等文化组织牵头作用，开展各类书画笔会、文学交流等艺术活动，组织开展文化名人辅导、讲课等多种形式的文化培训，积极培育民间艺术团体，提升文化队伍层次水平。深入开展以歌唱、舞蹈、表演、戏曲、书画、文学创作为模块的系列文化活动，活跃群众文化生活，进一步提升群众的文化参与率和满意度。探索开展“乡贤回归”工程，凝聚乡贤力量反哺家乡建设，重塑新时代乡贤文化。</w:t>
      </w:r>
    </w:p>
    <w:p>
      <w:pPr>
        <w:keepNext w:val="0"/>
        <w:keepLines w:val="0"/>
        <w:pageBreakBefore w:val="0"/>
        <w:widowControl w:val="0"/>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eastAsia="zh-CN"/>
        </w:rPr>
        <w:t>提高公众满意度。</w:t>
      </w:r>
      <w:r>
        <w:rPr>
          <w:rFonts w:hint="eastAsia" w:ascii="仿宋_GB2312" w:hAnsi="仿宋_GB2312" w:eastAsia="仿宋_GB2312" w:cs="仿宋_GB2312"/>
          <w:color w:val="auto"/>
          <w:sz w:val="32"/>
          <w:szCs w:val="32"/>
          <w:highlight w:val="none"/>
          <w:shd w:val="clear" w:color="auto" w:fill="auto"/>
          <w:lang w:eastAsia="zh-CN"/>
        </w:rPr>
        <w:t>近年以来，高塘岭街道积极开展生态文明建设，全面实施“林长制”、“河长制”等制度，在蓝天保卫战、水污染防治、土壤污染防治等行动中，积极响应、认真落实，</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highlight w:val="none"/>
          <w:shd w:val="clear" w:color="auto" w:fill="auto"/>
          <w:lang w:eastAsia="zh-CN"/>
        </w:rPr>
        <w:t>域范围内生态状况逐年变好，</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highlight w:val="none"/>
          <w:shd w:val="clear" w:color="auto" w:fill="auto"/>
          <w:lang w:eastAsia="zh-CN"/>
        </w:rPr>
        <w:t>域范围内村民对蓝天白云、</w:t>
      </w:r>
      <w:r>
        <w:rPr>
          <w:rFonts w:hint="eastAsia" w:ascii="仿宋_GB2312" w:hAnsi="仿宋_GB2312" w:eastAsia="仿宋_GB2312" w:cs="仿宋_GB2312"/>
          <w:color w:val="auto"/>
          <w:sz w:val="32"/>
          <w:szCs w:val="32"/>
          <w:lang w:eastAsia="zh-CN"/>
        </w:rPr>
        <w:t>绿水青山有了更直观的感受度和更好的获得感。实施期内，高塘岭街道</w:t>
      </w:r>
      <w:r>
        <w:rPr>
          <w:rFonts w:hint="eastAsia" w:ascii="仿宋_GB2312" w:hAnsi="仿宋_GB2312" w:eastAsia="仿宋_GB2312" w:cs="仿宋_GB2312"/>
          <w:color w:val="auto"/>
          <w:sz w:val="32"/>
          <w:szCs w:val="32"/>
        </w:rPr>
        <w:t>将进一步以深化</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创建工作为重点，</w:t>
      </w:r>
      <w:r>
        <w:rPr>
          <w:rFonts w:hint="eastAsia" w:ascii="仿宋_GB2312" w:hAnsi="仿宋_GB2312" w:eastAsia="仿宋_GB2312" w:cs="仿宋_GB2312"/>
          <w:color w:val="auto"/>
          <w:sz w:val="32"/>
          <w:szCs w:val="32"/>
          <w:lang w:eastAsia="zh-CN"/>
        </w:rPr>
        <w:t>深化</w:t>
      </w:r>
      <w:r>
        <w:rPr>
          <w:rFonts w:hint="eastAsia" w:ascii="仿宋_GB2312" w:hAnsi="仿宋_GB2312" w:eastAsia="仿宋_GB2312" w:cs="仿宋_GB2312"/>
          <w:color w:val="auto"/>
          <w:sz w:val="32"/>
          <w:szCs w:val="32"/>
        </w:rPr>
        <w:t>生态环保、文明家风、移风易俗、文化惠民</w:t>
      </w:r>
      <w:r>
        <w:rPr>
          <w:rFonts w:hint="eastAsia" w:ascii="仿宋_GB2312" w:hAnsi="仿宋_GB2312" w:eastAsia="仿宋_GB2312" w:cs="仿宋_GB2312"/>
          <w:color w:val="auto"/>
          <w:sz w:val="32"/>
          <w:szCs w:val="32"/>
          <w:lang w:eastAsia="zh-CN"/>
        </w:rPr>
        <w:t>等</w:t>
      </w:r>
      <w:r>
        <w:rPr>
          <w:rFonts w:hint="eastAsia" w:ascii="仿宋_GB2312" w:hAnsi="仿宋_GB2312" w:eastAsia="仿宋_GB2312" w:cs="仿宋_GB2312"/>
          <w:color w:val="auto"/>
          <w:sz w:val="32"/>
          <w:szCs w:val="32"/>
        </w:rPr>
        <w:t>工程，治理村容村貌、改善文化条件、发展社会服务、促进乡村文明，注重群众的获得感，推动</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创建工作向纵深发展，惠及更多基层群众</w:t>
      </w:r>
      <w:r>
        <w:rPr>
          <w:rFonts w:hint="eastAsia" w:ascii="仿宋_GB2312" w:hAnsi="仿宋_GB2312" w:eastAsia="仿宋_GB2312" w:cs="仿宋_GB2312"/>
          <w:color w:val="auto"/>
          <w:sz w:val="32"/>
          <w:szCs w:val="32"/>
          <w:lang w:eastAsia="zh-CN"/>
        </w:rPr>
        <w:t>，提高公众对生态文明建设的满意度。</w:t>
      </w:r>
    </w:p>
    <w:p>
      <w:pPr>
        <w:pStyle w:val="5"/>
        <w:keepNext w:val="0"/>
        <w:keepLines w:val="0"/>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jc w:val="both"/>
        <w:textAlignment w:val="auto"/>
        <w:rPr>
          <w:rFonts w:hint="eastAsia" w:ascii="楷体_GB2312" w:hAnsi="楷体_GB2312" w:eastAsia="楷体_GB2312" w:cs="楷体_GB2312"/>
          <w:color w:val="auto"/>
          <w:sz w:val="32"/>
          <w:szCs w:val="32"/>
          <w:lang w:val="en-US" w:eastAsia="zh-CN"/>
        </w:rPr>
      </w:pPr>
      <w:bookmarkStart w:id="214" w:name="_Toc20081"/>
      <w:bookmarkStart w:id="215" w:name="_Toc332"/>
      <w:bookmarkStart w:id="216" w:name="_Toc11002"/>
      <w:bookmarkStart w:id="217" w:name="_Toc19109"/>
      <w:r>
        <w:rPr>
          <w:rFonts w:hint="eastAsia" w:ascii="楷体_GB2312" w:hAnsi="楷体_GB2312" w:eastAsia="楷体_GB2312" w:cs="楷体_GB2312"/>
          <w:color w:val="auto"/>
          <w:sz w:val="32"/>
          <w:szCs w:val="32"/>
          <w:lang w:val="en-US" w:eastAsia="zh-CN"/>
        </w:rPr>
        <w:t>（六）力促“清绿融合”</w:t>
      </w:r>
      <w:bookmarkEnd w:id="214"/>
      <w:bookmarkEnd w:id="215"/>
      <w:bookmarkEnd w:id="216"/>
      <w:bookmarkEnd w:id="217"/>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1.以</w:t>
      </w:r>
      <w:r>
        <w:rPr>
          <w:rFonts w:hint="eastAsia" w:ascii="仿宋_GB2312" w:hAnsi="仿宋_GB2312" w:eastAsia="仿宋_GB2312" w:cs="仿宋_GB2312"/>
          <w:b/>
          <w:bCs/>
          <w:color w:val="auto"/>
          <w:sz w:val="32"/>
          <w:szCs w:val="32"/>
          <w:lang w:val="en-US" w:eastAsia="zh-CN"/>
        </w:rPr>
        <w:t>“清”</w:t>
      </w:r>
      <w:r>
        <w:rPr>
          <w:rFonts w:hint="eastAsia" w:ascii="仿宋_GB2312" w:hAnsi="仿宋_GB2312" w:eastAsia="仿宋_GB2312" w:cs="仿宋_GB2312"/>
          <w:b/>
          <w:bCs/>
          <w:color w:val="auto"/>
          <w:kern w:val="0"/>
          <w:sz w:val="32"/>
          <w:szCs w:val="32"/>
          <w:lang w:val="en-US" w:eastAsia="zh-CN"/>
        </w:rPr>
        <w:t>生“绿”</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高塘岭街道将</w:t>
      </w:r>
      <w:r>
        <w:rPr>
          <w:rFonts w:hint="eastAsia" w:ascii="仿宋_GB2312" w:hAnsi="仿宋_GB2312" w:eastAsia="仿宋_GB2312" w:cs="仿宋_GB2312"/>
          <w:color w:val="auto"/>
          <w:sz w:val="32"/>
          <w:szCs w:val="32"/>
        </w:rPr>
        <w:t>通过清廉工作的开展，推动生态文明建设，改善生态环境质量，提升人居环境品质，为高质量发展注入绿色生态力量。坚持“监督的再监督”，畅通信访举报，多渠道发现环境保护领域的问题线索</w:t>
      </w:r>
      <w:r>
        <w:rPr>
          <w:rFonts w:hint="eastAsia" w:ascii="仿宋_GB2312" w:hAnsi="仿宋_GB2312" w:eastAsia="仿宋_GB2312" w:cs="仿宋_GB2312"/>
          <w:color w:val="auto"/>
          <w:sz w:val="32"/>
          <w:szCs w:val="32"/>
          <w:lang w:eastAsia="zh-CN"/>
        </w:rPr>
        <w:t>，健全联动机制，督促</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lang w:eastAsia="zh-CN"/>
        </w:rPr>
        <w:t>环保、自然资源、农业农村等职能部门强化履职尽责，在全</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lang w:eastAsia="zh-CN"/>
        </w:rPr>
        <w:t>深入推进“利剑”行动。</w:t>
      </w:r>
      <w:r>
        <w:rPr>
          <w:rFonts w:hint="eastAsia" w:ascii="仿宋_GB2312" w:hAnsi="仿宋_GB2312" w:eastAsia="仿宋_GB2312" w:cs="仿宋_GB2312"/>
          <w:color w:val="auto"/>
          <w:sz w:val="32"/>
          <w:szCs w:val="32"/>
          <w:lang w:val="en-US" w:eastAsia="zh-CN"/>
        </w:rPr>
        <w:t>纵深推进清廉环保建设，做好清绿融合结合文章，以“风清气正”政治生态引领建设“绿水青山”自然生态，持续擦亮“清廉环保魅力高塘岭”生态文明新名片</w:t>
      </w:r>
      <w:r>
        <w:rPr>
          <w:rFonts w:hint="eastAsia" w:ascii="仿宋_GB2312" w:hAnsi="仿宋_GB2312" w:eastAsia="仿宋_GB2312" w:cs="仿宋_GB2312"/>
          <w:color w:val="auto"/>
          <w:sz w:val="32"/>
          <w:szCs w:val="32"/>
        </w:rPr>
        <w:t>。</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2.以“绿”促“清”</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通过生态文明示范创建、农村环境综合整治等推动生态环境质量改善、人居环境品质提升，助推生态产业发展。同时，在生态文明示范创建中进一步打造好清廉文化品牌，做好清廉文化宣传。将生态环境改善与清廉文化建设一体推进，全力打造“清绿融合”的</w:t>
      </w:r>
      <w:r>
        <w:rPr>
          <w:rFonts w:hint="eastAsia" w:ascii="仿宋_GB2312" w:hAnsi="仿宋_GB2312" w:eastAsia="仿宋_GB2312" w:cs="仿宋_GB2312"/>
          <w:color w:val="auto"/>
          <w:sz w:val="32"/>
          <w:szCs w:val="32"/>
          <w:lang w:val="en-US" w:eastAsia="zh-CN"/>
        </w:rPr>
        <w:t>高塘岭</w:t>
      </w:r>
      <w:r>
        <w:rPr>
          <w:rFonts w:hint="eastAsia" w:ascii="仿宋_GB2312" w:hAnsi="仿宋_GB2312" w:eastAsia="仿宋_GB2312" w:cs="仿宋_GB2312"/>
          <w:color w:val="auto"/>
          <w:sz w:val="32"/>
          <w:szCs w:val="32"/>
          <w:lang w:eastAsia="zh-CN"/>
        </w:rPr>
        <w:t>样板。</w:t>
      </w:r>
    </w:p>
    <w:p>
      <w:pPr>
        <w:pStyle w:val="6"/>
        <w:keepNext w:val="0"/>
        <w:keepLines w:val="0"/>
        <w:pageBreakBefore w:val="0"/>
        <w:widowControl w:val="0"/>
        <w:numPr>
          <w:ilvl w:val="0"/>
          <w:numId w:val="0"/>
        </w:numPr>
        <w:tabs>
          <w:tab w:val="clear" w:pos="720"/>
        </w:tabs>
        <w:kinsoku/>
        <w:overflowPunct/>
        <w:topLinePunct w:val="0"/>
        <w:autoSpaceDE/>
        <w:autoSpaceDN/>
        <w:bidi w:val="0"/>
        <w:adjustRightInd/>
        <w:snapToGrid/>
        <w:spacing w:line="600" w:lineRule="exact"/>
        <w:ind w:firstLine="643" w:firstLineChars="200"/>
        <w:jc w:val="both"/>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3.全面铺开“清绿融合”基层建设工作</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both"/>
        <w:rPr>
          <w:rFonts w:hint="default" w:ascii="Times New Roman" w:hAnsi="Times New Roman" w:eastAsia="宋体" w:cs="Times New Roman"/>
          <w:color w:val="0000FF"/>
          <w:sz w:val="28"/>
          <w:szCs w:val="28"/>
          <w:lang w:val="en-US" w:eastAsia="zh-CN"/>
        </w:rPr>
      </w:pPr>
      <w:r>
        <w:rPr>
          <w:rFonts w:hint="eastAsia" w:ascii="仿宋_GB2312" w:hAnsi="仿宋_GB2312" w:eastAsia="仿宋_GB2312" w:cs="仿宋_GB2312"/>
          <w:color w:val="auto"/>
          <w:sz w:val="32"/>
          <w:szCs w:val="32"/>
          <w:lang w:eastAsia="zh-CN"/>
        </w:rPr>
        <w:t>将清廉文化建设在示范创建工作中全面铺开，在创建过程中充分融入“清廉”元素。如：班子成员开展集中廉政读书会；班子成员家属写一封廉政家书或廉政寄语；开展廉政参观学习教育活动；设置廉政教育宣传阵地，如宣传栏、展厅等；加强“清廉”财政管理，重大项目实施要进行民主决议，及时公开相关信息，并组建群众廉政作风监督员对项目实施全过程进行监督，按要求开展项目资金绩效评价并开展群众满意度测评；打造含有清廉元素的生态产品，</w:t>
      </w:r>
      <w:r>
        <w:rPr>
          <w:rFonts w:hint="eastAsia" w:ascii="仿宋_GB2312" w:hAnsi="仿宋_GB2312" w:eastAsia="仿宋_GB2312" w:cs="仿宋_GB2312"/>
          <w:color w:val="auto"/>
          <w:sz w:val="32"/>
          <w:szCs w:val="32"/>
          <w:lang w:val="en-US" w:eastAsia="zh-CN"/>
        </w:rPr>
        <w:t>实现“清绿融合”的思想融合、制度融合、实践融合、队伍融合、宣传融合“五个融合”</w:t>
      </w:r>
      <w:r>
        <w:rPr>
          <w:rFonts w:hint="eastAsia" w:ascii="仿宋_GB2312" w:hAnsi="仿宋_GB2312" w:eastAsia="仿宋_GB2312" w:cs="仿宋_GB2312"/>
          <w:color w:val="auto"/>
          <w:sz w:val="32"/>
          <w:szCs w:val="32"/>
          <w:lang w:eastAsia="zh-CN"/>
        </w:rPr>
        <w:t>。</w:t>
      </w:r>
    </w:p>
    <w:bookmarkEnd w:id="213"/>
    <w:p>
      <w:pPr>
        <w:pStyle w:val="4"/>
        <w:pageBreakBefore w:val="0"/>
        <w:widowControl w:val="0"/>
        <w:kinsoku/>
        <w:overflowPunct/>
        <w:topLinePunct w:val="0"/>
        <w:autoSpaceDE/>
        <w:autoSpaceDN/>
        <w:bidi w:val="0"/>
        <w:adjustRightInd/>
        <w:snapToGrid/>
        <w:spacing w:before="0" w:after="0" w:line="600" w:lineRule="exact"/>
        <w:ind w:left="0" w:firstLine="0"/>
        <w:jc w:val="center"/>
        <w:textAlignment w:val="auto"/>
        <w:rPr>
          <w:rStyle w:val="19"/>
          <w:rFonts w:hint="default" w:ascii="Times New Roman" w:hAnsi="Times New Roman" w:eastAsia="宋体" w:cs="Times New Roman"/>
          <w:b/>
          <w:bCs/>
          <w:color w:val="auto"/>
        </w:rPr>
      </w:pPr>
      <w:r>
        <w:rPr>
          <w:rFonts w:hint="default" w:ascii="Times New Roman" w:hAnsi="Times New Roman" w:cs="Times New Roman"/>
          <w:color w:val="0000FF"/>
          <w:sz w:val="28"/>
          <w:szCs w:val="28"/>
          <w:lang w:val="en-US" w:eastAsia="zh-CN"/>
        </w:rPr>
        <w:br w:type="page"/>
      </w:r>
      <w:bookmarkEnd w:id="179"/>
      <w:bookmarkEnd w:id="180"/>
      <w:bookmarkStart w:id="218" w:name="_Toc19873"/>
      <w:bookmarkStart w:id="219" w:name="_Toc17963"/>
      <w:bookmarkStart w:id="220" w:name="_Toc30083"/>
      <w:bookmarkStart w:id="221" w:name="_Toc31579"/>
      <w:r>
        <w:rPr>
          <w:rStyle w:val="19"/>
          <w:rFonts w:hint="eastAsia" w:ascii="黑体" w:hAnsi="黑体" w:eastAsia="黑体" w:cs="黑体"/>
          <w:b w:val="0"/>
          <w:bCs w:val="0"/>
          <w:color w:val="auto"/>
          <w:sz w:val="32"/>
          <w:szCs w:val="32"/>
        </w:rPr>
        <w:t>第</w:t>
      </w:r>
      <w:r>
        <w:rPr>
          <w:rStyle w:val="19"/>
          <w:rFonts w:hint="eastAsia" w:ascii="黑体" w:hAnsi="黑体" w:eastAsia="黑体" w:cs="黑体"/>
          <w:b w:val="0"/>
          <w:bCs w:val="0"/>
          <w:color w:val="auto"/>
          <w:sz w:val="32"/>
          <w:szCs w:val="32"/>
          <w:lang w:val="en-US" w:eastAsia="zh-CN"/>
        </w:rPr>
        <w:t>五</w:t>
      </w:r>
      <w:r>
        <w:rPr>
          <w:rStyle w:val="19"/>
          <w:rFonts w:hint="eastAsia" w:ascii="黑体" w:hAnsi="黑体" w:eastAsia="黑体" w:cs="黑体"/>
          <w:b w:val="0"/>
          <w:bCs w:val="0"/>
          <w:color w:val="auto"/>
          <w:sz w:val="32"/>
          <w:szCs w:val="32"/>
        </w:rPr>
        <w:t>章</w:t>
      </w:r>
      <w:r>
        <w:rPr>
          <w:rStyle w:val="19"/>
          <w:rFonts w:hint="eastAsia" w:ascii="黑体" w:hAnsi="黑体" w:eastAsia="黑体" w:cs="黑体"/>
          <w:b w:val="0"/>
          <w:bCs w:val="0"/>
          <w:color w:val="auto"/>
          <w:sz w:val="32"/>
          <w:szCs w:val="32"/>
          <w:lang w:val="en-US" w:eastAsia="zh-CN"/>
        </w:rPr>
        <w:t xml:space="preserve"> </w:t>
      </w:r>
      <w:r>
        <w:rPr>
          <w:rStyle w:val="19"/>
          <w:rFonts w:hint="eastAsia" w:ascii="黑体" w:hAnsi="黑体" w:eastAsia="黑体" w:cs="黑体"/>
          <w:b w:val="0"/>
          <w:bCs w:val="0"/>
          <w:color w:val="auto"/>
          <w:sz w:val="32"/>
          <w:szCs w:val="32"/>
        </w:rPr>
        <w:t>重点项目</w:t>
      </w:r>
      <w:bookmarkEnd w:id="218"/>
      <w:bookmarkEnd w:id="219"/>
      <w:bookmarkEnd w:id="220"/>
      <w:bookmarkEnd w:id="221"/>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color w:val="auto"/>
        </w:rPr>
      </w:pPr>
    </w:p>
    <w:p>
      <w:pPr>
        <w:keepNext w:val="0"/>
        <w:keepLines w:val="0"/>
        <w:pageBreakBefore w:val="0"/>
        <w:widowControl w:val="0"/>
        <w:kinsoku/>
        <w:wordWrap/>
        <w:overflowPunct w:val="0"/>
        <w:topLinePunct w:val="0"/>
        <w:autoSpaceDE w:val="0"/>
        <w:autoSpaceDN w:val="0"/>
        <w:bidi w:val="0"/>
        <w:adjustRightInd/>
        <w:snapToGrid/>
        <w:spacing w:line="58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建设涉及经济建设、社会进步和环境保护各大领域，是一项复杂的系统工程。围绕</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建设目标、突出重点领域和主要任务，协调社会经济发展与自然资源、生态环境的关系，谋求可持续发展的原则，</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rPr>
        <w:t>应扎实有序地开展生态重点工程建设，发挥重点工程的支撑作用，推进</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各项工作的全面落实。为此，以生态工程为载体和抓手，大力实施基础设施建设，调整产业结构，加快产业升级，发展生态工业、能源业、生态农业和生态旅游业，重视林业发展，以创新推动发展、以结构调整促进发展、以区域协作稳定发展，加快推进工业化、信息化、城市化和农业产业化步伐。</w:t>
      </w:r>
    </w:p>
    <w:p>
      <w:pPr>
        <w:keepNext w:val="0"/>
        <w:keepLines w:val="0"/>
        <w:pageBreakBefore w:val="0"/>
        <w:widowControl w:val="0"/>
        <w:kinsoku/>
        <w:wordWrap/>
        <w:overflowPunct w:val="0"/>
        <w:topLinePunct w:val="0"/>
        <w:autoSpaceDE w:val="0"/>
        <w:autoSpaceDN w:val="0"/>
        <w:bidi w:val="0"/>
        <w:adjustRightInd/>
        <w:snapToGrid/>
        <w:spacing w:line="58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高塘岭街道</w:t>
      </w:r>
      <w:r>
        <w:rPr>
          <w:rFonts w:hint="eastAsia" w:ascii="仿宋_GB2312" w:hAnsi="仿宋_GB2312" w:eastAsia="仿宋_GB2312" w:cs="仿宋_GB2312"/>
          <w:color w:val="auto"/>
          <w:sz w:val="32"/>
          <w:szCs w:val="32"/>
          <w:lang w:val="en-US" w:eastAsia="zh-CN"/>
        </w:rPr>
        <w:t>生态文明建设示范街道</w:t>
      </w:r>
      <w:r>
        <w:rPr>
          <w:rFonts w:hint="eastAsia" w:ascii="仿宋_GB2312" w:hAnsi="仿宋_GB2312" w:eastAsia="仿宋_GB2312" w:cs="仿宋_GB2312"/>
          <w:color w:val="auto"/>
          <w:sz w:val="32"/>
          <w:szCs w:val="32"/>
        </w:rPr>
        <w:t>建设的总体目标、主要任务和建设步骤，计划</w:t>
      </w:r>
      <w:r>
        <w:rPr>
          <w:rFonts w:hint="eastAsia" w:ascii="仿宋_GB2312" w:hAnsi="仿宋_GB2312" w:eastAsia="仿宋_GB2312" w:cs="仿宋_GB2312"/>
          <w:color w:val="auto"/>
          <w:sz w:val="32"/>
          <w:szCs w:val="32"/>
          <w:lang w:val="en-US" w:eastAsia="zh-CN"/>
        </w:rPr>
        <w:t>在生态制度、生态安全、生态生活、生态经济、生态文化等五大类工程，集</w:t>
      </w:r>
      <w:r>
        <w:rPr>
          <w:rFonts w:hint="eastAsia" w:ascii="仿宋_GB2312" w:hAnsi="仿宋_GB2312" w:eastAsia="仿宋_GB2312" w:cs="仿宋_GB2312"/>
          <w:color w:val="auto"/>
          <w:sz w:val="32"/>
          <w:szCs w:val="32"/>
        </w:rPr>
        <w:t>中力量建设一批重点项目，共计</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小项，总投资约</w:t>
      </w:r>
      <w:r>
        <w:rPr>
          <w:rFonts w:hint="eastAsia" w:ascii="仿宋_GB2312" w:hAnsi="仿宋_GB2312" w:eastAsia="仿宋_GB2312" w:cs="仿宋_GB2312"/>
          <w:color w:val="auto"/>
          <w:sz w:val="32"/>
          <w:szCs w:val="32"/>
          <w:lang w:val="en-US" w:eastAsia="zh-CN"/>
        </w:rPr>
        <w:t>4481</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val="0"/>
        <w:topLinePunct w:val="0"/>
        <w:autoSpaceDE w:val="0"/>
        <w:autoSpaceDN w:val="0"/>
        <w:bidi w:val="0"/>
        <w:adjustRightInd/>
        <w:snapToGrid/>
        <w:spacing w:line="58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本实施方案按照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政府主导、各方出力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的方针，立足自力更生，动员社会各方面的力量，积极争取国家拨款、贷款与地方自行筹集相</w:t>
      </w:r>
      <w:r>
        <w:rPr>
          <w:rFonts w:hint="eastAsia" w:ascii="仿宋_GB2312" w:hAnsi="仿宋_GB2312" w:eastAsia="仿宋_GB2312" w:cs="仿宋_GB2312"/>
          <w:color w:val="auto"/>
          <w:sz w:val="32"/>
          <w:szCs w:val="32"/>
          <w:lang w:eastAsia="zh-CN"/>
        </w:rPr>
        <w:t>结</w:t>
      </w:r>
      <w:r>
        <w:rPr>
          <w:rFonts w:hint="eastAsia" w:ascii="仿宋_GB2312" w:hAnsi="仿宋_GB2312" w:eastAsia="仿宋_GB2312" w:cs="仿宋_GB2312"/>
          <w:color w:val="auto"/>
          <w:sz w:val="32"/>
          <w:szCs w:val="32"/>
        </w:rPr>
        <w:t>合，多渠道增加对生态文明建设工作的资金投入，确保各项措施顺利落实。为了拓宽融资渠道，还要鼓励各类所有制经济积极参与投资和经营，要引导和鼓励各种经济组织和民营企业等投资主体多渠道、多形式的增加投入。</w:t>
      </w:r>
    </w:p>
    <w:p>
      <w:pPr>
        <w:spacing w:line="360" w:lineRule="auto"/>
        <w:rPr>
          <w:rFonts w:hint="default" w:ascii="Times New Roman" w:hAnsi="Times New Roman" w:cs="Times New Roman"/>
          <w:color w:val="0000FF"/>
          <w:sz w:val="24"/>
        </w:rPr>
        <w:sectPr>
          <w:footerReference r:id="rId7"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cols w:space="720" w:num="1"/>
          <w:rtlGutter w:val="0"/>
          <w:docGrid w:type="lines" w:linePitch="312" w:charSpace="0"/>
        </w:sectPr>
      </w:pPr>
    </w:p>
    <w:p>
      <w:pPr>
        <w:spacing w:line="360" w:lineRule="auto"/>
        <w:jc w:val="center"/>
        <w:rPr>
          <w:rFonts w:hint="default" w:ascii="Times New Roman" w:hAnsi="Times New Roman" w:cs="Times New Roman"/>
          <w:b/>
          <w:color w:val="auto"/>
          <w:sz w:val="44"/>
          <w:szCs w:val="44"/>
        </w:rPr>
      </w:pPr>
      <w:bookmarkStart w:id="222" w:name="_Toc27944"/>
      <w:r>
        <w:rPr>
          <w:rFonts w:hint="default" w:ascii="Times New Roman" w:hAnsi="Times New Roman" w:cs="Times New Roman"/>
          <w:b/>
          <w:color w:val="auto"/>
          <w:sz w:val="44"/>
          <w:szCs w:val="44"/>
        </w:rPr>
        <w:t>重点建设工程一览表</w:t>
      </w:r>
      <w:bookmarkEnd w:id="222"/>
    </w:p>
    <w:tbl>
      <w:tblPr>
        <w:tblStyle w:val="15"/>
        <w:tblW w:w="14163" w:type="dxa"/>
        <w:tblInd w:w="0" w:type="dxa"/>
        <w:tblLayout w:type="fixed"/>
        <w:tblCellMar>
          <w:top w:w="0" w:type="dxa"/>
          <w:left w:w="108" w:type="dxa"/>
          <w:bottom w:w="0" w:type="dxa"/>
          <w:right w:w="108" w:type="dxa"/>
        </w:tblCellMar>
      </w:tblPr>
      <w:tblGrid>
        <w:gridCol w:w="1224"/>
        <w:gridCol w:w="1422"/>
        <w:gridCol w:w="3819"/>
        <w:gridCol w:w="5020"/>
        <w:gridCol w:w="1264"/>
        <w:gridCol w:w="1414"/>
      </w:tblGrid>
      <w:tr>
        <w:tblPrEx>
          <w:tblLayout w:type="fixed"/>
          <w:tblCellMar>
            <w:top w:w="0" w:type="dxa"/>
            <w:left w:w="108" w:type="dxa"/>
            <w:bottom w:w="0" w:type="dxa"/>
            <w:right w:w="108" w:type="dxa"/>
          </w:tblCellMar>
        </w:tblPrEx>
        <w:trPr>
          <w:trHeight w:val="397"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黑体" w:hAnsi="黑体" w:eastAsia="黑体" w:cs="黑体"/>
                <w:b w:val="0"/>
                <w:bCs w:val="0"/>
                <w:color w:val="auto"/>
                <w:kern w:val="0"/>
                <w:sz w:val="24"/>
                <w:lang w:val="en-US" w:eastAsia="zh-CN"/>
              </w:rPr>
            </w:pPr>
            <w:r>
              <w:rPr>
                <w:rFonts w:hint="eastAsia" w:ascii="黑体" w:hAnsi="黑体" w:eastAsia="黑体" w:cs="黑体"/>
                <w:b w:val="0"/>
                <w:bCs w:val="0"/>
                <w:color w:val="auto"/>
                <w:kern w:val="0"/>
                <w:sz w:val="24"/>
                <w:lang w:val="en-US" w:eastAsia="zh-CN"/>
              </w:rPr>
              <w:t>项目类型</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黑体" w:hAnsi="黑体" w:eastAsia="黑体" w:cs="黑体"/>
                <w:b w:val="0"/>
                <w:bCs w:val="0"/>
                <w:color w:val="auto"/>
                <w:kern w:val="0"/>
                <w:sz w:val="24"/>
                <w:lang w:val="en-US" w:eastAsia="zh-CN"/>
              </w:rPr>
            </w:pPr>
            <w:r>
              <w:rPr>
                <w:rFonts w:hint="eastAsia" w:ascii="黑体" w:hAnsi="黑体" w:eastAsia="黑体" w:cs="黑体"/>
                <w:b w:val="0"/>
                <w:bCs w:val="0"/>
                <w:color w:val="auto"/>
                <w:kern w:val="0"/>
                <w:sz w:val="24"/>
                <w:lang w:val="en-US" w:eastAsia="zh-CN"/>
              </w:rPr>
              <w:t>项目分类</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黑体" w:hAnsi="黑体" w:eastAsia="黑体" w:cs="黑体"/>
                <w:b w:val="0"/>
                <w:bCs w:val="0"/>
                <w:color w:val="auto"/>
                <w:kern w:val="0"/>
                <w:sz w:val="24"/>
                <w:lang w:eastAsia="zh-CN"/>
              </w:rPr>
            </w:pPr>
            <w:r>
              <w:rPr>
                <w:rFonts w:hint="eastAsia" w:ascii="黑体" w:hAnsi="黑体" w:eastAsia="黑体" w:cs="黑体"/>
                <w:b w:val="0"/>
                <w:bCs w:val="0"/>
                <w:color w:val="auto"/>
                <w:kern w:val="0"/>
                <w:sz w:val="24"/>
              </w:rPr>
              <w:t>项目</w:t>
            </w:r>
            <w:r>
              <w:rPr>
                <w:rFonts w:hint="eastAsia" w:ascii="黑体" w:hAnsi="黑体" w:eastAsia="黑体" w:cs="黑体"/>
                <w:b w:val="0"/>
                <w:bCs w:val="0"/>
                <w:color w:val="auto"/>
                <w:kern w:val="0"/>
                <w:sz w:val="24"/>
                <w:lang w:eastAsia="zh-CN"/>
              </w:rPr>
              <w:t>名称</w:t>
            </w:r>
          </w:p>
        </w:tc>
        <w:tc>
          <w:tcPr>
            <w:tcW w:w="5020" w:type="dxa"/>
            <w:tcBorders>
              <w:top w:val="single" w:color="000000" w:sz="4" w:space="0"/>
              <w:left w:val="single" w:color="000000" w:sz="4" w:space="0"/>
              <w:bottom w:val="nil"/>
              <w:right w:val="single" w:color="000000" w:sz="4" w:space="0"/>
            </w:tcBorders>
            <w:vAlign w:val="center"/>
          </w:tcPr>
          <w:p>
            <w:pPr>
              <w:widowControl/>
              <w:jc w:val="center"/>
              <w:rPr>
                <w:rFonts w:hint="eastAsia" w:ascii="黑体" w:hAnsi="黑体" w:eastAsia="黑体" w:cs="黑体"/>
                <w:b w:val="0"/>
                <w:bCs w:val="0"/>
                <w:color w:val="auto"/>
                <w:kern w:val="0"/>
                <w:sz w:val="24"/>
                <w:lang w:eastAsia="zh-CN"/>
              </w:rPr>
            </w:pPr>
            <w:r>
              <w:rPr>
                <w:rFonts w:hint="eastAsia" w:ascii="黑体" w:hAnsi="黑体" w:eastAsia="黑体" w:cs="黑体"/>
                <w:b w:val="0"/>
                <w:bCs w:val="0"/>
                <w:color w:val="auto"/>
                <w:kern w:val="0"/>
                <w:sz w:val="24"/>
                <w:lang w:eastAsia="zh-CN"/>
              </w:rPr>
              <w:t>项目内容</w:t>
            </w:r>
          </w:p>
        </w:tc>
        <w:tc>
          <w:tcPr>
            <w:tcW w:w="1264" w:type="dxa"/>
            <w:tcBorders>
              <w:top w:val="single" w:color="000000" w:sz="4" w:space="0"/>
              <w:left w:val="single" w:color="000000" w:sz="4" w:space="0"/>
              <w:bottom w:val="nil"/>
              <w:right w:val="single" w:color="000000" w:sz="4" w:space="0"/>
            </w:tcBorders>
            <w:vAlign w:val="center"/>
          </w:tcPr>
          <w:p>
            <w:pPr>
              <w:widowControl/>
              <w:jc w:val="center"/>
              <w:rPr>
                <w:rFonts w:hint="eastAsia" w:ascii="黑体" w:hAnsi="黑体" w:eastAsia="黑体" w:cs="黑体"/>
                <w:b w:val="0"/>
                <w:bCs w:val="0"/>
                <w:color w:val="auto"/>
                <w:kern w:val="0"/>
                <w:sz w:val="24"/>
              </w:rPr>
            </w:pPr>
            <w:r>
              <w:rPr>
                <w:rFonts w:hint="eastAsia" w:ascii="黑体" w:hAnsi="黑体" w:eastAsia="黑体" w:cs="黑体"/>
                <w:b w:val="0"/>
                <w:bCs w:val="0"/>
                <w:color w:val="auto"/>
                <w:kern w:val="0"/>
                <w:sz w:val="24"/>
              </w:rPr>
              <w:t>投资概算</w:t>
            </w:r>
          </w:p>
          <w:p>
            <w:pPr>
              <w:jc w:val="center"/>
              <w:rPr>
                <w:rFonts w:hint="eastAsia" w:ascii="黑体" w:hAnsi="黑体" w:eastAsia="黑体" w:cs="黑体"/>
                <w:b w:val="0"/>
                <w:bCs w:val="0"/>
                <w:color w:val="auto"/>
                <w:kern w:val="0"/>
                <w:sz w:val="24"/>
              </w:rPr>
            </w:pPr>
            <w:r>
              <w:rPr>
                <w:rFonts w:hint="eastAsia" w:ascii="黑体" w:hAnsi="黑体" w:eastAsia="黑体" w:cs="黑体"/>
                <w:b w:val="0"/>
                <w:bCs w:val="0"/>
                <w:color w:val="auto"/>
                <w:kern w:val="0"/>
                <w:sz w:val="24"/>
              </w:rPr>
              <w:t>（万元）</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黑体" w:hAnsi="黑体" w:eastAsia="黑体" w:cs="黑体"/>
                <w:b w:val="0"/>
                <w:bCs w:val="0"/>
                <w:color w:val="auto"/>
                <w:kern w:val="0"/>
                <w:sz w:val="24"/>
              </w:rPr>
            </w:pPr>
            <w:r>
              <w:rPr>
                <w:rFonts w:hint="eastAsia" w:ascii="黑体" w:hAnsi="黑体" w:eastAsia="黑体" w:cs="黑体"/>
                <w:b w:val="0"/>
                <w:bCs w:val="0"/>
                <w:color w:val="auto"/>
                <w:kern w:val="0"/>
                <w:sz w:val="24"/>
              </w:rPr>
              <w:t>实施年限</w:t>
            </w:r>
          </w:p>
        </w:tc>
      </w:tr>
      <w:tr>
        <w:tblPrEx>
          <w:tblLayout w:type="fixed"/>
          <w:tblCellMar>
            <w:top w:w="0" w:type="dxa"/>
            <w:left w:w="108" w:type="dxa"/>
            <w:bottom w:w="0" w:type="dxa"/>
            <w:right w:w="108" w:type="dxa"/>
          </w:tblCellMar>
        </w:tblPrEx>
        <w:trPr>
          <w:trHeight w:val="397"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rPr>
              <w:t>生态制度完善</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eastAsia="zh-CN"/>
              </w:rPr>
              <w:t>规划（方案）</w:t>
            </w:r>
            <w:r>
              <w:rPr>
                <w:rFonts w:hint="eastAsia" w:ascii="仿宋_GB2312" w:hAnsi="仿宋_GB2312" w:eastAsia="仿宋_GB2312" w:cs="仿宋_GB2312"/>
                <w:color w:val="auto"/>
                <w:kern w:val="0"/>
                <w:sz w:val="21"/>
                <w:szCs w:val="21"/>
                <w:lang w:val="en-US" w:eastAsia="zh-CN"/>
              </w:rPr>
              <w:t>编制</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长沙市望城区高塘岭街道生态文明建设示范街道实施方案</w:t>
            </w:r>
          </w:p>
        </w:tc>
        <w:tc>
          <w:tcPr>
            <w:tcW w:w="5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编制符合自身实际的建设规划（方案）</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3</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2023</w:t>
            </w:r>
          </w:p>
        </w:tc>
      </w:tr>
      <w:tr>
        <w:tblPrEx>
          <w:tblLayout w:type="fixed"/>
          <w:tblCellMar>
            <w:top w:w="0" w:type="dxa"/>
            <w:left w:w="108" w:type="dxa"/>
            <w:bottom w:w="0" w:type="dxa"/>
            <w:right w:w="108" w:type="dxa"/>
          </w:tblCellMar>
        </w:tblPrEx>
        <w:trPr>
          <w:trHeight w:val="397" w:hRule="atLeast"/>
        </w:trPr>
        <w:tc>
          <w:tcPr>
            <w:tcW w:w="1224" w:type="dxa"/>
            <w:vMerge w:val="restart"/>
            <w:tcBorders>
              <w:top w:val="single" w:color="000000" w:sz="4" w:space="0"/>
              <w:left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生态安全</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裸露地块</w:t>
            </w:r>
          </w:p>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val="en-US" w:eastAsia="zh-CN" w:bidi="ar-SA"/>
              </w:rPr>
              <w:t>排查</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val="en-US" w:eastAsia="zh-CN" w:bidi="ar-SA"/>
              </w:rPr>
              <w:t>排查裸露地块，及时</w:t>
            </w:r>
            <w:r>
              <w:rPr>
                <w:rFonts w:hint="eastAsia" w:ascii="仿宋_GB2312" w:hAnsi="仿宋_GB2312" w:eastAsia="仿宋_GB2312" w:cs="仿宋_GB2312"/>
                <w:color w:val="auto"/>
                <w:kern w:val="0"/>
                <w:sz w:val="21"/>
                <w:szCs w:val="21"/>
                <w:lang w:val="en-US" w:eastAsia="zh-CN"/>
              </w:rPr>
              <w:t>推进裸露土地种草绿化</w:t>
            </w:r>
          </w:p>
        </w:tc>
        <w:tc>
          <w:tcPr>
            <w:tcW w:w="5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val="en-US" w:eastAsia="zh-CN"/>
              </w:rPr>
              <w:t>加强裸露地块排查工作，持续推动农村人居环境改善提升，使裸露地块绿化率稳定达到100%。</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5</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2023-2025</w:t>
            </w:r>
          </w:p>
        </w:tc>
      </w:tr>
      <w:tr>
        <w:tblPrEx>
          <w:tblLayout w:type="fixed"/>
          <w:tblCellMar>
            <w:top w:w="0" w:type="dxa"/>
            <w:left w:w="108" w:type="dxa"/>
            <w:bottom w:w="0" w:type="dxa"/>
            <w:right w:w="108" w:type="dxa"/>
          </w:tblCellMar>
        </w:tblPrEx>
        <w:trPr>
          <w:trHeight w:val="397" w:hRule="atLeast"/>
        </w:trPr>
        <w:tc>
          <w:tcPr>
            <w:tcW w:w="1224" w:type="dxa"/>
            <w:vMerge w:val="continue"/>
            <w:tcBorders>
              <w:left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rPr>
              <w:t>小微水体提质改造</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rPr>
              <w:t>小微水体提质改造</w:t>
            </w:r>
          </w:p>
        </w:tc>
        <w:tc>
          <w:tcPr>
            <w:tcW w:w="5020" w:type="dxa"/>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left="-53" w:leftChars="-25" w:right="-59" w:rightChars="-28" w:firstLine="0" w:firstLineChars="0"/>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rPr>
              <w:t>对</w:t>
            </w:r>
            <w:r>
              <w:rPr>
                <w:rFonts w:hint="eastAsia" w:ascii="仿宋_GB2312" w:hAnsi="仿宋_GB2312" w:eastAsia="仿宋_GB2312" w:cs="仿宋_GB2312"/>
                <w:color w:val="auto"/>
                <w:kern w:val="0"/>
                <w:sz w:val="21"/>
                <w:szCs w:val="21"/>
                <w:lang w:val="en-US" w:eastAsia="zh-CN"/>
              </w:rPr>
              <w:t>街道区</w:t>
            </w:r>
            <w:r>
              <w:rPr>
                <w:rFonts w:hint="eastAsia" w:ascii="仿宋_GB2312" w:hAnsi="仿宋_GB2312" w:eastAsia="仿宋_GB2312" w:cs="仿宋_GB2312"/>
                <w:color w:val="auto"/>
                <w:kern w:val="0"/>
                <w:sz w:val="21"/>
                <w:szCs w:val="21"/>
              </w:rPr>
              <w:t>域内水库、山塘等小微水体进行提质改造，包括日常清洁、问题排查、小微水体示范片打造等</w:t>
            </w:r>
            <w:r>
              <w:rPr>
                <w:rFonts w:hint="eastAsia" w:ascii="仿宋_GB2312" w:hAnsi="仿宋_GB2312" w:eastAsia="仿宋_GB2312" w:cs="仿宋_GB2312"/>
                <w:color w:val="auto"/>
                <w:kern w:val="0"/>
                <w:sz w:val="21"/>
                <w:szCs w:val="21"/>
                <w:lang w:eastAsia="zh-CN"/>
              </w:rPr>
              <w:t>。</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10</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rPr>
              <w:t>2023-2025</w:t>
            </w:r>
          </w:p>
        </w:tc>
      </w:tr>
      <w:tr>
        <w:tblPrEx>
          <w:tblLayout w:type="fixed"/>
          <w:tblCellMar>
            <w:top w:w="0" w:type="dxa"/>
            <w:left w:w="108" w:type="dxa"/>
            <w:bottom w:w="0" w:type="dxa"/>
            <w:right w:w="108" w:type="dxa"/>
          </w:tblCellMar>
        </w:tblPrEx>
        <w:trPr>
          <w:trHeight w:val="499"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生态生活</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美丽宜居</w:t>
            </w:r>
          </w:p>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eastAsia="zh-CN"/>
              </w:rPr>
              <w:t>村庄建设</w:t>
            </w:r>
          </w:p>
        </w:tc>
        <w:tc>
          <w:tcPr>
            <w:tcW w:w="3819" w:type="dxa"/>
            <w:tcBorders>
              <w:top w:val="single" w:color="000000" w:sz="4" w:space="0"/>
              <w:left w:val="single" w:color="000000" w:sz="4" w:space="0"/>
              <w:bottom w:val="single" w:color="000000" w:sz="4" w:space="0"/>
              <w:right w:val="single" w:color="auto"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完成三个行政村片区</w:t>
            </w:r>
            <w:r>
              <w:rPr>
                <w:rFonts w:hint="eastAsia" w:ascii="仿宋_GB2312" w:hAnsi="仿宋_GB2312" w:eastAsia="仿宋_GB2312" w:cs="仿宋_GB2312"/>
                <w:color w:val="auto"/>
                <w:kern w:val="0"/>
                <w:sz w:val="21"/>
                <w:szCs w:val="21"/>
                <w:lang w:eastAsia="zh-CN"/>
              </w:rPr>
              <w:t>美丽宜居村庄建设</w:t>
            </w:r>
          </w:p>
        </w:tc>
        <w:tc>
          <w:tcPr>
            <w:tcW w:w="5020"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生态建设内容：文化墙等宣传制作；农户房屋及庭院、菜园打造；排水设施建设；文化广场建设；道路沿线的美化绿化；环境卫生整治、添置垃圾桶；水塘、沟渠、衬砌等小微水体改造等。</w:t>
            </w:r>
          </w:p>
        </w:tc>
        <w:tc>
          <w:tcPr>
            <w:tcW w:w="1264" w:type="dxa"/>
            <w:tcBorders>
              <w:top w:val="single" w:color="000000" w:sz="4" w:space="0"/>
              <w:left w:val="single" w:color="auto"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300</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rPr>
            </w:pPr>
            <w:r>
              <w:rPr>
                <w:rFonts w:hint="eastAsia" w:ascii="仿宋_GB2312" w:hAnsi="仿宋_GB2312" w:eastAsia="仿宋_GB2312" w:cs="仿宋_GB2312"/>
                <w:color w:val="auto"/>
                <w:kern w:val="0"/>
                <w:sz w:val="21"/>
                <w:szCs w:val="21"/>
                <w:lang w:val="en-US" w:eastAsia="zh-CN"/>
              </w:rPr>
              <w:t>2023</w:t>
            </w:r>
          </w:p>
        </w:tc>
      </w:tr>
      <w:tr>
        <w:tblPrEx>
          <w:tblLayout w:type="fixed"/>
          <w:tblCellMar>
            <w:top w:w="0" w:type="dxa"/>
            <w:left w:w="108" w:type="dxa"/>
            <w:bottom w:w="0" w:type="dxa"/>
            <w:right w:w="108" w:type="dxa"/>
          </w:tblCellMar>
        </w:tblPrEx>
        <w:trPr>
          <w:trHeight w:val="779" w:hRule="atLeast"/>
        </w:trPr>
        <w:tc>
          <w:tcPr>
            <w:tcW w:w="1224" w:type="dxa"/>
            <w:vMerge w:val="restart"/>
            <w:tcBorders>
              <w:top w:val="single" w:color="000000" w:sz="4" w:space="0"/>
              <w:left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生态经济</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有机、绿色或地理标志农产品认证</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加快有机、绿色或地理标志农产品认证</w:t>
            </w:r>
          </w:p>
        </w:tc>
        <w:tc>
          <w:tcPr>
            <w:tcW w:w="5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围绕提高农产品质量，大力实施农产品品牌提升工程，加大“三品一标”产品认证力度，实现有机、绿色或地理标志农产品认证比例逐步提高。</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2023-2025</w:t>
            </w:r>
          </w:p>
        </w:tc>
      </w:tr>
      <w:tr>
        <w:tblPrEx>
          <w:tblLayout w:type="fixed"/>
          <w:tblCellMar>
            <w:top w:w="0" w:type="dxa"/>
            <w:left w:w="108" w:type="dxa"/>
            <w:bottom w:w="0" w:type="dxa"/>
            <w:right w:w="108" w:type="dxa"/>
          </w:tblCellMar>
        </w:tblPrEx>
        <w:trPr>
          <w:trHeight w:val="779" w:hRule="atLeast"/>
        </w:trPr>
        <w:tc>
          <w:tcPr>
            <w:tcW w:w="1224" w:type="dxa"/>
            <w:vMerge w:val="continue"/>
            <w:tcBorders>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高标准农田项目建设</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长沙市望城区高塘岭街道新阳村等5个村高标准农田建设项目</w:t>
            </w:r>
          </w:p>
        </w:tc>
        <w:tc>
          <w:tcPr>
            <w:tcW w:w="502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项目建设高标准农田1.04万亩，其中新阳村3848亩、新河村1211亩、六合围村809亩、月圆村1042亩、沱市村3524亩。</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4151</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2023-2025</w:t>
            </w:r>
          </w:p>
        </w:tc>
      </w:tr>
      <w:tr>
        <w:tblPrEx>
          <w:tblLayout w:type="fixed"/>
          <w:tblCellMar>
            <w:top w:w="0" w:type="dxa"/>
            <w:left w:w="108" w:type="dxa"/>
            <w:bottom w:w="0" w:type="dxa"/>
            <w:right w:w="108" w:type="dxa"/>
          </w:tblCellMar>
        </w:tblPrEx>
        <w:trPr>
          <w:trHeight w:val="124"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eastAsia="zh-CN"/>
              </w:rPr>
              <w:t>生态文化</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宣传工程</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rPr>
              <w:t>生态文明建设宣传</w:t>
            </w:r>
          </w:p>
        </w:tc>
        <w:tc>
          <w:tcPr>
            <w:tcW w:w="5020" w:type="dxa"/>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left="-53" w:leftChars="-25" w:right="-59" w:rightChars="-28" w:firstLine="0" w:firstLineChars="0"/>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rPr>
              <w:t>开展生态文明宣传活动，定期开展生态文明建设成效宣传，加强在公共场所生态文明建设宣传广告投放密度，不断增强生态文明知识普及范围</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6</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2023-2025</w:t>
            </w:r>
          </w:p>
        </w:tc>
      </w:tr>
      <w:tr>
        <w:tblPrEx>
          <w:tblLayout w:type="fixed"/>
          <w:tblCellMar>
            <w:top w:w="0" w:type="dxa"/>
            <w:left w:w="108" w:type="dxa"/>
            <w:bottom w:w="0" w:type="dxa"/>
            <w:right w:w="108" w:type="dxa"/>
          </w:tblCellMar>
        </w:tblPrEx>
        <w:trPr>
          <w:trHeight w:val="619"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eastAsia="zh-CN"/>
              </w:rPr>
            </w:pP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培训</w:t>
            </w:r>
          </w:p>
        </w:tc>
        <w:tc>
          <w:tcPr>
            <w:tcW w:w="3819" w:type="dxa"/>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firstLine="0" w:firstLineChar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lang w:val="en-US" w:eastAsia="zh-CN"/>
              </w:rPr>
              <w:t>街道、村</w:t>
            </w:r>
            <w:r>
              <w:rPr>
                <w:rFonts w:hint="eastAsia" w:ascii="仿宋_GB2312" w:hAnsi="仿宋_GB2312" w:eastAsia="仿宋_GB2312" w:cs="仿宋_GB2312"/>
                <w:color w:val="auto"/>
                <w:kern w:val="0"/>
                <w:sz w:val="21"/>
                <w:szCs w:val="21"/>
              </w:rPr>
              <w:t>干部业务知识培训</w:t>
            </w:r>
          </w:p>
        </w:tc>
        <w:tc>
          <w:tcPr>
            <w:tcW w:w="5020" w:type="dxa"/>
            <w:tcBorders>
              <w:top w:val="single" w:color="000000" w:sz="4" w:space="0"/>
              <w:left w:val="single" w:color="000000" w:sz="4" w:space="0"/>
              <w:bottom w:val="single" w:color="000000" w:sz="4" w:space="0"/>
              <w:right w:val="single" w:color="000000" w:sz="4" w:space="0"/>
            </w:tcBorders>
            <w:vAlign w:val="center"/>
          </w:tcPr>
          <w:p>
            <w:pPr>
              <w:widowControl/>
              <w:adjustRightInd w:val="0"/>
              <w:spacing w:line="240" w:lineRule="auto"/>
              <w:ind w:left="-53" w:leftChars="-25" w:right="-59" w:rightChars="-28" w:firstLine="0" w:firstLineChars="0"/>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rPr>
              <w:t>垃圾分类知识宣传培训；农膜回收、秸秆禁烧宣传指导；农药化肥减量增效知识培训宣传</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6</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仿宋_GB2312" w:hAnsi="仿宋_GB2312" w:eastAsia="仿宋_GB2312" w:cs="仿宋_GB2312"/>
                <w:color w:val="auto"/>
                <w:kern w:val="0"/>
                <w:sz w:val="21"/>
                <w:szCs w:val="21"/>
                <w:lang w:val="en-US" w:eastAsia="zh-CN"/>
              </w:rPr>
              <w:t>2023-2025</w:t>
            </w:r>
          </w:p>
        </w:tc>
      </w:tr>
      <w:tr>
        <w:tblPrEx>
          <w:tblLayout w:type="fixed"/>
          <w:tblCellMar>
            <w:top w:w="0" w:type="dxa"/>
            <w:left w:w="108" w:type="dxa"/>
            <w:bottom w:w="0" w:type="dxa"/>
            <w:right w:w="108" w:type="dxa"/>
          </w:tblCellMar>
        </w:tblPrEx>
        <w:trPr>
          <w:trHeight w:val="397" w:hRule="atLeast"/>
        </w:trPr>
        <w:tc>
          <w:tcPr>
            <w:tcW w:w="1148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仿宋_GB2312" w:hAnsi="仿宋_GB2312" w:eastAsia="仿宋_GB2312" w:cs="仿宋_GB2312"/>
                <w:color w:val="auto"/>
                <w:kern w:val="0"/>
                <w:sz w:val="21"/>
                <w:szCs w:val="21"/>
                <w:lang w:val="en-US" w:eastAsia="zh-CN"/>
              </w:rPr>
            </w:pPr>
            <w:r>
              <w:rPr>
                <w:rFonts w:hint="eastAsia" w:ascii="黑体" w:hAnsi="黑体" w:eastAsia="黑体" w:cs="黑体"/>
                <w:color w:val="auto"/>
                <w:kern w:val="0"/>
                <w:sz w:val="21"/>
                <w:szCs w:val="21"/>
                <w:lang w:val="en-US" w:eastAsia="zh-CN"/>
              </w:rPr>
              <w:t>合计</w:t>
            </w:r>
          </w:p>
        </w:tc>
        <w:tc>
          <w:tcPr>
            <w:tcW w:w="126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黑体" w:hAnsi="黑体" w:eastAsia="黑体" w:cs="黑体"/>
                <w:color w:val="auto"/>
                <w:kern w:val="0"/>
                <w:sz w:val="21"/>
                <w:szCs w:val="21"/>
                <w:lang w:val="en-US" w:eastAsia="zh-CN"/>
              </w:rPr>
            </w:pPr>
            <w:r>
              <w:rPr>
                <w:rFonts w:hint="eastAsia" w:ascii="黑体" w:hAnsi="黑体" w:eastAsia="黑体" w:cs="黑体"/>
                <w:color w:val="auto"/>
                <w:kern w:val="0"/>
                <w:sz w:val="21"/>
                <w:szCs w:val="21"/>
                <w:lang w:val="en-US" w:eastAsia="zh-CN"/>
              </w:rPr>
              <w:t>4481</w:t>
            </w:r>
          </w:p>
        </w:tc>
        <w:tc>
          <w:tcPr>
            <w:tcW w:w="14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黑体" w:hAnsi="黑体" w:eastAsia="黑体" w:cs="黑体"/>
                <w:color w:val="auto"/>
                <w:kern w:val="0"/>
                <w:sz w:val="21"/>
                <w:szCs w:val="21"/>
                <w:lang w:val="en-US" w:eastAsia="zh-CN"/>
              </w:rPr>
            </w:pPr>
            <w:r>
              <w:rPr>
                <w:rFonts w:hint="eastAsia" w:ascii="黑体" w:hAnsi="黑体" w:eastAsia="黑体" w:cs="黑体"/>
                <w:color w:val="auto"/>
                <w:kern w:val="0"/>
                <w:sz w:val="21"/>
                <w:szCs w:val="21"/>
                <w:lang w:val="en-US" w:eastAsia="zh-CN"/>
              </w:rPr>
              <w:t>/</w:t>
            </w:r>
          </w:p>
        </w:tc>
      </w:tr>
    </w:tbl>
    <w:p>
      <w:pPr>
        <w:spacing w:line="360" w:lineRule="auto"/>
        <w:rPr>
          <w:rFonts w:hint="default" w:ascii="Times New Roman" w:hAnsi="Times New Roman" w:cs="Times New Roman"/>
          <w:color w:val="0000FF"/>
          <w:sz w:val="24"/>
        </w:rPr>
        <w:sectPr>
          <w:pgSz w:w="16838" w:h="11906" w:orient="landscape"/>
          <w:pgMar w:top="1797" w:right="1440" w:bottom="1797" w:left="1440" w:header="851" w:footer="992" w:gutter="0"/>
          <w:pgBorders w:offsetFrom="page">
            <w:top w:val="none" w:sz="0" w:space="0"/>
            <w:left w:val="none" w:sz="0" w:space="0"/>
            <w:bottom w:val="none" w:sz="0" w:space="0"/>
            <w:right w:val="none" w:sz="0" w:space="0"/>
          </w:pgBorders>
          <w:pgNumType w:fmt="numberInDash"/>
          <w:cols w:space="720" w:num="1"/>
          <w:rtlGutter w:val="0"/>
          <w:docGrid w:type="lines" w:linePitch="312" w:charSpace="0"/>
        </w:sectPr>
      </w:pPr>
    </w:p>
    <w:p>
      <w:pPr>
        <w:pStyle w:val="4"/>
        <w:pageBreakBefore w:val="0"/>
        <w:widowControl w:val="0"/>
        <w:tabs>
          <w:tab w:val="clear" w:pos="432"/>
        </w:tabs>
        <w:kinsoku/>
        <w:overflowPunct/>
        <w:topLinePunct w:val="0"/>
        <w:autoSpaceDE/>
        <w:autoSpaceDN/>
        <w:bidi w:val="0"/>
        <w:adjustRightInd/>
        <w:snapToGrid/>
        <w:spacing w:before="0" w:after="0" w:line="600" w:lineRule="exact"/>
        <w:ind w:left="0" w:firstLine="0"/>
        <w:rPr>
          <w:rFonts w:hint="eastAsia" w:ascii="黑体" w:hAnsi="黑体" w:eastAsia="黑体" w:cs="黑体"/>
          <w:b w:val="0"/>
          <w:bCs w:val="0"/>
          <w:color w:val="auto"/>
          <w:sz w:val="32"/>
          <w:szCs w:val="32"/>
        </w:rPr>
      </w:pPr>
      <w:bookmarkStart w:id="223" w:name="_Toc73092136"/>
      <w:bookmarkStart w:id="224" w:name="_Toc24254"/>
      <w:bookmarkStart w:id="225" w:name="_Toc6649"/>
      <w:r>
        <w:rPr>
          <w:rFonts w:hint="eastAsia" w:ascii="黑体" w:hAnsi="黑体" w:eastAsia="黑体" w:cs="黑体"/>
          <w:b w:val="0"/>
          <w:bCs w:val="0"/>
          <w:color w:val="auto"/>
          <w:sz w:val="32"/>
          <w:szCs w:val="32"/>
        </w:rPr>
        <w:t>第</w:t>
      </w:r>
      <w:r>
        <w:rPr>
          <w:rFonts w:hint="eastAsia" w:ascii="黑体" w:hAnsi="黑体" w:eastAsia="黑体" w:cs="黑体"/>
          <w:b w:val="0"/>
          <w:bCs w:val="0"/>
          <w:color w:val="auto"/>
          <w:sz w:val="32"/>
          <w:szCs w:val="32"/>
          <w:lang w:eastAsia="zh-CN"/>
        </w:rPr>
        <w:t>六</w:t>
      </w:r>
      <w:r>
        <w:rPr>
          <w:rFonts w:hint="eastAsia" w:ascii="黑体" w:hAnsi="黑体" w:eastAsia="黑体" w:cs="黑体"/>
          <w:b w:val="0"/>
          <w:bCs w:val="0"/>
          <w:color w:val="auto"/>
          <w:sz w:val="32"/>
          <w:szCs w:val="32"/>
        </w:rPr>
        <w:t>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实施步骤</w:t>
      </w:r>
      <w:bookmarkEnd w:id="223"/>
      <w:bookmarkEnd w:id="224"/>
      <w:bookmarkEnd w:id="225"/>
    </w:p>
    <w:p>
      <w:pPr>
        <w:rPr>
          <w:rFonts w:hint="eastAsia"/>
        </w:rPr>
      </w:pPr>
    </w:p>
    <w:p>
      <w:pPr>
        <w:pageBreakBefore w:val="0"/>
        <w:widowControl w:val="0"/>
        <w:kinsoku/>
        <w:overflowPunct/>
        <w:topLinePunct w:val="0"/>
        <w:autoSpaceDE/>
        <w:autoSpaceDN/>
        <w:bidi w:val="0"/>
        <w:adjustRightInd/>
        <w:snapToGrid/>
        <w:spacing w:line="600" w:lineRule="exact"/>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长沙市生态文明建设示范街道</w:t>
      </w:r>
      <w:r>
        <w:rPr>
          <w:rFonts w:hint="eastAsia" w:ascii="仿宋_GB2312" w:hAnsi="仿宋_GB2312" w:eastAsia="仿宋_GB2312" w:cs="仿宋_GB2312"/>
          <w:color w:val="auto"/>
          <w:sz w:val="32"/>
          <w:szCs w:val="32"/>
        </w:rPr>
        <w:t>创建工作要求，按照统筹兼顾、突出重点、有序推进的原则，创建工作分宣传发动、创建落实、考核验收、总结提高四个阶段。</w:t>
      </w:r>
    </w:p>
    <w:p>
      <w:pPr>
        <w:pStyle w:val="5"/>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rPr>
          <w:rFonts w:hint="eastAsia" w:ascii="楷体_GB2312" w:hAnsi="楷体_GB2312" w:eastAsia="楷体_GB2312" w:cs="楷体_GB2312"/>
          <w:b/>
          <w:bCs/>
          <w:color w:val="auto"/>
          <w:sz w:val="32"/>
          <w:szCs w:val="32"/>
          <w:lang w:val="en-US" w:eastAsia="zh-CN"/>
        </w:rPr>
      </w:pPr>
      <w:bookmarkStart w:id="226" w:name="_Toc2270"/>
      <w:bookmarkStart w:id="227" w:name="_Toc73092137"/>
      <w:bookmarkStart w:id="228" w:name="_Toc2375"/>
      <w:r>
        <w:rPr>
          <w:rFonts w:hint="eastAsia" w:ascii="楷体_GB2312" w:hAnsi="楷体_GB2312" w:eastAsia="楷体_GB2312" w:cs="楷体_GB2312"/>
          <w:b/>
          <w:bCs/>
          <w:color w:val="auto"/>
          <w:sz w:val="32"/>
          <w:szCs w:val="32"/>
          <w:lang w:val="en-US" w:eastAsia="zh-CN"/>
        </w:rPr>
        <w:t>（一）宣传发动阶段</w:t>
      </w:r>
      <w:bookmarkEnd w:id="226"/>
      <w:bookmarkEnd w:id="227"/>
      <w:bookmarkEnd w:id="228"/>
    </w:p>
    <w:p>
      <w:pPr>
        <w:pageBreakBefore w:val="0"/>
        <w:widowControl w:val="0"/>
        <w:kinsoku/>
        <w:overflowPunct/>
        <w:topLinePunct w:val="0"/>
        <w:autoSpaceDE/>
        <w:autoSpaceDN/>
        <w:bidi w:val="0"/>
        <w:adjustRightInd/>
        <w:snapToGrid/>
        <w:spacing w:line="600" w:lineRule="exact"/>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月，成立</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创建工作领导小组，确定创建工作负责人、联络员各1名，落实具体工作，协调解决</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设有关问题，负责每月一次向</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rPr>
        <w:t>领导小组报告创建进度和创建动态信息。</w:t>
      </w:r>
    </w:p>
    <w:p>
      <w:pPr>
        <w:pageBreakBefore w:val="0"/>
        <w:widowControl w:val="0"/>
        <w:kinsoku/>
        <w:overflowPunct/>
        <w:topLinePunct w:val="0"/>
        <w:autoSpaceDE/>
        <w:autoSpaceDN/>
        <w:bidi w:val="0"/>
        <w:adjustRightInd/>
        <w:snapToGrid/>
        <w:spacing w:line="600" w:lineRule="exact"/>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制定创建宣传工作方案，根据目标任务制定切实可行的创建工作计划（方案），进一步明确创建任务和工作职责。</w:t>
      </w:r>
    </w:p>
    <w:p>
      <w:pPr>
        <w:pageBreakBefore w:val="0"/>
        <w:widowControl w:val="0"/>
        <w:kinsoku/>
        <w:overflowPunct/>
        <w:topLinePunct w:val="0"/>
        <w:autoSpaceDE/>
        <w:autoSpaceDN/>
        <w:bidi w:val="0"/>
        <w:adjustRightInd/>
        <w:snapToGrid/>
        <w:spacing w:line="600" w:lineRule="exact"/>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召开</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创建动员大会，全面部署创建工作，分解落实创建目标任务。</w:t>
      </w:r>
    </w:p>
    <w:p>
      <w:pPr>
        <w:pStyle w:val="5"/>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rPr>
          <w:rFonts w:hint="eastAsia" w:ascii="楷体_GB2312" w:hAnsi="楷体_GB2312" w:eastAsia="楷体_GB2312" w:cs="楷体_GB2312"/>
          <w:b/>
          <w:bCs/>
          <w:color w:val="auto"/>
          <w:sz w:val="32"/>
          <w:szCs w:val="32"/>
          <w:lang w:val="en-US" w:eastAsia="zh-CN"/>
        </w:rPr>
      </w:pPr>
      <w:bookmarkStart w:id="229" w:name="_Toc73092138"/>
      <w:bookmarkStart w:id="230" w:name="_Toc28084"/>
      <w:bookmarkStart w:id="231" w:name="_Toc21070"/>
      <w:bookmarkStart w:id="232" w:name="_Toc500168780"/>
      <w:bookmarkStart w:id="233" w:name="_Toc34508604"/>
      <w:bookmarkStart w:id="234" w:name="_Toc2776729"/>
      <w:bookmarkStart w:id="235" w:name="_Toc491852204"/>
      <w:r>
        <w:rPr>
          <w:rFonts w:hint="eastAsia" w:ascii="楷体_GB2312" w:hAnsi="楷体_GB2312" w:eastAsia="楷体_GB2312" w:cs="楷体_GB2312"/>
          <w:b/>
          <w:bCs/>
          <w:color w:val="auto"/>
          <w:sz w:val="32"/>
          <w:szCs w:val="32"/>
          <w:lang w:val="en-US" w:eastAsia="zh-CN"/>
        </w:rPr>
        <w:t>（二）创建落实阶段</w:t>
      </w:r>
      <w:bookmarkEnd w:id="229"/>
      <w:bookmarkEnd w:id="230"/>
      <w:bookmarkEnd w:id="231"/>
    </w:p>
    <w:bookmarkEnd w:id="232"/>
    <w:bookmarkEnd w:id="233"/>
    <w:bookmarkEnd w:id="234"/>
    <w:bookmarkEnd w:id="235"/>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全面开展创建工作任务。</w:t>
      </w:r>
      <w:r>
        <w:rPr>
          <w:rFonts w:hint="eastAsia" w:ascii="仿宋_GB2312" w:hAnsi="仿宋_GB2312" w:eastAsia="仿宋_GB2312" w:cs="仿宋_GB2312"/>
          <w:color w:val="auto"/>
          <w:sz w:val="32"/>
          <w:szCs w:val="32"/>
        </w:rPr>
        <w:t>由创建工作领导小组牵头，加快</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项目建设进度，加强对绿色企业、绿色学校、绿色家庭等创建工作的指导和督促，并组织相关部门按期完成各项工作的验收工作；各创建单位要认真对照各自的创建任务和目标要求，进一步明确工作职责，精心策划，制定或细化方案，认真组织开展创建工作，确保按计划完成各项创建工作任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加强监督落实。</w:t>
      </w:r>
      <w:r>
        <w:rPr>
          <w:rFonts w:hint="eastAsia" w:ascii="仿宋_GB2312" w:hAnsi="仿宋_GB2312" w:eastAsia="仿宋_GB2312" w:cs="仿宋_GB2312"/>
          <w:color w:val="auto"/>
          <w:sz w:val="32"/>
          <w:szCs w:val="32"/>
        </w:rPr>
        <w:t>切实加强创建工作的指导和服务，定期或不定期组织人员对创建工作进行督查，促进问题的解决和任务的完成。</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注重制度保障。</w:t>
      </w:r>
      <w:r>
        <w:rPr>
          <w:rFonts w:hint="eastAsia" w:ascii="仿宋_GB2312" w:hAnsi="仿宋_GB2312" w:eastAsia="仿宋_GB2312" w:cs="仿宋_GB2312"/>
          <w:color w:val="auto"/>
          <w:sz w:val="32"/>
          <w:szCs w:val="32"/>
        </w:rPr>
        <w:t>建立创建工作领导小组例会制度，每月一次定期听取各创建责任单位的工作汇报，交流创建工作的成功经验，梳理分析创建工作的难点问题，研究部署下一步创建工作，建立完善学习交流制度，通过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走出去、请进来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等途径，加强与先进</w:t>
      </w:r>
      <w:r>
        <w:rPr>
          <w:rFonts w:hint="eastAsia" w:ascii="仿宋_GB2312" w:hAnsi="仿宋_GB2312" w:eastAsia="仿宋_GB2312" w:cs="仿宋_GB2312"/>
          <w:color w:val="auto"/>
          <w:sz w:val="32"/>
          <w:szCs w:val="32"/>
          <w:lang w:val="en-US" w:eastAsia="zh-CN"/>
        </w:rPr>
        <w:t>镇</w:t>
      </w:r>
      <w:r>
        <w:rPr>
          <w:rFonts w:hint="eastAsia" w:ascii="仿宋_GB2312" w:hAnsi="仿宋_GB2312" w:eastAsia="仿宋_GB2312" w:cs="仿宋_GB2312"/>
          <w:color w:val="auto"/>
          <w:sz w:val="32"/>
          <w:szCs w:val="32"/>
        </w:rPr>
        <w:t>的交流沟通，汲取成功的创建经验，不断健全完善考核制度，将</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创建工作列入年度目标考核内容。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完成资料收集汇编。</w:t>
      </w:r>
      <w:r>
        <w:rPr>
          <w:rFonts w:hint="eastAsia" w:ascii="仿宋_GB2312" w:hAnsi="仿宋_GB2312" w:eastAsia="仿宋_GB2312" w:cs="仿宋_GB2312"/>
          <w:color w:val="auto"/>
          <w:sz w:val="32"/>
          <w:szCs w:val="32"/>
        </w:rPr>
        <w:t>创建工作领导小组要按照</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创建指标体系要求，制定资料收集清单，组织召开资料收集整理专题会议，明确工作时限，组织各创建成员做好各项考核指标的材料收集及汇编工作。</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全力营造创建氛围。</w:t>
      </w:r>
      <w:r>
        <w:rPr>
          <w:rFonts w:hint="eastAsia" w:ascii="仿宋_GB2312" w:hAnsi="仿宋_GB2312" w:eastAsia="仿宋_GB2312" w:cs="仿宋_GB2312"/>
          <w:color w:val="auto"/>
          <w:sz w:val="32"/>
          <w:szCs w:val="32"/>
        </w:rPr>
        <w:t>积极落实创建宣传工作方案，广泛宣传</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创建工作，精心组织各项宣传活动，提高全民生态环保意识，营造人人参与生态文明创建的浓厚氛围。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精心组织申报工作。</w:t>
      </w:r>
      <w:r>
        <w:rPr>
          <w:rFonts w:hint="eastAsia" w:ascii="仿宋_GB2312" w:hAnsi="仿宋_GB2312" w:eastAsia="仿宋_GB2312" w:cs="仿宋_GB2312"/>
          <w:color w:val="auto"/>
          <w:sz w:val="32"/>
          <w:szCs w:val="32"/>
        </w:rPr>
        <w:t>各创建成员按照各自职责，对照创建目标，做好相关验收申报的各项准备工作，做好迎检前的自查、整改，确保各项指标达到考核标准。创建领导小组在综合各创建单位材料的基础上，做好</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申报材料的汇总、包装工作，组织有关专家对</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的创建工作进行查漏补缺、完善提高，确保现场考核、材料验检等符合考核验收要求。</w:t>
      </w:r>
    </w:p>
    <w:p>
      <w:pPr>
        <w:pStyle w:val="5"/>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rPr>
          <w:rFonts w:hint="eastAsia" w:ascii="楷体_GB2312" w:hAnsi="楷体_GB2312" w:eastAsia="楷体_GB2312" w:cs="楷体_GB2312"/>
          <w:b/>
          <w:bCs/>
          <w:color w:val="auto"/>
          <w:sz w:val="32"/>
          <w:szCs w:val="32"/>
          <w:lang w:val="en-US" w:eastAsia="zh-CN"/>
        </w:rPr>
      </w:pPr>
      <w:bookmarkStart w:id="236" w:name="_Toc12479"/>
      <w:bookmarkStart w:id="237" w:name="_Toc73092139"/>
      <w:bookmarkStart w:id="238" w:name="_Toc2523"/>
      <w:bookmarkStart w:id="239" w:name="_Toc491852205"/>
      <w:bookmarkStart w:id="240" w:name="_Toc2776730"/>
      <w:bookmarkStart w:id="241" w:name="_Toc500168781"/>
      <w:bookmarkStart w:id="242" w:name="_Toc34508605"/>
      <w:r>
        <w:rPr>
          <w:rFonts w:hint="eastAsia" w:ascii="楷体_GB2312" w:hAnsi="楷体_GB2312" w:eastAsia="楷体_GB2312" w:cs="楷体_GB2312"/>
          <w:b/>
          <w:bCs/>
          <w:color w:val="auto"/>
          <w:sz w:val="32"/>
          <w:szCs w:val="32"/>
          <w:lang w:val="en-US" w:eastAsia="zh-CN"/>
        </w:rPr>
        <w:t>（三）考核验收阶段</w:t>
      </w:r>
      <w:bookmarkEnd w:id="236"/>
      <w:bookmarkEnd w:id="237"/>
      <w:bookmarkEnd w:id="238"/>
    </w:p>
    <w:bookmarkEnd w:id="239"/>
    <w:bookmarkEnd w:id="240"/>
    <w:bookmarkEnd w:id="241"/>
    <w:bookmarkEnd w:id="242"/>
    <w:p>
      <w:pPr>
        <w:pageBreakBefore w:val="0"/>
        <w:widowControl w:val="0"/>
        <w:kinsoku/>
        <w:overflowPunct/>
        <w:topLinePunct w:val="0"/>
        <w:autoSpaceDE/>
        <w:autoSpaceDN/>
        <w:bidi w:val="0"/>
        <w:adjustRightInd/>
        <w:snapToGrid/>
        <w:spacing w:line="600" w:lineRule="exact"/>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月，对照</w:t>
      </w:r>
      <w:r>
        <w:rPr>
          <w:rFonts w:hint="eastAsia" w:ascii="仿宋_GB2312" w:hAnsi="仿宋_GB2312" w:eastAsia="仿宋_GB2312" w:cs="仿宋_GB2312"/>
          <w:color w:val="auto"/>
          <w:sz w:val="32"/>
          <w:szCs w:val="32"/>
          <w:lang w:eastAsia="zh-CN"/>
        </w:rPr>
        <w:t>长沙市生态文明建设示范街道</w:t>
      </w:r>
      <w:r>
        <w:rPr>
          <w:rFonts w:hint="eastAsia" w:ascii="仿宋_GB2312" w:hAnsi="仿宋_GB2312" w:eastAsia="仿宋_GB2312" w:cs="仿宋_GB2312"/>
          <w:color w:val="auto"/>
          <w:sz w:val="32"/>
          <w:szCs w:val="32"/>
        </w:rPr>
        <w:t>考核验收指标和所分解下达的目标任务，组织自查，及时整改存在的不足，做好创建验收各项准备工作。20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月，要积极迎接上级对</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创建工作进行的调研、考核、验收。</w:t>
      </w:r>
    </w:p>
    <w:p>
      <w:pPr>
        <w:pStyle w:val="5"/>
        <w:pageBreakBefore w:val="0"/>
        <w:widowControl w:val="0"/>
        <w:tabs>
          <w:tab w:val="clear" w:pos="576"/>
        </w:tabs>
        <w:kinsoku/>
        <w:overflowPunct/>
        <w:topLinePunct w:val="0"/>
        <w:autoSpaceDE/>
        <w:autoSpaceDN/>
        <w:bidi w:val="0"/>
        <w:adjustRightInd/>
        <w:snapToGrid/>
        <w:spacing w:before="0" w:after="0" w:line="600" w:lineRule="exact"/>
        <w:ind w:left="0" w:firstLine="643" w:firstLineChars="200"/>
        <w:rPr>
          <w:rFonts w:hint="eastAsia" w:ascii="楷体_GB2312" w:hAnsi="楷体_GB2312" w:eastAsia="楷体_GB2312" w:cs="楷体_GB2312"/>
          <w:b/>
          <w:bCs/>
          <w:color w:val="auto"/>
          <w:sz w:val="32"/>
          <w:szCs w:val="32"/>
          <w:lang w:val="en-US" w:eastAsia="zh-CN"/>
        </w:rPr>
      </w:pPr>
      <w:bookmarkStart w:id="243" w:name="_Toc25851"/>
      <w:bookmarkStart w:id="244" w:name="_Toc73092140"/>
      <w:bookmarkStart w:id="245" w:name="_Toc11815"/>
      <w:r>
        <w:rPr>
          <w:rFonts w:hint="eastAsia" w:ascii="楷体_GB2312" w:hAnsi="楷体_GB2312" w:eastAsia="楷体_GB2312" w:cs="楷体_GB2312"/>
          <w:b/>
          <w:bCs/>
          <w:color w:val="auto"/>
          <w:sz w:val="32"/>
          <w:szCs w:val="32"/>
          <w:lang w:val="en-US" w:eastAsia="zh-CN"/>
        </w:rPr>
        <w:t>（四）总体提升阶段</w:t>
      </w:r>
      <w:bookmarkEnd w:id="243"/>
      <w:bookmarkEnd w:id="244"/>
      <w:bookmarkEnd w:id="245"/>
    </w:p>
    <w:p>
      <w:pPr>
        <w:pageBreakBefore w:val="0"/>
        <w:widowControl w:val="0"/>
        <w:kinsoku/>
        <w:overflowPunct/>
        <w:topLinePunct w:val="0"/>
        <w:autoSpaceDE/>
        <w:autoSpaceDN/>
        <w:bidi w:val="0"/>
        <w:adjustRightInd/>
        <w:snapToGrid/>
        <w:spacing w:line="600" w:lineRule="exact"/>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获得长沙市</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授牌和创建资金拨付后，持续深化生态文明建设，对建设指标和重点任务实施情况实行动态监督管理，确保指标目标稳中有升，不断巩固提升</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生态文明建设成果。</w:t>
      </w:r>
    </w:p>
    <w:p>
      <w:pPr>
        <w:pStyle w:val="4"/>
        <w:pageBreakBefore w:val="0"/>
        <w:widowControl w:val="0"/>
        <w:kinsoku/>
        <w:overflowPunct/>
        <w:topLinePunct w:val="0"/>
        <w:autoSpaceDE/>
        <w:autoSpaceDN/>
        <w:bidi w:val="0"/>
        <w:snapToGrid/>
        <w:spacing w:before="0" w:after="0" w:line="600" w:lineRule="exact"/>
        <w:ind w:left="0"/>
        <w:rPr>
          <w:rFonts w:hint="eastAsia" w:ascii="黑体" w:hAnsi="黑体" w:eastAsia="黑体" w:cs="黑体"/>
          <w:b w:val="0"/>
          <w:bCs w:val="0"/>
          <w:color w:val="auto"/>
          <w:sz w:val="32"/>
          <w:szCs w:val="32"/>
        </w:rPr>
      </w:pPr>
      <w:r>
        <w:rPr>
          <w:rFonts w:hint="default" w:ascii="Times New Roman" w:hAnsi="Times New Roman" w:cs="Times New Roman"/>
          <w:color w:val="0000FF"/>
          <w:sz w:val="28"/>
          <w:szCs w:val="28"/>
        </w:rPr>
        <w:br w:type="page"/>
      </w:r>
      <w:bookmarkStart w:id="246" w:name="_Toc10105"/>
      <w:bookmarkStart w:id="247" w:name="_Toc37234156"/>
      <w:bookmarkStart w:id="248" w:name="_Toc20677"/>
      <w:bookmarkStart w:id="249" w:name="_Toc24884"/>
      <w:bookmarkStart w:id="250" w:name="_Toc22793"/>
      <w:bookmarkStart w:id="251" w:name="_Toc19213"/>
      <w:bookmarkStart w:id="252" w:name="_Toc5798"/>
      <w:r>
        <w:rPr>
          <w:rFonts w:hint="eastAsia" w:ascii="黑体" w:hAnsi="黑体" w:eastAsia="黑体" w:cs="黑体"/>
          <w:b w:val="0"/>
          <w:bCs w:val="0"/>
          <w:color w:val="auto"/>
          <w:sz w:val="32"/>
          <w:szCs w:val="32"/>
        </w:rPr>
        <w:t>第</w:t>
      </w:r>
      <w:r>
        <w:rPr>
          <w:rFonts w:hint="eastAsia" w:ascii="黑体" w:hAnsi="黑体" w:eastAsia="黑体" w:cs="黑体"/>
          <w:b w:val="0"/>
          <w:bCs w:val="0"/>
          <w:color w:val="auto"/>
          <w:sz w:val="32"/>
          <w:szCs w:val="32"/>
          <w:lang w:eastAsia="zh-CN"/>
        </w:rPr>
        <w:t>七</w:t>
      </w:r>
      <w:r>
        <w:rPr>
          <w:rFonts w:hint="eastAsia" w:ascii="黑体" w:hAnsi="黑体" w:eastAsia="黑体" w:cs="黑体"/>
          <w:b w:val="0"/>
          <w:bCs w:val="0"/>
          <w:color w:val="auto"/>
          <w:sz w:val="32"/>
          <w:szCs w:val="32"/>
        </w:rPr>
        <w:t>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效益分析</w:t>
      </w:r>
      <w:bookmarkEnd w:id="246"/>
      <w:bookmarkEnd w:id="247"/>
      <w:bookmarkEnd w:id="248"/>
      <w:bookmarkEnd w:id="249"/>
    </w:p>
    <w:p>
      <w:pPr>
        <w:keepNext w:val="0"/>
        <w:keepLines w:val="0"/>
        <w:pageBreakBefore w:val="0"/>
        <w:widowControl w:val="0"/>
        <w:kinsoku/>
        <w:wordWrap/>
        <w:overflowPunct/>
        <w:topLinePunct w:val="0"/>
        <w:autoSpaceDE/>
        <w:autoSpaceDN/>
        <w:bidi w:val="0"/>
        <w:adjustRightInd/>
        <w:snapToGrid/>
        <w:spacing w:line="400" w:lineRule="exact"/>
        <w:ind w:left="0"/>
        <w:textAlignment w:val="auto"/>
        <w:outlineLvl w:val="9"/>
        <w:rPr>
          <w:rFonts w:hint="default"/>
        </w:rPr>
      </w:pPr>
    </w:p>
    <w:p>
      <w:pPr>
        <w:pStyle w:val="5"/>
        <w:pageBreakBefore w:val="0"/>
        <w:widowControl w:val="0"/>
        <w:tabs>
          <w:tab w:val="clear" w:pos="576"/>
        </w:tabs>
        <w:kinsoku/>
        <w:overflowPunct/>
        <w:topLinePunct w:val="0"/>
        <w:autoSpaceDE/>
        <w:autoSpaceDN/>
        <w:bidi w:val="0"/>
        <w:snapToGrid/>
        <w:spacing w:before="0" w:after="0" w:line="600" w:lineRule="exact"/>
        <w:ind w:left="0" w:firstLine="643" w:firstLineChars="200"/>
        <w:jc w:val="both"/>
        <w:rPr>
          <w:rFonts w:hint="eastAsia" w:ascii="楷体_GB2312" w:hAnsi="楷体_GB2312" w:eastAsia="楷体_GB2312" w:cs="楷体_GB2312"/>
          <w:color w:val="auto"/>
          <w:sz w:val="32"/>
          <w:szCs w:val="32"/>
        </w:rPr>
      </w:pPr>
      <w:bookmarkStart w:id="253" w:name="_Toc3356"/>
      <w:bookmarkStart w:id="254" w:name="_Toc22237"/>
      <w:bookmarkStart w:id="255" w:name="_Toc37234157"/>
      <w:bookmarkStart w:id="256" w:name="_Toc19184"/>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color w:val="auto"/>
          <w:sz w:val="32"/>
          <w:szCs w:val="32"/>
        </w:rPr>
        <w:t>经济效益</w:t>
      </w:r>
      <w:bookmarkEnd w:id="253"/>
      <w:bookmarkEnd w:id="254"/>
      <w:bookmarkEnd w:id="255"/>
      <w:bookmarkEnd w:id="256"/>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建设和</w:t>
      </w:r>
      <w:r>
        <w:rPr>
          <w:rFonts w:hint="eastAsia" w:ascii="仿宋_GB2312" w:hAnsi="仿宋_GB2312" w:eastAsia="仿宋_GB2312" w:cs="仿宋_GB2312"/>
          <w:color w:val="auto"/>
          <w:sz w:val="32"/>
          <w:szCs w:val="32"/>
          <w:lang w:val="en-US" w:eastAsia="zh-CN"/>
        </w:rPr>
        <w:t>农村</w:t>
      </w:r>
      <w:r>
        <w:rPr>
          <w:rFonts w:hint="eastAsia" w:ascii="仿宋_GB2312" w:hAnsi="仿宋_GB2312" w:eastAsia="仿宋_GB2312" w:cs="仿宋_GB2312"/>
          <w:color w:val="auto"/>
          <w:sz w:val="32"/>
          <w:szCs w:val="32"/>
        </w:rPr>
        <w:t>经济的发展是相辅相成的，</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的建设将极大地促进</w:t>
      </w:r>
      <w:r>
        <w:rPr>
          <w:rFonts w:hint="eastAsia" w:ascii="仿宋_GB2312" w:hAnsi="仿宋_GB2312" w:eastAsia="仿宋_GB2312" w:cs="仿宋_GB2312"/>
          <w:color w:val="auto"/>
          <w:sz w:val="32"/>
          <w:szCs w:val="32"/>
          <w:lang w:val="en-US" w:eastAsia="zh-CN"/>
        </w:rPr>
        <w:t>农村</w:t>
      </w:r>
      <w:r>
        <w:rPr>
          <w:rFonts w:hint="eastAsia" w:ascii="仿宋_GB2312" w:hAnsi="仿宋_GB2312" w:eastAsia="仿宋_GB2312" w:cs="仿宋_GB2312"/>
          <w:color w:val="auto"/>
          <w:sz w:val="32"/>
          <w:szCs w:val="32"/>
        </w:rPr>
        <w:t>经济的快速发展，而</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rPr>
        <w:t>经济总量持续稳定的增长为更好地开展</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的建设奠定了基础。</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建设的经济效益主要体现在以下几个方面：</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1.保证经济总量稳定增长</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bCs/>
          <w:color w:val="auto"/>
          <w:sz w:val="32"/>
          <w:szCs w:val="32"/>
        </w:rPr>
        <w:t>从经济增长的总量来看，如果</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bCs/>
          <w:color w:val="auto"/>
          <w:sz w:val="32"/>
          <w:szCs w:val="32"/>
        </w:rPr>
        <w:t>建设的目标得以实现。</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经济总量将保持稳定增速，农村居民的生活水平也将得到迅速的提高，人民生活水平将达到一个全新的高度。</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2.促进经济增长质量的改善，实现经济可持续发展</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生态经济发展看，生态产业的转型，立足于</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经济长期稳定的快速增长，通过生态化建设与转型，从根本上调整</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的产业结构和发展模式，改变目前以粗放型的工业增长为依托的经济发展道路。</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3.加强吸引投资的力度</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随着</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建设的进行，</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的自然环境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人文环境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投资环境得到进一步改善，为进一步吸引投资创造了良好的条件。</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建设所实现的生态环境质量改善和产业生态化目标，将为</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未来吸引绿色产业奠定基础，从根本上保证了</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经济发展的可持续性。</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4.减少生态环境破坏的经济、损失</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随着</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生态环境的改善和环境质量的进一步提高，将有效地减少生态破坏和环境污染所带来的对人体健康和社会活动的经济损失。</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建设，将吸取其他地区发展中的经验和教训，在发展经济的同时，注重生态</w:t>
      </w:r>
      <w:r>
        <w:rPr>
          <w:rFonts w:hint="eastAsia" w:ascii="仿宋_GB2312" w:hAnsi="仿宋_GB2312" w:eastAsia="仿宋_GB2312" w:cs="仿宋_GB2312"/>
          <w:color w:val="auto"/>
          <w:sz w:val="32"/>
          <w:szCs w:val="32"/>
          <w:lang w:eastAsia="zh-CN"/>
        </w:rPr>
        <w:t>环</w:t>
      </w:r>
      <w:r>
        <w:rPr>
          <w:rFonts w:hint="eastAsia" w:ascii="仿宋_GB2312" w:hAnsi="仿宋_GB2312" w:eastAsia="仿宋_GB2312" w:cs="仿宋_GB2312"/>
          <w:color w:val="auto"/>
          <w:sz w:val="32"/>
          <w:szCs w:val="32"/>
        </w:rPr>
        <w:t>境的保护，能够有效地避免由于生态环境污染和破坏带来的经济损失，确保经济发展的质量和国民财富的增加。</w:t>
      </w:r>
    </w:p>
    <w:p>
      <w:pPr>
        <w:pStyle w:val="5"/>
        <w:pageBreakBefore w:val="0"/>
        <w:widowControl w:val="0"/>
        <w:tabs>
          <w:tab w:val="clear" w:pos="576"/>
        </w:tabs>
        <w:kinsoku/>
        <w:overflowPunct/>
        <w:topLinePunct w:val="0"/>
        <w:autoSpaceDE/>
        <w:autoSpaceDN/>
        <w:bidi w:val="0"/>
        <w:snapToGrid/>
        <w:spacing w:before="0" w:after="0" w:line="600" w:lineRule="exact"/>
        <w:ind w:left="0" w:firstLine="643" w:firstLineChars="200"/>
        <w:jc w:val="both"/>
        <w:rPr>
          <w:rFonts w:hint="eastAsia" w:ascii="楷体_GB2312" w:hAnsi="楷体_GB2312" w:eastAsia="楷体_GB2312" w:cs="楷体_GB2312"/>
          <w:color w:val="auto"/>
          <w:sz w:val="32"/>
          <w:szCs w:val="32"/>
          <w:lang w:eastAsia="zh-CN"/>
        </w:rPr>
      </w:pPr>
      <w:bookmarkStart w:id="257" w:name="_Toc37234158"/>
      <w:bookmarkStart w:id="258" w:name="_Toc15688"/>
      <w:bookmarkStart w:id="259" w:name="_Toc19831"/>
      <w:bookmarkStart w:id="260" w:name="_Toc7413"/>
      <w:r>
        <w:rPr>
          <w:rFonts w:hint="eastAsia" w:ascii="楷体_GB2312" w:hAnsi="楷体_GB2312" w:eastAsia="楷体_GB2312" w:cs="楷体_GB2312"/>
          <w:color w:val="auto"/>
          <w:sz w:val="32"/>
          <w:szCs w:val="32"/>
          <w:lang w:eastAsia="zh-CN"/>
        </w:rPr>
        <w:t>（二）环境效益</w:t>
      </w:r>
      <w:bookmarkEnd w:id="257"/>
      <w:bookmarkEnd w:id="258"/>
      <w:bookmarkEnd w:id="259"/>
      <w:bookmarkEnd w:id="260"/>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1.生态环境进一步改善</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总体生态环境较好，通过</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的建设，将进一步改善</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的生态环境；空气环境质量、水环境质量、噪声环境质量进一步提高；主要污染物的排放强度降低。</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2.城乡污染得到控制</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通过城乡废物的资源化无害化处理、农村清洁能源的普及、工业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治理的落实、生活污水处理的建设、生活垃圾处理、优质饮用水源的保护等这些项目的实施必将极大地提高农村环境质量，美化人民群众的生活环境，改善居住条件，减轻自然环境的负荷。</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总之，通过</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建设，可使</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生态系统结构合理，功能稳定健全，抗御自然灾害能力大大提高，自然资源得到有效保护、合理开发、永续利用，最终使</w:t>
      </w:r>
      <w:r>
        <w:rPr>
          <w:rFonts w:hint="eastAsia" w:ascii="仿宋_GB2312" w:hAnsi="仿宋_GB2312" w:eastAsia="仿宋_GB2312" w:cs="仿宋_GB2312"/>
          <w:color w:val="auto"/>
          <w:sz w:val="32"/>
          <w:szCs w:val="32"/>
          <w:lang w:val="en-US" w:eastAsia="zh-CN"/>
        </w:rPr>
        <w:t>高塘岭街道</w:t>
      </w:r>
      <w:r>
        <w:rPr>
          <w:rFonts w:hint="eastAsia" w:ascii="仿宋_GB2312" w:hAnsi="仿宋_GB2312" w:eastAsia="仿宋_GB2312" w:cs="仿宋_GB2312"/>
          <w:color w:val="auto"/>
          <w:sz w:val="32"/>
          <w:szCs w:val="32"/>
        </w:rPr>
        <w:t>生态和谐、环境清洁、优美舒适。</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3.生态文明制度进一步健全</w:t>
      </w:r>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开展生态文明绩效考核体系构建实施、生态补偿机制建设、环境风险及突发性环境事件应急机制建设、政府环境信息公开与公众参与机制建设等工程，建立环境风险预测、预警、预报机制，推进绿色政府创建，健全企业资源使用及环境行为监督制度，提升政府环境信息公开化水平。</w:t>
      </w:r>
    </w:p>
    <w:p>
      <w:pPr>
        <w:pStyle w:val="5"/>
        <w:pageBreakBefore w:val="0"/>
        <w:widowControl w:val="0"/>
        <w:tabs>
          <w:tab w:val="clear" w:pos="576"/>
        </w:tabs>
        <w:kinsoku/>
        <w:overflowPunct/>
        <w:topLinePunct w:val="0"/>
        <w:autoSpaceDE/>
        <w:autoSpaceDN/>
        <w:bidi w:val="0"/>
        <w:snapToGrid/>
        <w:spacing w:before="0" w:after="0" w:line="600" w:lineRule="exact"/>
        <w:ind w:left="0" w:firstLine="643" w:firstLineChars="200"/>
        <w:jc w:val="both"/>
        <w:rPr>
          <w:rFonts w:hint="eastAsia" w:ascii="楷体_GB2312" w:hAnsi="楷体_GB2312" w:eastAsia="楷体_GB2312" w:cs="楷体_GB2312"/>
          <w:color w:val="auto"/>
          <w:sz w:val="32"/>
          <w:szCs w:val="32"/>
          <w:lang w:eastAsia="zh-CN"/>
        </w:rPr>
      </w:pPr>
      <w:bookmarkStart w:id="261" w:name="_Toc18036"/>
      <w:bookmarkStart w:id="262" w:name="_Toc37234159"/>
      <w:bookmarkStart w:id="263" w:name="_Toc11180"/>
      <w:bookmarkStart w:id="264" w:name="_Toc14828"/>
      <w:r>
        <w:rPr>
          <w:rFonts w:hint="eastAsia" w:ascii="楷体_GB2312" w:hAnsi="楷体_GB2312" w:eastAsia="楷体_GB2312" w:cs="楷体_GB2312"/>
          <w:color w:val="auto"/>
          <w:sz w:val="32"/>
          <w:szCs w:val="32"/>
          <w:lang w:eastAsia="zh-CN"/>
        </w:rPr>
        <w:t>（三）社会效益</w:t>
      </w:r>
      <w:bookmarkEnd w:id="261"/>
      <w:bookmarkEnd w:id="262"/>
      <w:bookmarkEnd w:id="263"/>
      <w:bookmarkEnd w:id="264"/>
    </w:p>
    <w:p>
      <w:pPr>
        <w:pageBreakBefore w:val="0"/>
        <w:widowControl w:val="0"/>
        <w:kinsoku/>
        <w:overflowPunct/>
        <w:topLinePunct w:val="0"/>
        <w:autoSpaceDE/>
        <w:autoSpaceDN/>
        <w:bidi w:val="0"/>
        <w:snapToGrid/>
        <w:spacing w:line="600" w:lineRule="exact"/>
        <w:ind w:left="0"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到</w:t>
      </w:r>
      <w:r>
        <w:rPr>
          <w:rFonts w:hint="eastAsia" w:ascii="仿宋_GB2312" w:hAnsi="仿宋_GB2312" w:eastAsia="仿宋_GB2312" w:cs="仿宋_GB2312"/>
          <w:color w:val="auto"/>
          <w:sz w:val="32"/>
          <w:szCs w:val="32"/>
          <w:lang w:val="en-US" w:eastAsia="zh-CN"/>
        </w:rPr>
        <w:t>2025</w:t>
      </w:r>
      <w:r>
        <w:rPr>
          <w:rFonts w:hint="eastAsia" w:ascii="仿宋_GB2312" w:hAnsi="仿宋_GB2312" w:eastAsia="仿宋_GB2312" w:cs="仿宋_GB2312"/>
          <w:color w:val="auto"/>
          <w:sz w:val="32"/>
          <w:szCs w:val="32"/>
        </w:rPr>
        <w:t>年居民传统生产、生活方式及价值观念向环境友好、资源高效、系统和谐、社会融洽的生态文化转型，诱导一种健康、文明的生产消费方式。公众对环境的满意率</w:t>
      </w:r>
      <w:r>
        <w:rPr>
          <w:rFonts w:hint="eastAsia" w:ascii="仿宋_GB2312" w:hAnsi="仿宋_GB2312" w:eastAsia="仿宋_GB2312" w:cs="仿宋_GB2312"/>
          <w:color w:val="auto"/>
          <w:sz w:val="32"/>
          <w:szCs w:val="32"/>
          <w:lang w:val="en-US" w:eastAsia="zh-CN"/>
        </w:rPr>
        <w:t>持续提高</w:t>
      </w:r>
      <w:r>
        <w:rPr>
          <w:rFonts w:hint="eastAsia" w:ascii="仿宋_GB2312" w:hAnsi="仿宋_GB2312" w:eastAsia="仿宋_GB2312" w:cs="仿宋_GB2312"/>
          <w:color w:val="auto"/>
          <w:sz w:val="32"/>
          <w:szCs w:val="32"/>
        </w:rPr>
        <w:t>。</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1.改善人居环境，促进居民生活质量的全面提高</w:t>
      </w:r>
    </w:p>
    <w:p>
      <w:pPr>
        <w:pStyle w:val="20"/>
        <w:pageBreakBefore w:val="0"/>
        <w:widowControl w:val="0"/>
        <w:kinsoku/>
        <w:overflowPunct/>
        <w:topLinePunct w:val="0"/>
        <w:autoSpaceDE/>
        <w:autoSpaceDN/>
        <w:bidi w:val="0"/>
        <w:snapToGrid/>
        <w:spacing w:line="600" w:lineRule="exact"/>
        <w:ind w:lef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将通过城镇与乡村在空间上的融合，实现城镇与乡村在功能上的互补，在节约能源、资源，维护生物多样性安全，减少交通事故和空气污染的前提下，为居民提供城镇交通、舒适的生活空间。</w:t>
      </w:r>
    </w:p>
    <w:p>
      <w:pPr>
        <w:pageBreakBefore w:val="0"/>
        <w:widowControl w:val="0"/>
        <w:kinsoku/>
        <w:overflowPunct/>
        <w:topLinePunct w:val="0"/>
        <w:autoSpaceDE/>
        <w:autoSpaceDN/>
        <w:bidi w:val="0"/>
        <w:adjustRightInd w:val="0"/>
        <w:snapToGrid/>
        <w:spacing w:line="600" w:lineRule="exact"/>
        <w:ind w:left="0" w:firstLine="643" w:firstLineChars="200"/>
        <w:jc w:val="both"/>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推动社会公正和谐，实现人与环境和谐发展</w:t>
      </w:r>
    </w:p>
    <w:p>
      <w:pPr>
        <w:pageBreakBefore w:val="0"/>
        <w:widowControl w:val="0"/>
        <w:kinsoku/>
        <w:overflowPunct/>
        <w:topLinePunct w:val="0"/>
        <w:autoSpaceDE/>
        <w:autoSpaceDN/>
        <w:bidi w:val="0"/>
        <w:adjustRightInd w:val="0"/>
        <w:snapToGrid/>
        <w:spacing w:line="600" w:lineRule="exact"/>
        <w:ind w:lef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过程中，随着社会经济的发展、科技的进步、人民生活的日益提高、文化教育水平的不断提高、城乡结构和城镇布局的日益合理，生活生产环境在逐渐优化，贫富差距逐步缩小，社会保障体系逐渐完善，人口素质不断提高，居民生活、就业、教育、医疗、卫生、保健、社会福利等许多方面都在公平享受</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建设成果，这样有利于公正和谐社会的建设，最终也有利于实现人与环境的互利互生和谐相处。</w:t>
      </w:r>
    </w:p>
    <w:p>
      <w:pPr>
        <w:pageBreakBefore w:val="0"/>
        <w:widowControl w:val="0"/>
        <w:kinsoku/>
        <w:overflowPunct/>
        <w:topLinePunct w:val="0"/>
        <w:autoSpaceDE/>
        <w:autoSpaceDN/>
        <w:bidi w:val="0"/>
        <w:adjustRightInd w:val="0"/>
        <w:snapToGrid/>
        <w:spacing w:line="600" w:lineRule="exact"/>
        <w:ind w:left="0" w:firstLine="640" w:firstLineChars="200"/>
        <w:jc w:val="both"/>
        <w:rPr>
          <w:rFonts w:hint="default" w:ascii="Times New Roman" w:hAnsi="Times New Roman" w:cs="Times New Roman"/>
          <w:color w:val="auto"/>
        </w:rPr>
      </w:pPr>
      <w:r>
        <w:rPr>
          <w:rFonts w:hint="eastAsia" w:ascii="仿宋_GB2312" w:hAnsi="仿宋_GB2312" w:eastAsia="仿宋_GB2312" w:cs="仿宋_GB2312"/>
          <w:b w:val="0"/>
          <w:bCs w:val="0"/>
          <w:color w:val="auto"/>
          <w:kern w:val="2"/>
          <w:sz w:val="32"/>
          <w:szCs w:val="32"/>
          <w:lang w:val="en-US" w:eastAsia="zh-CN" w:bidi="ar-SA"/>
        </w:rPr>
        <w:t>方案还通过生态文化、环境景观的建设，将使生态意识、绿色消费观念走进民众的生活，居民的环保意识、消费品位和生态文化素质不断提高，大众对生态环境保护参与积极，在创造出一种人与环境友好、邻里亲密、和睦相处的氛围的同时，逐步提高整个生态文化，促进和保障生态系统的健康、持续发展。</w:t>
      </w:r>
      <w:bookmarkEnd w:id="250"/>
      <w:bookmarkEnd w:id="251"/>
      <w:bookmarkEnd w:id="252"/>
    </w:p>
    <w:p>
      <w:pPr>
        <w:adjustRightInd w:val="0"/>
        <w:snapToGrid w:val="0"/>
        <w:spacing w:line="480" w:lineRule="exact"/>
        <w:rPr>
          <w:rFonts w:hint="default" w:ascii="Times New Roman" w:hAnsi="Times New Roman" w:cs="Times New Roman"/>
          <w:color w:val="0000FF"/>
          <w:sz w:val="24"/>
        </w:rPr>
        <w:sectPr>
          <w:pgSz w:w="11900" w:h="16840"/>
          <w:pgMar w:top="1440" w:right="1800" w:bottom="1440" w:left="1800" w:header="907" w:footer="992" w:gutter="0"/>
          <w:pgBorders w:offsetFrom="page">
            <w:top w:val="none" w:sz="0" w:space="0"/>
            <w:left w:val="none" w:sz="0" w:space="0"/>
            <w:bottom w:val="none" w:sz="0" w:space="0"/>
            <w:right w:val="none" w:sz="0" w:space="0"/>
          </w:pgBorders>
          <w:pgNumType w:fmt="numberInDash"/>
          <w:cols w:space="720" w:num="1"/>
          <w:rtlGutter w:val="0"/>
          <w:docGrid w:linePitch="312" w:charSpace="0"/>
        </w:sectPr>
      </w:pPr>
    </w:p>
    <w:p>
      <w:pPr>
        <w:pStyle w:val="4"/>
        <w:keepNext w:val="0"/>
        <w:keepLines w:val="0"/>
        <w:pageBreakBefore w:val="0"/>
        <w:widowControl w:val="0"/>
        <w:tabs>
          <w:tab w:val="clear" w:pos="432"/>
        </w:tabs>
        <w:kinsoku/>
        <w:overflowPunct/>
        <w:topLinePunct w:val="0"/>
        <w:autoSpaceDE/>
        <w:autoSpaceDN/>
        <w:bidi w:val="0"/>
        <w:adjustRightInd/>
        <w:snapToGrid/>
        <w:spacing w:before="0" w:after="0" w:line="580" w:lineRule="exact"/>
        <w:ind w:left="0" w:firstLine="0"/>
        <w:textAlignment w:val="auto"/>
        <w:rPr>
          <w:rFonts w:hint="eastAsia" w:ascii="黑体" w:hAnsi="黑体" w:eastAsia="黑体" w:cs="黑体"/>
          <w:b w:val="0"/>
          <w:bCs w:val="0"/>
          <w:color w:val="auto"/>
          <w:sz w:val="32"/>
          <w:szCs w:val="32"/>
        </w:rPr>
      </w:pPr>
      <w:bookmarkStart w:id="265" w:name="_Toc12868"/>
      <w:bookmarkStart w:id="266" w:name="_Toc26347"/>
      <w:bookmarkStart w:id="267" w:name="_Toc7874"/>
      <w:bookmarkStart w:id="268" w:name="_Toc21145"/>
      <w:bookmarkStart w:id="269" w:name="_Toc7647"/>
      <w:bookmarkStart w:id="270" w:name="_Toc10211"/>
      <w:r>
        <w:rPr>
          <w:rFonts w:hint="eastAsia" w:ascii="黑体" w:hAnsi="黑体" w:eastAsia="黑体" w:cs="黑体"/>
          <w:b w:val="0"/>
          <w:bCs w:val="0"/>
          <w:color w:val="auto"/>
          <w:sz w:val="32"/>
          <w:szCs w:val="32"/>
        </w:rPr>
        <w:t>第</w:t>
      </w:r>
      <w:r>
        <w:rPr>
          <w:rFonts w:hint="eastAsia" w:ascii="黑体" w:hAnsi="黑体" w:eastAsia="黑体" w:cs="黑体"/>
          <w:b w:val="0"/>
          <w:bCs w:val="0"/>
          <w:color w:val="auto"/>
          <w:sz w:val="32"/>
          <w:szCs w:val="32"/>
          <w:lang w:eastAsia="zh-CN"/>
        </w:rPr>
        <w:t>八</w:t>
      </w:r>
      <w:r>
        <w:rPr>
          <w:rFonts w:hint="eastAsia" w:ascii="黑体" w:hAnsi="黑体" w:eastAsia="黑体" w:cs="黑体"/>
          <w:b w:val="0"/>
          <w:bCs w:val="0"/>
          <w:color w:val="auto"/>
          <w:sz w:val="32"/>
          <w:szCs w:val="32"/>
        </w:rPr>
        <w:t>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保障措施</w:t>
      </w:r>
      <w:bookmarkEnd w:id="265"/>
      <w:bookmarkEnd w:id="266"/>
      <w:bookmarkEnd w:id="267"/>
      <w:bookmarkEnd w:id="268"/>
      <w:bookmarkEnd w:id="269"/>
      <w:bookmarkEnd w:id="270"/>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lang w:eastAsia="zh-CN"/>
        </w:rPr>
      </w:pPr>
    </w:p>
    <w:p>
      <w:pPr>
        <w:pStyle w:val="5"/>
        <w:keepNext w:val="0"/>
        <w:keepLines w:val="0"/>
        <w:pageBreakBefore w:val="0"/>
        <w:widowControl w:val="0"/>
        <w:tabs>
          <w:tab w:val="clear" w:pos="576"/>
        </w:tabs>
        <w:kinsoku/>
        <w:overflowPunct/>
        <w:topLinePunct w:val="0"/>
        <w:autoSpaceDE/>
        <w:autoSpaceDN/>
        <w:bidi w:val="0"/>
        <w:adjustRightInd/>
        <w:snapToGrid/>
        <w:spacing w:before="0" w:after="0" w:line="580" w:lineRule="exact"/>
        <w:ind w:left="0" w:firstLine="643" w:firstLineChars="200"/>
        <w:textAlignment w:val="auto"/>
        <w:rPr>
          <w:rFonts w:hint="eastAsia" w:ascii="楷体_GB2312" w:hAnsi="楷体_GB2312" w:eastAsia="楷体_GB2312" w:cs="楷体_GB2312"/>
          <w:color w:val="auto"/>
          <w:sz w:val="32"/>
          <w:szCs w:val="32"/>
        </w:rPr>
      </w:pPr>
      <w:bookmarkStart w:id="271" w:name="_Toc31541"/>
      <w:bookmarkStart w:id="272" w:name="_Toc75784415"/>
      <w:bookmarkStart w:id="273" w:name="_Toc14260"/>
      <w:bookmarkStart w:id="274" w:name="_Toc21915"/>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rPr>
        <w:t>加强组织领导</w:t>
      </w:r>
      <w:bookmarkEnd w:id="271"/>
      <w:bookmarkEnd w:id="272"/>
      <w:bookmarkEnd w:id="273"/>
      <w:bookmarkEnd w:id="274"/>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为了确保生态文明建设各项工作有序推进，成立以</w:t>
      </w:r>
      <w:r>
        <w:rPr>
          <w:rFonts w:hint="eastAsia" w:ascii="仿宋_GB2312" w:hAnsi="仿宋_GB2312" w:eastAsia="仿宋_GB2312" w:cs="仿宋_GB2312"/>
          <w:color w:val="auto"/>
          <w:sz w:val="32"/>
          <w:szCs w:val="32"/>
          <w:lang w:val="en-US" w:eastAsia="zh-CN"/>
        </w:rPr>
        <w:t>党工委书记</w:t>
      </w:r>
      <w:r>
        <w:rPr>
          <w:rFonts w:hint="eastAsia" w:ascii="仿宋_GB2312" w:hAnsi="仿宋_GB2312" w:eastAsia="仿宋_GB2312" w:cs="仿宋_GB2312"/>
          <w:color w:val="auto"/>
          <w:sz w:val="32"/>
          <w:szCs w:val="32"/>
        </w:rPr>
        <w:t>为组长，相关负责人为成员的</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创建工作领导小组。领导小组下设办公室，办公室设在</w:t>
      </w:r>
      <w:r>
        <w:rPr>
          <w:rFonts w:hint="eastAsia" w:ascii="仿宋_GB2312" w:hAnsi="仿宋_GB2312" w:eastAsia="仿宋_GB2312" w:cs="仿宋_GB2312"/>
          <w:color w:val="auto"/>
          <w:sz w:val="32"/>
          <w:szCs w:val="32"/>
          <w:lang w:val="en-US" w:eastAsia="zh-CN"/>
        </w:rPr>
        <w:t>街道环保中心</w:t>
      </w:r>
      <w:r>
        <w:rPr>
          <w:rFonts w:hint="eastAsia" w:ascii="仿宋_GB2312" w:hAnsi="仿宋_GB2312" w:eastAsia="仿宋_GB2312" w:cs="仿宋_GB2312"/>
          <w:color w:val="auto"/>
          <w:sz w:val="32"/>
          <w:szCs w:val="32"/>
        </w:rPr>
        <w:t>。建立网格化环境监管体系，在</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形成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党委领导、</w:t>
      </w:r>
      <w:r>
        <w:rPr>
          <w:rFonts w:hint="eastAsia" w:ascii="仿宋_GB2312" w:hAnsi="仿宋_GB2312" w:eastAsia="仿宋_GB2312" w:cs="仿宋_GB2312"/>
          <w:color w:val="auto"/>
          <w:sz w:val="32"/>
          <w:szCs w:val="32"/>
          <w:lang w:val="en-US" w:eastAsia="zh-CN"/>
        </w:rPr>
        <w:t>街道村（社区）分级</w:t>
      </w:r>
      <w:r>
        <w:rPr>
          <w:rFonts w:hint="eastAsia" w:ascii="仿宋_GB2312" w:hAnsi="仿宋_GB2312" w:eastAsia="仿宋_GB2312" w:cs="仿宋_GB2312"/>
          <w:color w:val="auto"/>
          <w:sz w:val="32"/>
          <w:szCs w:val="32"/>
        </w:rPr>
        <w:t>推动、</w:t>
      </w:r>
      <w:r>
        <w:rPr>
          <w:rFonts w:hint="eastAsia" w:ascii="仿宋_GB2312" w:hAnsi="仿宋_GB2312" w:eastAsia="仿宋_GB2312" w:cs="仿宋_GB2312"/>
          <w:color w:val="auto"/>
          <w:sz w:val="32"/>
          <w:szCs w:val="32"/>
          <w:lang w:val="en-US" w:eastAsia="zh-CN"/>
        </w:rPr>
        <w:t>部门联动、</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上下共同参与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的生态文明建设格局。</w:t>
      </w:r>
    </w:p>
    <w:p>
      <w:pPr>
        <w:pStyle w:val="5"/>
        <w:keepNext w:val="0"/>
        <w:keepLines w:val="0"/>
        <w:pageBreakBefore w:val="0"/>
        <w:widowControl w:val="0"/>
        <w:tabs>
          <w:tab w:val="clear" w:pos="576"/>
        </w:tabs>
        <w:kinsoku/>
        <w:overflowPunct/>
        <w:topLinePunct w:val="0"/>
        <w:autoSpaceDE/>
        <w:autoSpaceDN/>
        <w:bidi w:val="0"/>
        <w:adjustRightInd/>
        <w:snapToGrid/>
        <w:spacing w:before="0" w:after="0" w:line="580" w:lineRule="exact"/>
        <w:ind w:left="0" w:firstLine="643" w:firstLineChars="200"/>
        <w:textAlignment w:val="auto"/>
        <w:rPr>
          <w:rFonts w:hint="eastAsia" w:ascii="楷体_GB2312" w:hAnsi="楷体_GB2312" w:eastAsia="楷体_GB2312" w:cs="楷体_GB2312"/>
          <w:color w:val="auto"/>
          <w:sz w:val="32"/>
          <w:szCs w:val="32"/>
          <w:lang w:val="en-US" w:eastAsia="zh-CN"/>
        </w:rPr>
      </w:pPr>
      <w:bookmarkStart w:id="275" w:name="_Toc1086"/>
      <w:bookmarkStart w:id="276" w:name="_Toc30385"/>
      <w:bookmarkStart w:id="277" w:name="_Toc75784416"/>
      <w:bookmarkStart w:id="278" w:name="_Toc21260"/>
      <w:r>
        <w:rPr>
          <w:rFonts w:hint="eastAsia" w:ascii="楷体_GB2312" w:hAnsi="楷体_GB2312" w:eastAsia="楷体_GB2312" w:cs="楷体_GB2312"/>
          <w:color w:val="auto"/>
          <w:sz w:val="32"/>
          <w:szCs w:val="32"/>
          <w:lang w:val="en-US" w:eastAsia="zh-CN"/>
        </w:rPr>
        <w:t>（二）强化考核目标</w:t>
      </w:r>
      <w:bookmarkEnd w:id="275"/>
      <w:bookmarkEnd w:id="276"/>
      <w:bookmarkEnd w:id="277"/>
      <w:bookmarkEnd w:id="278"/>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bookmarkStart w:id="279" w:name="_Toc28980"/>
      <w:bookmarkStart w:id="280" w:name="_Toc15720"/>
      <w:bookmarkStart w:id="281" w:name="_Toc8901"/>
      <w:r>
        <w:rPr>
          <w:rFonts w:hint="eastAsia" w:ascii="仿宋_GB2312" w:hAnsi="仿宋_GB2312" w:eastAsia="仿宋_GB2312" w:cs="仿宋_GB2312"/>
          <w:color w:val="auto"/>
          <w:sz w:val="32"/>
          <w:szCs w:val="32"/>
        </w:rPr>
        <w:t>每年开展环保综合</w:t>
      </w:r>
      <w:r>
        <w:rPr>
          <w:rFonts w:hint="eastAsia" w:ascii="仿宋_GB2312" w:hAnsi="仿宋_GB2312" w:eastAsia="仿宋_GB2312" w:cs="仿宋_GB2312"/>
          <w:color w:val="auto"/>
          <w:sz w:val="32"/>
          <w:szCs w:val="32"/>
          <w:lang w:val="en-US" w:eastAsia="zh-CN"/>
        </w:rPr>
        <w:t>检查</w:t>
      </w:r>
      <w:r>
        <w:rPr>
          <w:rFonts w:hint="eastAsia" w:ascii="仿宋_GB2312" w:hAnsi="仿宋_GB2312" w:eastAsia="仿宋_GB2312" w:cs="仿宋_GB2312"/>
          <w:color w:val="auto"/>
          <w:sz w:val="32"/>
          <w:szCs w:val="32"/>
        </w:rPr>
        <w:t>，对落实情况及完成年度创建目标任务情况进行考核。考核结果与领导干部政绩及干部使用挂钩，对没有完成年度环保目标的单位，要约谈主要责任人，提出整改意见，予以督促，以保障</w:t>
      </w:r>
      <w:r>
        <w:rPr>
          <w:rFonts w:hint="eastAsia" w:ascii="仿宋_GB2312" w:hAnsi="仿宋_GB2312" w:eastAsia="仿宋_GB2312" w:cs="仿宋_GB2312"/>
          <w:color w:val="auto"/>
          <w:sz w:val="32"/>
          <w:szCs w:val="32"/>
          <w:lang w:eastAsia="zh-CN"/>
        </w:rPr>
        <w:t>生态文明建设示范街道</w:t>
      </w:r>
      <w:r>
        <w:rPr>
          <w:rFonts w:hint="eastAsia" w:ascii="仿宋_GB2312" w:hAnsi="仿宋_GB2312" w:eastAsia="仿宋_GB2312" w:cs="仿宋_GB2312"/>
          <w:color w:val="auto"/>
          <w:sz w:val="32"/>
          <w:szCs w:val="32"/>
        </w:rPr>
        <w:t>创建实施方案的顺利实施。</w:t>
      </w:r>
    </w:p>
    <w:bookmarkEnd w:id="279"/>
    <w:bookmarkEnd w:id="280"/>
    <w:bookmarkEnd w:id="281"/>
    <w:p>
      <w:pPr>
        <w:pStyle w:val="5"/>
        <w:keepNext w:val="0"/>
        <w:keepLines w:val="0"/>
        <w:pageBreakBefore w:val="0"/>
        <w:widowControl w:val="0"/>
        <w:tabs>
          <w:tab w:val="clear" w:pos="576"/>
        </w:tabs>
        <w:kinsoku/>
        <w:overflowPunct/>
        <w:topLinePunct w:val="0"/>
        <w:autoSpaceDE/>
        <w:autoSpaceDN/>
        <w:bidi w:val="0"/>
        <w:adjustRightInd/>
        <w:snapToGrid/>
        <w:spacing w:before="0" w:after="0" w:line="580" w:lineRule="exact"/>
        <w:ind w:left="0" w:firstLine="643" w:firstLineChars="200"/>
        <w:textAlignment w:val="auto"/>
        <w:rPr>
          <w:rFonts w:hint="eastAsia" w:ascii="楷体_GB2312" w:hAnsi="楷体_GB2312" w:eastAsia="楷体_GB2312" w:cs="楷体_GB2312"/>
          <w:color w:val="auto"/>
          <w:sz w:val="32"/>
          <w:szCs w:val="32"/>
          <w:lang w:val="en-US" w:eastAsia="zh-CN"/>
        </w:rPr>
      </w:pPr>
      <w:bookmarkStart w:id="282" w:name="_Toc14803"/>
      <w:bookmarkStart w:id="283" w:name="_Toc8624"/>
      <w:bookmarkStart w:id="284" w:name="_Toc75784417"/>
      <w:bookmarkStart w:id="285" w:name="_Toc16028"/>
      <w:r>
        <w:rPr>
          <w:rFonts w:hint="eastAsia" w:ascii="楷体_GB2312" w:hAnsi="楷体_GB2312" w:eastAsia="楷体_GB2312" w:cs="楷体_GB2312"/>
          <w:color w:val="auto"/>
          <w:sz w:val="32"/>
          <w:szCs w:val="32"/>
          <w:lang w:val="en-US" w:eastAsia="zh-CN"/>
        </w:rPr>
        <w:t>（三）完善资金机制</w:t>
      </w:r>
      <w:bookmarkEnd w:id="282"/>
      <w:bookmarkEnd w:id="283"/>
      <w:bookmarkEnd w:id="284"/>
      <w:bookmarkEnd w:id="285"/>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建立政府主导、村民参与、社会支持的投入机制，积极促进多元融资，引导社会资本投入，加大对</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rPr>
        <w:t>内生活污水处理、大气污染防治等环境保护项目的支持力度。每年设立财政资金专款用于支持农业面源污染治理工程、农村生活污水处理设施的维护管理、农村河道沟渠村民养护管理等工作开展。</w:t>
      </w:r>
    </w:p>
    <w:p>
      <w:pPr>
        <w:pStyle w:val="5"/>
        <w:keepNext w:val="0"/>
        <w:keepLines w:val="0"/>
        <w:pageBreakBefore w:val="0"/>
        <w:widowControl w:val="0"/>
        <w:tabs>
          <w:tab w:val="clear" w:pos="576"/>
        </w:tabs>
        <w:kinsoku/>
        <w:overflowPunct/>
        <w:topLinePunct w:val="0"/>
        <w:autoSpaceDE/>
        <w:autoSpaceDN/>
        <w:bidi w:val="0"/>
        <w:adjustRightInd/>
        <w:snapToGrid/>
        <w:spacing w:before="0" w:after="0" w:line="580" w:lineRule="exact"/>
        <w:ind w:left="0" w:firstLine="643" w:firstLineChars="200"/>
        <w:textAlignment w:val="auto"/>
        <w:rPr>
          <w:rFonts w:hint="eastAsia" w:ascii="楷体_GB2312" w:hAnsi="楷体_GB2312" w:eastAsia="楷体_GB2312" w:cs="楷体_GB2312"/>
          <w:color w:val="auto"/>
          <w:sz w:val="32"/>
          <w:szCs w:val="32"/>
          <w:lang w:val="en-US" w:eastAsia="zh-CN"/>
        </w:rPr>
      </w:pPr>
      <w:bookmarkStart w:id="286" w:name="_Toc10549"/>
      <w:bookmarkStart w:id="287" w:name="_Toc6812"/>
      <w:bookmarkStart w:id="288" w:name="_Toc75784418"/>
      <w:bookmarkStart w:id="289" w:name="_Toc7349"/>
      <w:r>
        <w:rPr>
          <w:rFonts w:hint="eastAsia" w:ascii="楷体_GB2312" w:hAnsi="楷体_GB2312" w:eastAsia="楷体_GB2312" w:cs="楷体_GB2312"/>
          <w:color w:val="auto"/>
          <w:sz w:val="32"/>
          <w:szCs w:val="32"/>
          <w:lang w:val="en-US" w:eastAsia="zh-CN"/>
        </w:rPr>
        <w:t>（四）建立维护制度</w:t>
      </w:r>
      <w:bookmarkEnd w:id="286"/>
      <w:bookmarkEnd w:id="287"/>
      <w:bookmarkEnd w:id="288"/>
      <w:bookmarkEnd w:id="289"/>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建立健全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职责明确、覆盖全面、运营规范、保障有力、监管高效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rPr>
        <w:t>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社区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、户管护机制，以制度建设为引领，保障管护资金，日常管护和定期养护相结合，持续巩固生态文明示范</w:t>
      </w:r>
      <w:r>
        <w:rPr>
          <w:rFonts w:hint="eastAsia" w:ascii="仿宋_GB2312" w:hAnsi="仿宋_GB2312" w:eastAsia="仿宋_GB2312" w:cs="仿宋_GB2312"/>
          <w:color w:val="auto"/>
          <w:sz w:val="32"/>
          <w:szCs w:val="32"/>
          <w:lang w:val="en-US" w:eastAsia="zh-CN"/>
        </w:rPr>
        <w:t>街道</w:t>
      </w:r>
      <w:r>
        <w:rPr>
          <w:rFonts w:hint="eastAsia" w:ascii="仿宋_GB2312" w:hAnsi="仿宋_GB2312" w:eastAsia="仿宋_GB2312" w:cs="仿宋_GB2312"/>
          <w:color w:val="auto"/>
          <w:sz w:val="32"/>
          <w:szCs w:val="32"/>
        </w:rPr>
        <w:t>建设成果。设置生态文明管护员公益性岗位，不定期在责任片区内进行巡护，对发现破坏生态文明及生态环境的行为严令制止，并及时向上级部门报告。建立生态管护员管理、评价、考核和责任追究体系，逐步形成农民广泛参与，村级组织积极带动，社会各界有效监督的多元化良性互动局面，努力形成农民、村级组织、社会共建、共治、共管的长效机制。</w:t>
      </w:r>
    </w:p>
    <w:p>
      <w:pPr>
        <w:pStyle w:val="5"/>
        <w:keepNext w:val="0"/>
        <w:keepLines w:val="0"/>
        <w:pageBreakBefore w:val="0"/>
        <w:widowControl w:val="0"/>
        <w:tabs>
          <w:tab w:val="clear" w:pos="576"/>
        </w:tabs>
        <w:kinsoku/>
        <w:overflowPunct/>
        <w:topLinePunct w:val="0"/>
        <w:autoSpaceDE/>
        <w:autoSpaceDN/>
        <w:bidi w:val="0"/>
        <w:adjustRightInd/>
        <w:snapToGrid/>
        <w:spacing w:before="0" w:after="0" w:line="580" w:lineRule="exact"/>
        <w:ind w:left="0" w:firstLine="643" w:firstLineChars="200"/>
        <w:textAlignment w:val="auto"/>
        <w:rPr>
          <w:rFonts w:hint="eastAsia" w:ascii="楷体_GB2312" w:hAnsi="楷体_GB2312" w:eastAsia="楷体_GB2312" w:cs="楷体_GB2312"/>
          <w:color w:val="auto"/>
          <w:sz w:val="32"/>
          <w:szCs w:val="32"/>
          <w:lang w:val="en-US" w:eastAsia="zh-CN"/>
        </w:rPr>
      </w:pPr>
      <w:bookmarkStart w:id="290" w:name="_Toc5816"/>
      <w:bookmarkStart w:id="291" w:name="_Toc22759"/>
      <w:bookmarkStart w:id="292" w:name="_Toc14779"/>
      <w:bookmarkStart w:id="293" w:name="_Toc75784419"/>
      <w:r>
        <w:rPr>
          <w:rFonts w:hint="eastAsia" w:ascii="楷体_GB2312" w:hAnsi="楷体_GB2312" w:eastAsia="楷体_GB2312" w:cs="楷体_GB2312"/>
          <w:color w:val="auto"/>
          <w:sz w:val="32"/>
          <w:szCs w:val="32"/>
          <w:lang w:val="en-US" w:eastAsia="zh-CN"/>
        </w:rPr>
        <w:t>（五）全民参与</w:t>
      </w:r>
      <w:bookmarkEnd w:id="290"/>
      <w:bookmarkEnd w:id="291"/>
      <w:bookmarkEnd w:id="292"/>
      <w:bookmarkEnd w:id="293"/>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hAnsi="仿宋_GB2312" w:eastAsia="仿宋_GB2312" w:cs="仿宋_GB2312"/>
          <w:color w:val="auto"/>
          <w:sz w:val="32"/>
          <w:szCs w:val="32"/>
          <w:lang w:val="en-US" w:eastAsia="zh-CN"/>
        </w:rPr>
        <w:t>生态文明</w:t>
      </w:r>
      <w:r>
        <w:rPr>
          <w:rFonts w:hint="eastAsia" w:ascii="仿宋_GB2312" w:hAnsi="仿宋_GB2312" w:eastAsia="仿宋_GB2312" w:cs="仿宋_GB2312"/>
          <w:color w:val="auto"/>
          <w:sz w:val="32"/>
          <w:szCs w:val="32"/>
        </w:rPr>
        <w:t>创建宣传，充分利用广播、横幅和宣传标语等多种形式，拓宽思想创新载体，多渠道、多层次、多形式地开展生态文明建设的舆论宣传，使公众深入了解方案确定的方针政策和发展蓝图，在全社会形成自觉参与方案实施的氛围，把开展生态文明建设切实转化为各部门和</w:t>
      </w:r>
      <w:r>
        <w:rPr>
          <w:rFonts w:hint="eastAsia" w:ascii="仿宋_GB2312" w:hAnsi="仿宋_GB2312" w:eastAsia="仿宋_GB2312" w:cs="仿宋_GB2312"/>
          <w:color w:val="auto"/>
          <w:sz w:val="32"/>
          <w:szCs w:val="32"/>
          <w:lang w:eastAsia="zh-CN"/>
        </w:rPr>
        <w:t>全街道</w:t>
      </w:r>
      <w:r>
        <w:rPr>
          <w:rFonts w:hint="eastAsia" w:ascii="仿宋_GB2312" w:hAnsi="仿宋_GB2312" w:eastAsia="仿宋_GB2312" w:cs="仿宋_GB2312"/>
          <w:color w:val="auto"/>
          <w:sz w:val="32"/>
          <w:szCs w:val="32"/>
        </w:rPr>
        <w:t>居民的自觉行动，实现生态文明建设的良性互动和永续发展。组织开展多种形式的生态环境教育和科普宣传教育，加强对各级领导干部和企业法人、经营者的相关知识培训，大力推进对广大村民的环境</w:t>
      </w:r>
      <w:r>
        <w:rPr>
          <w:rFonts w:hint="eastAsia" w:ascii="仿宋_GB2312" w:hAnsi="仿宋_GB2312" w:eastAsia="仿宋_GB2312" w:cs="仿宋_GB2312"/>
          <w:color w:val="auto"/>
          <w:sz w:val="32"/>
          <w:szCs w:val="32"/>
          <w:lang w:val="en-US" w:eastAsia="zh-CN"/>
        </w:rPr>
        <w:t>保护</w:t>
      </w:r>
      <w:r>
        <w:rPr>
          <w:rFonts w:hint="eastAsia" w:ascii="仿宋_GB2312" w:hAnsi="仿宋_GB2312" w:eastAsia="仿宋_GB2312" w:cs="仿宋_GB2312"/>
          <w:color w:val="auto"/>
          <w:sz w:val="32"/>
          <w:szCs w:val="32"/>
        </w:rPr>
        <w:t>教育，使生态文明建设家喻户晓，深入人心。加强消费引导，大力推行适度消费、绿色消费和可持续消费，促进生产方式、生活方式和消费观念的转变。</w:t>
      </w:r>
    </w:p>
    <w:p>
      <w:pPr>
        <w:pStyle w:val="3"/>
        <w:keepNext w:val="0"/>
        <w:keepLines w:val="0"/>
        <w:pageBreakBefore w:val="0"/>
        <w:widowControl w:val="0"/>
        <w:kinsoku/>
        <w:wordWrap/>
        <w:overflowPunct/>
        <w:topLinePunct w:val="0"/>
        <w:autoSpaceDE/>
        <w:autoSpaceDN/>
        <w:bidi w:val="0"/>
        <w:adjustRightInd/>
        <w:snapToGrid/>
        <w:spacing w:after="0" w:line="1100" w:lineRule="exact"/>
        <w:textAlignment w:val="auto"/>
        <w:outlineLvl w:val="9"/>
        <w:rPr>
          <w:rFonts w:ascii="仿宋_GB2312" w:eastAsia="仿宋_GB2312" w:cs="Times New Roman"/>
          <w:sz w:val="32"/>
          <w:szCs w:val="32"/>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Borders>
              <w:left w:val="nil"/>
              <w:right w:val="nil"/>
            </w:tcBorders>
            <w:vAlign w:val="top"/>
          </w:tcPr>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ascii="仿宋_GB2312" w:hAnsi="仿宋_GB2312" w:eastAsia="仿宋_GB2312" w:cs="仿宋_GB2312"/>
                <w:color w:val="000000"/>
              </w:rPr>
            </w:pPr>
            <w:r>
              <w:rPr>
                <w:rFonts w:hint="eastAsia" w:ascii="仿宋_GB2312" w:hAnsi="仿宋_GB2312" w:eastAsia="仿宋_GB2312" w:cs="仿宋_GB2312"/>
                <w:color w:val="000000"/>
                <w:spacing w:val="-10"/>
                <w:sz w:val="28"/>
                <w:szCs w:val="28"/>
                <w:lang w:val="en-US" w:eastAsia="zh-CN"/>
              </w:rPr>
              <w:t xml:space="preserve"> </w:t>
            </w:r>
            <w:r>
              <w:rPr>
                <w:rFonts w:hint="eastAsia" w:ascii="仿宋_GB2312" w:hAnsi="仿宋_GB2312" w:eastAsia="仿宋_GB2312" w:cs="仿宋_GB2312"/>
                <w:color w:val="000000"/>
                <w:spacing w:val="-10"/>
                <w:sz w:val="28"/>
                <w:szCs w:val="28"/>
              </w:rPr>
              <w:t>高塘岭街道党政综合办</w:t>
            </w:r>
            <w:r>
              <w:rPr>
                <w:rFonts w:hint="eastAsia" w:ascii="仿宋_GB2312" w:eastAsia="仿宋_GB2312" w:cs="仿宋_GB2312"/>
                <w:sz w:val="28"/>
                <w:szCs w:val="28"/>
              </w:rPr>
              <w:t>公</w:t>
            </w:r>
            <w:r>
              <w:rPr>
                <w:rFonts w:hint="eastAsia" w:ascii="仿宋_GB2312" w:eastAsia="仿宋_GB2312" w:cs="仿宋_GB2312"/>
                <w:sz w:val="28"/>
                <w:szCs w:val="28"/>
                <w:lang w:val="en-US" w:eastAsia="zh-CN"/>
              </w:rPr>
              <w:t>室</w:t>
            </w:r>
            <w:r>
              <w:rPr>
                <w:rFonts w:hint="eastAsia" w:ascii="仿宋_GB2312" w:hAnsi="仿宋_GB2312" w:eastAsia="仿宋_GB2312" w:cs="仿宋_GB2312"/>
                <w:color w:val="000000"/>
                <w:spacing w:val="-10"/>
                <w:sz w:val="28"/>
                <w:szCs w:val="28"/>
              </w:rPr>
              <w:t xml:space="preserve">                   </w:t>
            </w:r>
            <w:r>
              <w:rPr>
                <w:rFonts w:hint="eastAsia" w:ascii="仿宋_GB2312" w:hAnsi="仿宋_GB2312" w:eastAsia="仿宋_GB2312" w:cs="仿宋_GB2312"/>
                <w:color w:val="000000"/>
                <w:spacing w:val="-10"/>
                <w:sz w:val="28"/>
                <w:szCs w:val="28"/>
                <w:lang w:val="en-US" w:eastAsia="zh-CN"/>
              </w:rPr>
              <w:t xml:space="preserve">  </w:t>
            </w:r>
            <w:r>
              <w:rPr>
                <w:rFonts w:hint="eastAsia" w:ascii="仿宋_GB2312" w:hAnsi="仿宋_GB2312" w:eastAsia="仿宋_GB2312" w:cs="仿宋_GB2312"/>
                <w:color w:val="000000"/>
                <w:spacing w:val="-10"/>
                <w:sz w:val="28"/>
                <w:szCs w:val="28"/>
              </w:rPr>
              <w:t>202</w:t>
            </w:r>
            <w:r>
              <w:rPr>
                <w:rFonts w:hint="eastAsia" w:ascii="仿宋_GB2312" w:hAnsi="仿宋_GB2312" w:eastAsia="仿宋_GB2312" w:cs="仿宋_GB2312"/>
                <w:color w:val="000000"/>
                <w:spacing w:val="-10"/>
                <w:sz w:val="28"/>
                <w:szCs w:val="28"/>
                <w:lang w:val="en-US" w:eastAsia="zh-CN"/>
              </w:rPr>
              <w:t>3</w:t>
            </w:r>
            <w:r>
              <w:rPr>
                <w:rFonts w:hint="eastAsia" w:ascii="仿宋_GB2312" w:hAnsi="仿宋_GB2312" w:eastAsia="仿宋_GB2312" w:cs="仿宋_GB2312"/>
                <w:color w:val="000000"/>
                <w:spacing w:val="-10"/>
                <w:sz w:val="28"/>
                <w:szCs w:val="28"/>
              </w:rPr>
              <w:t>年</w:t>
            </w:r>
            <w:r>
              <w:rPr>
                <w:rFonts w:hint="eastAsia" w:ascii="仿宋_GB2312" w:hAnsi="仿宋_GB2312" w:cs="仿宋_GB2312"/>
                <w:color w:val="000000"/>
                <w:spacing w:val="-10"/>
                <w:sz w:val="28"/>
                <w:szCs w:val="28"/>
                <w:lang w:val="en-US" w:eastAsia="zh-CN"/>
              </w:rPr>
              <w:t>6</w:t>
            </w:r>
            <w:r>
              <w:rPr>
                <w:rFonts w:hint="eastAsia" w:ascii="仿宋_GB2312" w:hAnsi="仿宋_GB2312" w:eastAsia="仿宋_GB2312" w:cs="仿宋_GB2312"/>
                <w:color w:val="000000"/>
                <w:spacing w:val="-10"/>
                <w:sz w:val="28"/>
                <w:szCs w:val="28"/>
              </w:rPr>
              <w:t>月</w:t>
            </w:r>
            <w:r>
              <w:rPr>
                <w:rFonts w:hint="eastAsia" w:ascii="仿宋_GB2312" w:hAnsi="仿宋_GB2312" w:cs="仿宋_GB2312"/>
                <w:color w:val="000000"/>
                <w:spacing w:val="-10"/>
                <w:sz w:val="28"/>
                <w:szCs w:val="28"/>
                <w:lang w:val="en-US" w:eastAsia="zh-CN"/>
              </w:rPr>
              <w:t>21</w:t>
            </w:r>
            <w:r>
              <w:rPr>
                <w:rFonts w:hint="eastAsia" w:ascii="仿宋_GB2312" w:hAnsi="仿宋_GB2312" w:eastAsia="仿宋_GB2312" w:cs="仿宋_GB2312"/>
                <w:color w:val="000000"/>
                <w:spacing w:val="-10"/>
                <w:sz w:val="28"/>
                <w:szCs w:val="28"/>
              </w:rPr>
              <w:t>日印发</w:t>
            </w:r>
          </w:p>
        </w:tc>
      </w:tr>
    </w:tbl>
    <w:p>
      <w:pPr>
        <w:keepNext w:val="0"/>
        <w:keepLines w:val="0"/>
        <w:pageBreakBefore w:val="0"/>
        <w:widowControl w:val="0"/>
        <w:kinsoku/>
        <w:wordWrap/>
        <w:overflowPunct/>
        <w:topLinePunct w:val="0"/>
        <w:autoSpaceDE/>
        <w:autoSpaceDN/>
        <w:bidi w:val="0"/>
        <w:adjustRightInd/>
        <w:snapToGrid/>
        <w:spacing w:line="20" w:lineRule="exact"/>
        <w:ind w:firstLine="640" w:firstLineChars="200"/>
        <w:textAlignment w:val="auto"/>
        <w:outlineLvl w:val="9"/>
        <w:rPr>
          <w:rFonts w:hint="eastAsia" w:ascii="仿宋" w:hAnsi="仿宋" w:eastAsia="仿宋" w:cs="仿宋"/>
          <w:sz w:val="32"/>
          <w:szCs w:val="32"/>
        </w:rPr>
      </w:pPr>
    </w:p>
    <w:p>
      <w:pPr>
        <w:pStyle w:val="2"/>
        <w:keepNext w:val="0"/>
        <w:keepLines w:val="0"/>
        <w:pageBreakBefore w:val="0"/>
        <w:widowControl w:val="0"/>
        <w:kinsoku/>
        <w:wordWrap/>
        <w:overflowPunct/>
        <w:topLinePunct w:val="0"/>
        <w:autoSpaceDE/>
        <w:autoSpaceDN/>
        <w:bidi w:val="0"/>
        <w:adjustRightInd/>
        <w:snapToGrid/>
        <w:spacing w:line="20" w:lineRule="exact"/>
        <w:textAlignment w:val="auto"/>
        <w:outlineLvl w:val="9"/>
        <w:rPr>
          <w:rFonts w:hint="eastAsia"/>
          <w:lang w:val="en-US" w:eastAsia="zh-CN"/>
        </w:rPr>
      </w:pPr>
    </w:p>
    <w:sectPr>
      <w:pgSz w:w="11906" w:h="16838"/>
      <w:pgMar w:top="1440" w:right="1800" w:bottom="1440" w:left="1800" w:header="851" w:footer="992" w:gutter="0"/>
      <w:pgBorders w:offsetFrom="page">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Align="top"/>
      <w:rPr>
        <w:rStyle w:val="14"/>
      </w:rPr>
    </w:pPr>
    <w:r>
      <w:fldChar w:fldCharType="begin"/>
    </w:r>
    <w:r>
      <w:rPr>
        <w:rStyle w:val="14"/>
      </w:rPr>
      <w:instrText xml:space="preserve">PAGE  </w:instrTex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align>top</wp:align>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Style w:val="14"/>
                            </w:rPr>
                          </w:pPr>
                          <w:r>
                            <w:rPr>
                              <w:rFonts w:hint="eastAsia" w:ascii="宋体" w:hAnsi="宋体" w:eastAsia="宋体" w:cs="宋体"/>
                              <w:sz w:val="28"/>
                              <w:szCs w:val="28"/>
                            </w:rPr>
                            <w:fldChar w:fldCharType="begin"/>
                          </w:r>
                          <w:r>
                            <w:rPr>
                              <w:rStyle w:val="14"/>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4"/>
                              <w:rFonts w:hint="eastAsia" w:ascii="宋体" w:hAnsi="宋体" w:eastAsia="宋体" w:cs="宋体"/>
                              <w:sz w:val="28"/>
                              <w:szCs w:val="28"/>
                            </w:rPr>
                            <w:t>35</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Style w:val="14"/>
                      </w:rPr>
                    </w:pPr>
                    <w:r>
                      <w:rPr>
                        <w:rFonts w:hint="eastAsia" w:ascii="宋体" w:hAnsi="宋体" w:eastAsia="宋体" w:cs="宋体"/>
                        <w:sz w:val="28"/>
                        <w:szCs w:val="28"/>
                      </w:rPr>
                      <w:fldChar w:fldCharType="begin"/>
                    </w:r>
                    <w:r>
                      <w:rPr>
                        <w:rStyle w:val="14"/>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4"/>
                        <w:rFonts w:hint="eastAsia" w:ascii="宋体" w:hAnsi="宋体" w:eastAsia="宋体" w:cs="宋体"/>
                        <w:sz w:val="28"/>
                        <w:szCs w:val="28"/>
                      </w:rPr>
                      <w:t>35</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Style w:val="14"/>
                            </w:rPr>
                          </w:pPr>
                          <w:r>
                            <w:rPr>
                              <w:rFonts w:hint="eastAsia" w:ascii="宋体" w:hAnsi="宋体" w:eastAsia="宋体" w:cs="宋体"/>
                              <w:sz w:val="28"/>
                              <w:szCs w:val="28"/>
                            </w:rPr>
                            <w:fldChar w:fldCharType="begin"/>
                          </w:r>
                          <w:r>
                            <w:rPr>
                              <w:rStyle w:val="14"/>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4"/>
                              <w:rFonts w:hint="eastAsia" w:ascii="宋体" w:hAnsi="宋体" w:eastAsia="宋体" w:cs="宋体"/>
                              <w:sz w:val="28"/>
                              <w:szCs w:val="28"/>
                            </w:rPr>
                            <w:t>55</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Style w:val="14"/>
                      </w:rPr>
                    </w:pPr>
                    <w:r>
                      <w:rPr>
                        <w:rFonts w:hint="eastAsia" w:ascii="宋体" w:hAnsi="宋体" w:eastAsia="宋体" w:cs="宋体"/>
                        <w:sz w:val="28"/>
                        <w:szCs w:val="28"/>
                      </w:rPr>
                      <w:fldChar w:fldCharType="begin"/>
                    </w:r>
                    <w:r>
                      <w:rPr>
                        <w:rStyle w:val="14"/>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4"/>
                        <w:rFonts w:hint="eastAsia" w:ascii="宋体" w:hAnsi="宋体" w:eastAsia="宋体" w:cs="宋体"/>
                        <w:sz w:val="28"/>
                        <w:szCs w:val="28"/>
                      </w:rPr>
                      <w:t>55</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3E631"/>
    <w:multiLevelType w:val="singleLevel"/>
    <w:tmpl w:val="3363E631"/>
    <w:lvl w:ilvl="0" w:tentative="0">
      <w:start w:val="1"/>
      <w:numFmt w:val="decimal"/>
      <w:suff w:val="nothing"/>
      <w:lvlText w:val="（%1）"/>
      <w:lvlJc w:val="left"/>
    </w:lvl>
  </w:abstractNum>
  <w:abstractNum w:abstractNumId="1">
    <w:nsid w:val="7EE0347C"/>
    <w:multiLevelType w:val="multilevel"/>
    <w:tmpl w:val="7EE0347C"/>
    <w:lvl w:ilvl="0" w:tentative="0">
      <w:start w:val="1"/>
      <w:numFmt w:val="decimal"/>
      <w:lvlText w:val="第%1章"/>
      <w:lvlJc w:val="left"/>
      <w:pPr>
        <w:tabs>
          <w:tab w:val="left" w:pos="432"/>
        </w:tabs>
        <w:ind w:left="432" w:hanging="432"/>
      </w:pPr>
      <w:rPr>
        <w:rFonts w:hint="eastAsia" w:cs="Times New Roman"/>
      </w:rPr>
    </w:lvl>
    <w:lvl w:ilvl="1" w:tentative="0">
      <w:start w:val="1"/>
      <w:numFmt w:val="decimal"/>
      <w:lvlText w:val="%1.%2"/>
      <w:lvlJc w:val="left"/>
      <w:pPr>
        <w:tabs>
          <w:tab w:val="left" w:pos="576"/>
        </w:tabs>
        <w:ind w:left="576" w:hanging="576"/>
      </w:pPr>
      <w:rPr>
        <w:rFonts w:hint="eastAsia" w:cs="Times New Roman"/>
      </w:rPr>
    </w:lvl>
    <w:lvl w:ilvl="2" w:tentative="0">
      <w:start w:val="1"/>
      <w:numFmt w:val="decimal"/>
      <w:pStyle w:val="6"/>
      <w:lvlText w:val="%1.%2.%3"/>
      <w:lvlJc w:val="left"/>
      <w:pPr>
        <w:tabs>
          <w:tab w:val="left" w:pos="720"/>
        </w:tabs>
        <w:ind w:left="720" w:hanging="720"/>
      </w:pPr>
      <w:rPr>
        <w:rFonts w:hint="eastAsia" w:cs="Times New Roman"/>
      </w:rPr>
    </w:lvl>
    <w:lvl w:ilvl="3" w:tentative="0">
      <w:start w:val="1"/>
      <w:numFmt w:val="decimal"/>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lvlText w:val="%1.%2.%3.%4.%5.%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202CB5"/>
    <w:rsid w:val="03E85AE0"/>
    <w:rsid w:val="05410DBD"/>
    <w:rsid w:val="0689725E"/>
    <w:rsid w:val="085A6F8C"/>
    <w:rsid w:val="099358C9"/>
    <w:rsid w:val="0A1B7953"/>
    <w:rsid w:val="0A3A6715"/>
    <w:rsid w:val="0DD45449"/>
    <w:rsid w:val="0FA45427"/>
    <w:rsid w:val="10951E3A"/>
    <w:rsid w:val="11B02487"/>
    <w:rsid w:val="123D2530"/>
    <w:rsid w:val="165B2F4C"/>
    <w:rsid w:val="16FC7BA2"/>
    <w:rsid w:val="17254609"/>
    <w:rsid w:val="174A6187"/>
    <w:rsid w:val="18784F93"/>
    <w:rsid w:val="19593991"/>
    <w:rsid w:val="1C240D46"/>
    <w:rsid w:val="1D024EDE"/>
    <w:rsid w:val="1D742A1B"/>
    <w:rsid w:val="1E8E2C65"/>
    <w:rsid w:val="1EB12E23"/>
    <w:rsid w:val="21354E5B"/>
    <w:rsid w:val="23137125"/>
    <w:rsid w:val="23304F5A"/>
    <w:rsid w:val="26EA7507"/>
    <w:rsid w:val="29393E36"/>
    <w:rsid w:val="296C0E9C"/>
    <w:rsid w:val="2C5B6358"/>
    <w:rsid w:val="2CD052DC"/>
    <w:rsid w:val="2F28588F"/>
    <w:rsid w:val="31331F5C"/>
    <w:rsid w:val="35E359C5"/>
    <w:rsid w:val="363E4AA8"/>
    <w:rsid w:val="36560B58"/>
    <w:rsid w:val="369758E6"/>
    <w:rsid w:val="36A06B2D"/>
    <w:rsid w:val="37CE69EB"/>
    <w:rsid w:val="39845B9E"/>
    <w:rsid w:val="39F86F05"/>
    <w:rsid w:val="3A40595B"/>
    <w:rsid w:val="3BCD37F3"/>
    <w:rsid w:val="3C0E54B5"/>
    <w:rsid w:val="3E8B5BD0"/>
    <w:rsid w:val="3EA51261"/>
    <w:rsid w:val="3F652204"/>
    <w:rsid w:val="3F8C59A5"/>
    <w:rsid w:val="3FBB7056"/>
    <w:rsid w:val="418A23C7"/>
    <w:rsid w:val="447E5D1C"/>
    <w:rsid w:val="45F6724B"/>
    <w:rsid w:val="468E6D36"/>
    <w:rsid w:val="476A6BC2"/>
    <w:rsid w:val="4A7426BF"/>
    <w:rsid w:val="4BBE006C"/>
    <w:rsid w:val="4C527F56"/>
    <w:rsid w:val="4CD56850"/>
    <w:rsid w:val="4DF14ABA"/>
    <w:rsid w:val="4DFC7924"/>
    <w:rsid w:val="505158BF"/>
    <w:rsid w:val="50EB302B"/>
    <w:rsid w:val="53412E47"/>
    <w:rsid w:val="536C5307"/>
    <w:rsid w:val="54FE63F1"/>
    <w:rsid w:val="562607AB"/>
    <w:rsid w:val="56D95F17"/>
    <w:rsid w:val="575933BE"/>
    <w:rsid w:val="57BC2E4F"/>
    <w:rsid w:val="592964C0"/>
    <w:rsid w:val="5A694436"/>
    <w:rsid w:val="628A0BAF"/>
    <w:rsid w:val="62D7668C"/>
    <w:rsid w:val="63825FE8"/>
    <w:rsid w:val="6493663A"/>
    <w:rsid w:val="64A403B4"/>
    <w:rsid w:val="64FC0EEA"/>
    <w:rsid w:val="652B7BDD"/>
    <w:rsid w:val="6720636B"/>
    <w:rsid w:val="679D50A9"/>
    <w:rsid w:val="682E6D11"/>
    <w:rsid w:val="6A621CD9"/>
    <w:rsid w:val="6A70738C"/>
    <w:rsid w:val="6C666A99"/>
    <w:rsid w:val="6D2A460E"/>
    <w:rsid w:val="6FD7296A"/>
    <w:rsid w:val="70074520"/>
    <w:rsid w:val="706B0457"/>
    <w:rsid w:val="7105400C"/>
    <w:rsid w:val="72375371"/>
    <w:rsid w:val="725370E0"/>
    <w:rsid w:val="73CB27BE"/>
    <w:rsid w:val="749012EA"/>
    <w:rsid w:val="7525339D"/>
    <w:rsid w:val="75EE7A62"/>
    <w:rsid w:val="7715180F"/>
    <w:rsid w:val="771B1775"/>
    <w:rsid w:val="797E7A97"/>
    <w:rsid w:val="7CAF0FE3"/>
    <w:rsid w:val="7CB62F4C"/>
    <w:rsid w:val="7E477483"/>
    <w:rsid w:val="7E846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19"/>
    <w:qFormat/>
    <w:uiPriority w:val="0"/>
    <w:pPr>
      <w:keepNext/>
      <w:keepLines/>
      <w:tabs>
        <w:tab w:val="left" w:pos="432"/>
      </w:tabs>
      <w:wordWrap w:val="0"/>
      <w:spacing w:before="340" w:after="330" w:line="578" w:lineRule="auto"/>
      <w:ind w:left="432" w:hanging="432"/>
      <w:jc w:val="center"/>
      <w:outlineLvl w:val="0"/>
    </w:pPr>
    <w:rPr>
      <w:rFonts w:eastAsia="仿宋_GB2312"/>
      <w:b/>
      <w:bCs/>
      <w:kern w:val="44"/>
      <w:sz w:val="44"/>
      <w:szCs w:val="44"/>
    </w:rPr>
  </w:style>
  <w:style w:type="paragraph" w:styleId="5">
    <w:name w:val="heading 2"/>
    <w:basedOn w:val="1"/>
    <w:next w:val="1"/>
    <w:qFormat/>
    <w:uiPriority w:val="0"/>
    <w:pPr>
      <w:keepNext/>
      <w:keepLines/>
      <w:tabs>
        <w:tab w:val="left" w:pos="576"/>
      </w:tabs>
      <w:wordWrap w:val="0"/>
      <w:spacing w:before="260" w:after="260" w:line="416" w:lineRule="auto"/>
      <w:ind w:left="576" w:hanging="576"/>
      <w:outlineLvl w:val="1"/>
    </w:pPr>
    <w:rPr>
      <w:rFonts w:eastAsia="黑体"/>
      <w:b/>
      <w:bCs/>
      <w:sz w:val="32"/>
      <w:szCs w:val="32"/>
    </w:rPr>
  </w:style>
  <w:style w:type="paragraph" w:styleId="6">
    <w:name w:val="heading 3"/>
    <w:basedOn w:val="1"/>
    <w:next w:val="1"/>
    <w:qFormat/>
    <w:uiPriority w:val="0"/>
    <w:pPr>
      <w:keepNext/>
      <w:keepLines/>
      <w:numPr>
        <w:ilvl w:val="2"/>
        <w:numId w:val="1"/>
      </w:numPr>
      <w:wordWrap w:val="0"/>
      <w:spacing w:line="360" w:lineRule="auto"/>
      <w:outlineLvl w:val="2"/>
    </w:pPr>
    <w:rPr>
      <w:rFonts w:eastAsia="黑体"/>
      <w:b/>
      <w:bCs/>
      <w:sz w:val="28"/>
      <w:szCs w:val="32"/>
    </w:rPr>
  </w:style>
  <w:style w:type="character" w:default="1" w:styleId="13">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qFormat/>
    <w:uiPriority w:val="0"/>
    <w:pPr>
      <w:spacing w:after="120" w:line="480" w:lineRule="auto"/>
    </w:pPr>
  </w:style>
  <w:style w:type="paragraph" w:styleId="7">
    <w:name w:val="index 5"/>
    <w:basedOn w:val="1"/>
    <w:next w:val="1"/>
    <w:qFormat/>
    <w:uiPriority w:val="99"/>
    <w:pPr>
      <w:ind w:left="1680"/>
    </w:pPr>
    <w:rPr>
      <w:rFonts w:ascii="Times New Roman" w:hAnsi="Times New Roman"/>
    </w:rPr>
  </w:style>
  <w:style w:type="paragraph" w:styleId="8">
    <w:name w:val="footer"/>
    <w:basedOn w:val="1"/>
    <w:next w:val="7"/>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adjustRightInd w:val="0"/>
      <w:spacing w:line="400" w:lineRule="exact"/>
      <w:ind w:firstLine="200" w:firstLineChars="200"/>
      <w:jc w:val="left"/>
    </w:pPr>
    <w:rPr>
      <w:b/>
      <w:bCs/>
      <w:caps/>
      <w:sz w:val="24"/>
      <w:szCs w:val="20"/>
    </w:rPr>
  </w:style>
  <w:style w:type="paragraph" w:styleId="11">
    <w:name w:val="toc 2"/>
    <w:basedOn w:val="1"/>
    <w:next w:val="1"/>
    <w:qFormat/>
    <w:uiPriority w:val="39"/>
    <w:pPr>
      <w:tabs>
        <w:tab w:val="left" w:pos="1239"/>
        <w:tab w:val="right" w:leader="dot" w:pos="8296"/>
      </w:tabs>
      <w:adjustRightInd w:val="0"/>
      <w:ind w:left="420" w:leftChars="200" w:firstLine="357" w:firstLineChars="170"/>
    </w:p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4">
    <w:name w:val="page number"/>
    <w:basedOn w:val="13"/>
    <w:qFormat/>
    <w:uiPriority w:val="0"/>
    <w:rPr>
      <w:rFonts w:cs="Times New Roman"/>
    </w:rPr>
  </w:style>
  <w:style w:type="paragraph" w:customStyle="1" w:styleId="16">
    <w:name w:val="xl27"/>
    <w:basedOn w:val="1"/>
    <w:qFormat/>
    <w:uiPriority w:val="0"/>
    <w:pPr>
      <w:widowControl/>
      <w:pBdr>
        <w:bottom w:val="single" w:color="auto" w:sz="12" w:space="0"/>
      </w:pBdr>
      <w:spacing w:before="100" w:beforeLines="0" w:after="100" w:afterLines="0"/>
      <w:jc w:val="center"/>
    </w:pPr>
    <w:rPr>
      <w:rFonts w:ascii="宋体" w:hAnsi="宋体"/>
      <w:kern w:val="0"/>
      <w:szCs w:val="20"/>
    </w:rPr>
  </w:style>
  <w:style w:type="paragraph" w:customStyle="1" w:styleId="17">
    <w:name w:val="标题9"/>
    <w:basedOn w:val="1"/>
    <w:qFormat/>
    <w:uiPriority w:val="0"/>
    <w:pPr>
      <w:wordWrap w:val="0"/>
      <w:spacing w:line="360" w:lineRule="auto"/>
      <w:jc w:val="center"/>
      <w:outlineLvl w:val="8"/>
    </w:pPr>
    <w:rPr>
      <w:rFonts w:eastAsia="黑体"/>
      <w:b/>
      <w:color w:val="000000"/>
      <w:spacing w:val="8"/>
      <w:szCs w:val="21"/>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9">
    <w:name w:val="标题 1 Char"/>
    <w:link w:val="4"/>
    <w:qFormat/>
    <w:uiPriority w:val="0"/>
    <w:rPr>
      <w:rFonts w:eastAsia="仿宋_GB2312"/>
      <w:b/>
      <w:bCs/>
      <w:kern w:val="44"/>
      <w:sz w:val="44"/>
      <w:szCs w:val="44"/>
    </w:rPr>
  </w:style>
  <w:style w:type="paragraph" w:customStyle="1" w:styleId="20">
    <w:name w:val="样式 小四 行距: 1.5 倍行距"/>
    <w:basedOn w:val="1"/>
    <w:qFormat/>
    <w:uiPriority w:val="0"/>
    <w:pPr>
      <w:spacing w:line="480" w:lineRule="exact"/>
      <w:ind w:firstLine="480" w:firstLineChars="200"/>
    </w:pPr>
    <w:rPr>
      <w:rFonts w:cs="宋体"/>
      <w:sz w:val="24"/>
      <w:szCs w:val="20"/>
    </w:rPr>
  </w:style>
  <w:style w:type="paragraph" w:customStyle="1" w:styleId="21">
    <w:name w:val="WPSOffice手动目录 1"/>
    <w:qFormat/>
    <w:uiPriority w:val="0"/>
    <w:pPr>
      <w:ind w:leftChars="0"/>
    </w:pPr>
    <w:rPr>
      <w:rFonts w:ascii="Times New Roman" w:hAnsi="Times New Roman" w:eastAsia="宋体" w:cs="Times New Roman"/>
      <w:sz w:val="20"/>
      <w:szCs w:val="20"/>
    </w:rPr>
  </w:style>
  <w:style w:type="paragraph" w:customStyle="1" w:styleId="22">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c6eb3b4-1ba1-4b02-b215-20ee9023a962}"/>
        <w:style w:val=""/>
        <w:category>
          <w:name w:val="常规"/>
          <w:gallery w:val="placeholder"/>
        </w:category>
        <w:types>
          <w:type w:val="bbPlcHdr"/>
        </w:types>
        <w:behaviors>
          <w:behavior w:val="content"/>
        </w:behaviors>
        <w:description w:val=""/>
        <w:guid w:val="{ec6eb3b4-1ba1-4b02-b215-20ee9023a962}"/>
      </w:docPartPr>
      <w:docPartBody>
        <w:p>
          <w:r>
            <w:rPr>
              <w:color w:val="808080"/>
            </w:rPr>
            <w:t>单击此处输入文字。</w:t>
          </w:r>
        </w:p>
      </w:docPartBody>
    </w:docPart>
    <w:docPart>
      <w:docPartPr>
        <w:name w:val="{5668a5a6-40ae-43a5-89f6-7386c2cad30e}"/>
        <w:style w:val=""/>
        <w:category>
          <w:name w:val="常规"/>
          <w:gallery w:val="placeholder"/>
        </w:category>
        <w:types>
          <w:type w:val="bbPlcHdr"/>
        </w:types>
        <w:behaviors>
          <w:behavior w:val="content"/>
        </w:behaviors>
        <w:description w:val=""/>
        <w:guid w:val="{5668a5a6-40ae-43a5-89f6-7386c2cad30e}"/>
      </w:docPartPr>
      <w:docPartBody>
        <w:p>
          <w:r>
            <w:rPr>
              <w:color w:val="808080"/>
            </w:rPr>
            <w:t>单击此处输入文字。</w:t>
          </w:r>
        </w:p>
      </w:docPartBody>
    </w:docPart>
    <w:docPart>
      <w:docPartPr>
        <w:name w:val="{934b2404-e2b6-471b-8ede-dae9971e7abc}"/>
        <w:style w:val=""/>
        <w:category>
          <w:name w:val="常规"/>
          <w:gallery w:val="placeholder"/>
        </w:category>
        <w:types>
          <w:type w:val="bbPlcHdr"/>
        </w:types>
        <w:behaviors>
          <w:behavior w:val="content"/>
        </w:behaviors>
        <w:description w:val=""/>
        <w:guid w:val="{934b2404-e2b6-471b-8ede-dae9971e7abc}"/>
      </w:docPartPr>
      <w:docPartBody>
        <w:p>
          <w:r>
            <w:rPr>
              <w:color w:val="808080"/>
            </w:rPr>
            <w:t>单击此处输入文字。</w:t>
          </w:r>
        </w:p>
      </w:docPartBody>
    </w:docPart>
    <w:docPart>
      <w:docPartPr>
        <w:name w:val="{cee33df2-7b06-44a5-af19-66a41fc614c0}"/>
        <w:style w:val=""/>
        <w:category>
          <w:name w:val="常规"/>
          <w:gallery w:val="placeholder"/>
        </w:category>
        <w:types>
          <w:type w:val="bbPlcHdr"/>
        </w:types>
        <w:behaviors>
          <w:behavior w:val="content"/>
        </w:behaviors>
        <w:description w:val=""/>
        <w:guid w:val="{cee33df2-7b06-44a5-af19-66a41fc614c0}"/>
      </w:docPartPr>
      <w:docPartBody>
        <w:p>
          <w:r>
            <w:rPr>
              <w:color w:val="808080"/>
            </w:rPr>
            <w:t>单击此处输入文字。</w:t>
          </w:r>
        </w:p>
      </w:docPartBody>
    </w:docPart>
    <w:docPart>
      <w:docPartPr>
        <w:name w:val="{600fbd03-14a7-49de-8939-77b46b87844d}"/>
        <w:style w:val=""/>
        <w:category>
          <w:name w:val="常规"/>
          <w:gallery w:val="placeholder"/>
        </w:category>
        <w:types>
          <w:type w:val="bbPlcHdr"/>
        </w:types>
        <w:behaviors>
          <w:behavior w:val="content"/>
        </w:behaviors>
        <w:description w:val=""/>
        <w:guid w:val="{600fbd03-14a7-49de-8939-77b46b87844d}"/>
      </w:docPartPr>
      <w:docPartBody>
        <w:p>
          <w:r>
            <w:rPr>
              <w:color w:val="808080"/>
            </w:rPr>
            <w:t>单击此处输入文字。</w:t>
          </w:r>
        </w:p>
      </w:docPartBody>
    </w:docPart>
    <w:docPart>
      <w:docPartPr>
        <w:name w:val="{9932df1b-6595-4664-8609-27e8f2e05d79}"/>
        <w:style w:val=""/>
        <w:category>
          <w:name w:val="常规"/>
          <w:gallery w:val="placeholder"/>
        </w:category>
        <w:types>
          <w:type w:val="bbPlcHdr"/>
        </w:types>
        <w:behaviors>
          <w:behavior w:val="content"/>
        </w:behaviors>
        <w:description w:val=""/>
        <w:guid w:val="{9932df1b-6595-4664-8609-27e8f2e05d79}"/>
      </w:docPartPr>
      <w:docPartBody>
        <w:p>
          <w:r>
            <w:rPr>
              <w:color w:val="808080"/>
            </w:rPr>
            <w:t>单击此处输入文字。</w:t>
          </w:r>
        </w:p>
      </w:docPartBody>
    </w:docPart>
    <w:docPart>
      <w:docPartPr>
        <w:name w:val="{08ff9c31-9b44-491e-a782-fcb40cae1e16}"/>
        <w:style w:val=""/>
        <w:category>
          <w:name w:val="常规"/>
          <w:gallery w:val="placeholder"/>
        </w:category>
        <w:types>
          <w:type w:val="bbPlcHdr"/>
        </w:types>
        <w:behaviors>
          <w:behavior w:val="content"/>
        </w:behaviors>
        <w:description w:val=""/>
        <w:guid w:val="{08ff9c31-9b44-491e-a782-fcb40cae1e16}"/>
      </w:docPartPr>
      <w:docPartBody>
        <w:p>
          <w:r>
            <w:rPr>
              <w:color w:val="808080"/>
            </w:rPr>
            <w:t>单击此处输入文字。</w:t>
          </w:r>
        </w:p>
      </w:docPartBody>
    </w:docPart>
    <w:docPart>
      <w:docPartPr>
        <w:name w:val="{d034def2-fde2-4701-ae1c-7bb6c8d66872}"/>
        <w:style w:val=""/>
        <w:category>
          <w:name w:val="常规"/>
          <w:gallery w:val="placeholder"/>
        </w:category>
        <w:types>
          <w:type w:val="bbPlcHdr"/>
        </w:types>
        <w:behaviors>
          <w:behavior w:val="content"/>
        </w:behaviors>
        <w:description w:val=""/>
        <w:guid w:val="{d034def2-fde2-4701-ae1c-7bb6c8d66872}"/>
      </w:docPartPr>
      <w:docPartBody>
        <w:p>
          <w:r>
            <w:rPr>
              <w:color w:val="808080"/>
            </w:rPr>
            <w:t>单击此处输入文字。</w:t>
          </w:r>
        </w:p>
      </w:docPartBody>
    </w:docPart>
    <w:docPart>
      <w:docPartPr>
        <w:name w:val="{82ea3b52-f490-4684-8ec2-69d9c8e1efd6}"/>
        <w:style w:val=""/>
        <w:category>
          <w:name w:val="常规"/>
          <w:gallery w:val="placeholder"/>
        </w:category>
        <w:types>
          <w:type w:val="bbPlcHdr"/>
        </w:types>
        <w:behaviors>
          <w:behavior w:val="content"/>
        </w:behaviors>
        <w:description w:val=""/>
        <w:guid w:val="{82ea3b52-f490-4684-8ec2-69d9c8e1efd6}"/>
      </w:docPartPr>
      <w:docPartBody>
        <w:p>
          <w:r>
            <w:rPr>
              <w:color w:val="808080"/>
            </w:rPr>
            <w:t>单击此处输入文字。</w:t>
          </w:r>
        </w:p>
      </w:docPartBody>
    </w:docPart>
    <w:docPart>
      <w:docPartPr>
        <w:name w:val="{b253f6b0-2799-4cc2-bedf-18651af6becc}"/>
        <w:style w:val=""/>
        <w:category>
          <w:name w:val="常规"/>
          <w:gallery w:val="placeholder"/>
        </w:category>
        <w:types>
          <w:type w:val="bbPlcHdr"/>
        </w:types>
        <w:behaviors>
          <w:behavior w:val="content"/>
        </w:behaviors>
        <w:description w:val=""/>
        <w:guid w:val="{b253f6b0-2799-4cc2-bedf-18651af6becc}"/>
      </w:docPartPr>
      <w:docPartBody>
        <w:p>
          <w:r>
            <w:rPr>
              <w:color w:val="808080"/>
            </w:rPr>
            <w:t>单击此处输入文字。</w:t>
          </w:r>
        </w:p>
      </w:docPartBody>
    </w:docPart>
    <w:docPart>
      <w:docPartPr>
        <w:name w:val="{44de607f-f088-4e83-98f1-d84d4423dfc9}"/>
        <w:style w:val=""/>
        <w:category>
          <w:name w:val="常规"/>
          <w:gallery w:val="placeholder"/>
        </w:category>
        <w:types>
          <w:type w:val="bbPlcHdr"/>
        </w:types>
        <w:behaviors>
          <w:behavior w:val="content"/>
        </w:behaviors>
        <w:description w:val=""/>
        <w:guid w:val="{44de607f-f088-4e83-98f1-d84d4423dfc9}"/>
      </w:docPartPr>
      <w:docPartBody>
        <w:p>
          <w:r>
            <w:rPr>
              <w:color w:val="808080"/>
            </w:rPr>
            <w:t>单击此处输入文字。</w:t>
          </w:r>
        </w:p>
      </w:docPartBody>
    </w:docPart>
    <w:docPart>
      <w:docPartPr>
        <w:name w:val="{3e19efec-2427-4c6b-9627-6845e9d1a3cc}"/>
        <w:style w:val=""/>
        <w:category>
          <w:name w:val="常规"/>
          <w:gallery w:val="placeholder"/>
        </w:category>
        <w:types>
          <w:type w:val="bbPlcHdr"/>
        </w:types>
        <w:behaviors>
          <w:behavior w:val="content"/>
        </w:behaviors>
        <w:description w:val=""/>
        <w:guid w:val="{3e19efec-2427-4c6b-9627-6845e9d1a3cc}"/>
      </w:docPartPr>
      <w:docPartBody>
        <w:p>
          <w:r>
            <w:rPr>
              <w:color w:val="808080"/>
            </w:rPr>
            <w:t>单击此处输入文字。</w:t>
          </w:r>
        </w:p>
      </w:docPartBody>
    </w:docPart>
    <w:docPart>
      <w:docPartPr>
        <w:name w:val="{c8dd566f-e090-4d05-afff-502d2142f356}"/>
        <w:style w:val=""/>
        <w:category>
          <w:name w:val="常规"/>
          <w:gallery w:val="placeholder"/>
        </w:category>
        <w:types>
          <w:type w:val="bbPlcHdr"/>
        </w:types>
        <w:behaviors>
          <w:behavior w:val="content"/>
        </w:behaviors>
        <w:description w:val=""/>
        <w:guid w:val="{c8dd566f-e090-4d05-afff-502d2142f356}"/>
      </w:docPartPr>
      <w:docPartBody>
        <w:p>
          <w:r>
            <w:rPr>
              <w:color w:val="808080"/>
            </w:rPr>
            <w:t>单击此处输入文字。</w:t>
          </w:r>
        </w:p>
      </w:docPartBody>
    </w:docPart>
    <w:docPart>
      <w:docPartPr>
        <w:name w:val="{f64940ce-0bd9-4d72-8b17-7a9b3f3b205d}"/>
        <w:style w:val=""/>
        <w:category>
          <w:name w:val="常规"/>
          <w:gallery w:val="placeholder"/>
        </w:category>
        <w:types>
          <w:type w:val="bbPlcHdr"/>
        </w:types>
        <w:behaviors>
          <w:behavior w:val="content"/>
        </w:behaviors>
        <w:description w:val=""/>
        <w:guid w:val="{f64940ce-0bd9-4d72-8b17-7a9b3f3b205d}"/>
      </w:docPartPr>
      <w:docPartBody>
        <w:p>
          <w:r>
            <w:rPr>
              <w:color w:val="808080"/>
            </w:rPr>
            <w:t>单击此处输入文字。</w:t>
          </w:r>
        </w:p>
      </w:docPartBody>
    </w:docPart>
    <w:docPart>
      <w:docPartPr>
        <w:name w:val="{b31bc873-cb81-4095-97e9-7e0177ad623b}"/>
        <w:style w:val=""/>
        <w:category>
          <w:name w:val="常规"/>
          <w:gallery w:val="placeholder"/>
        </w:category>
        <w:types>
          <w:type w:val="bbPlcHdr"/>
        </w:types>
        <w:behaviors>
          <w:behavior w:val="content"/>
        </w:behaviors>
        <w:description w:val=""/>
        <w:guid w:val="{b31bc873-cb81-4095-97e9-7e0177ad623b}"/>
      </w:docPartPr>
      <w:docPartBody>
        <w:p>
          <w:r>
            <w:rPr>
              <w:color w:val="808080"/>
            </w:rPr>
            <w:t>单击此处输入文字。</w:t>
          </w:r>
        </w:p>
      </w:docPartBody>
    </w:docPart>
    <w:docPart>
      <w:docPartPr>
        <w:name w:val="{c404c79d-c2c4-4ac5-80ed-4824662fbb10}"/>
        <w:style w:val=""/>
        <w:category>
          <w:name w:val="常规"/>
          <w:gallery w:val="placeholder"/>
        </w:category>
        <w:types>
          <w:type w:val="bbPlcHdr"/>
        </w:types>
        <w:behaviors>
          <w:behavior w:val="content"/>
        </w:behaviors>
        <w:description w:val=""/>
        <w:guid w:val="{c404c79d-c2c4-4ac5-80ed-4824662fbb10}"/>
      </w:docPartPr>
      <w:docPartBody>
        <w:p>
          <w:r>
            <w:rPr>
              <w:color w:val="808080"/>
            </w:rPr>
            <w:t>单击此处输入文字。</w:t>
          </w:r>
        </w:p>
      </w:docPartBody>
    </w:docPart>
    <w:docPart>
      <w:docPartPr>
        <w:name w:val="{f1258f1d-fd37-4c6e-849e-39e7d1a3de9c}"/>
        <w:style w:val=""/>
        <w:category>
          <w:name w:val="常规"/>
          <w:gallery w:val="placeholder"/>
        </w:category>
        <w:types>
          <w:type w:val="bbPlcHdr"/>
        </w:types>
        <w:behaviors>
          <w:behavior w:val="content"/>
        </w:behaviors>
        <w:description w:val=""/>
        <w:guid w:val="{f1258f1d-fd37-4c6e-849e-39e7d1a3de9c}"/>
      </w:docPartPr>
      <w:docPartBody>
        <w:p>
          <w:r>
            <w:rPr>
              <w:color w:val="808080"/>
            </w:rPr>
            <w:t>单击此处输入文字。</w:t>
          </w:r>
        </w:p>
      </w:docPartBody>
    </w:docPart>
    <w:docPart>
      <w:docPartPr>
        <w:name w:val="{cbf4acd0-55e1-4481-a600-dae1586edadb}"/>
        <w:style w:val=""/>
        <w:category>
          <w:name w:val="常规"/>
          <w:gallery w:val="placeholder"/>
        </w:category>
        <w:types>
          <w:type w:val="bbPlcHdr"/>
        </w:types>
        <w:behaviors>
          <w:behavior w:val="content"/>
        </w:behaviors>
        <w:description w:val=""/>
        <w:guid w:val="{cbf4acd0-55e1-4481-a600-dae1586edadb}"/>
      </w:docPartPr>
      <w:docPartBody>
        <w:p>
          <w:r>
            <w:rPr>
              <w:color w:val="808080"/>
            </w:rPr>
            <w:t>单击此处输入文字。</w:t>
          </w:r>
        </w:p>
      </w:docPartBody>
    </w:docPart>
    <w:docPart>
      <w:docPartPr>
        <w:name w:val="{4635ba37-734e-481b-bd0d-e88a08c79782}"/>
        <w:style w:val=""/>
        <w:category>
          <w:name w:val="常规"/>
          <w:gallery w:val="placeholder"/>
        </w:category>
        <w:types>
          <w:type w:val="bbPlcHdr"/>
        </w:types>
        <w:behaviors>
          <w:behavior w:val="content"/>
        </w:behaviors>
        <w:description w:val=""/>
        <w:guid w:val="{4635ba37-734e-481b-bd0d-e88a08c79782}"/>
      </w:docPartPr>
      <w:docPartBody>
        <w:p>
          <w:r>
            <w:rPr>
              <w:color w:val="808080"/>
            </w:rPr>
            <w:t>单击此处输入文字。</w:t>
          </w:r>
        </w:p>
      </w:docPartBody>
    </w:docPart>
    <w:docPart>
      <w:docPartPr>
        <w:name w:val="{9c747264-0e65-4757-a3bb-88bd2feb1c08}"/>
        <w:style w:val=""/>
        <w:category>
          <w:name w:val="常规"/>
          <w:gallery w:val="placeholder"/>
        </w:category>
        <w:types>
          <w:type w:val="bbPlcHdr"/>
        </w:types>
        <w:behaviors>
          <w:behavior w:val="content"/>
        </w:behaviors>
        <w:description w:val=""/>
        <w:guid w:val="{9c747264-0e65-4757-a3bb-88bd2feb1c08}"/>
      </w:docPartPr>
      <w:docPartBody>
        <w:p>
          <w:r>
            <w:rPr>
              <w:color w:val="808080"/>
            </w:rPr>
            <w:t>单击此处输入文字。</w:t>
          </w:r>
        </w:p>
      </w:docPartBody>
    </w:docPart>
    <w:docPart>
      <w:docPartPr>
        <w:name w:val="{b4d9c55e-f65a-4fcd-a480-c49c58d1516f}"/>
        <w:style w:val=""/>
        <w:category>
          <w:name w:val="常规"/>
          <w:gallery w:val="placeholder"/>
        </w:category>
        <w:types>
          <w:type w:val="bbPlcHdr"/>
        </w:types>
        <w:behaviors>
          <w:behavior w:val="content"/>
        </w:behaviors>
        <w:description w:val=""/>
        <w:guid w:val="{b4d9c55e-f65a-4fcd-a480-c49c58d1516f}"/>
      </w:docPartPr>
      <w:docPartBody>
        <w:p>
          <w:r>
            <w:rPr>
              <w:color w:val="808080"/>
            </w:rPr>
            <w:t>单击此处输入文字。</w:t>
          </w:r>
        </w:p>
      </w:docPartBody>
    </w:docPart>
    <w:docPart>
      <w:docPartPr>
        <w:name w:val="{3f5d6a5f-6327-4ba9-8060-29144083a0ab}"/>
        <w:style w:val=""/>
        <w:category>
          <w:name w:val="常规"/>
          <w:gallery w:val="placeholder"/>
        </w:category>
        <w:types>
          <w:type w:val="bbPlcHdr"/>
        </w:types>
        <w:behaviors>
          <w:behavior w:val="content"/>
        </w:behaviors>
        <w:description w:val=""/>
        <w:guid w:val="{3f5d6a5f-6327-4ba9-8060-29144083a0ab}"/>
      </w:docPartPr>
      <w:docPartBody>
        <w:p>
          <w:r>
            <w:rPr>
              <w:color w:val="808080"/>
            </w:rPr>
            <w:t>单击此处输入文字。</w:t>
          </w:r>
        </w:p>
      </w:docPartBody>
    </w:docPart>
    <w:docPart>
      <w:docPartPr>
        <w:name w:val="{7eb2dadf-ba21-42d3-b044-c38a41c039a5}"/>
        <w:style w:val=""/>
        <w:category>
          <w:name w:val="常规"/>
          <w:gallery w:val="placeholder"/>
        </w:category>
        <w:types>
          <w:type w:val="bbPlcHdr"/>
        </w:types>
        <w:behaviors>
          <w:behavior w:val="content"/>
        </w:behaviors>
        <w:description w:val=""/>
        <w:guid w:val="{7eb2dadf-ba21-42d3-b044-c38a41c039a5}"/>
      </w:docPartPr>
      <w:docPartBody>
        <w:p>
          <w:r>
            <w:rPr>
              <w:color w:val="808080"/>
            </w:rPr>
            <w:t>单击此处输入文字。</w:t>
          </w:r>
        </w:p>
      </w:docPartBody>
    </w:docPart>
    <w:docPart>
      <w:docPartPr>
        <w:name w:val="{1d59570f-800f-4873-a119-389009874a20}"/>
        <w:style w:val=""/>
        <w:category>
          <w:name w:val="常规"/>
          <w:gallery w:val="placeholder"/>
        </w:category>
        <w:types>
          <w:type w:val="bbPlcHdr"/>
        </w:types>
        <w:behaviors>
          <w:behavior w:val="content"/>
        </w:behaviors>
        <w:description w:val=""/>
        <w:guid w:val="{1d59570f-800f-4873-a119-389009874a20}"/>
      </w:docPartPr>
      <w:docPartBody>
        <w:p>
          <w:r>
            <w:rPr>
              <w:color w:val="808080"/>
            </w:rPr>
            <w:t>单击此处输入文字。</w:t>
          </w:r>
        </w:p>
      </w:docPartBody>
    </w:docPart>
    <w:docPart>
      <w:docPartPr>
        <w:name w:val="{92557801-73b2-44fd-814b-3f78a1842853}"/>
        <w:style w:val=""/>
        <w:category>
          <w:name w:val="常规"/>
          <w:gallery w:val="placeholder"/>
        </w:category>
        <w:types>
          <w:type w:val="bbPlcHdr"/>
        </w:types>
        <w:behaviors>
          <w:behavior w:val="content"/>
        </w:behaviors>
        <w:description w:val=""/>
        <w:guid w:val="{92557801-73b2-44fd-814b-3f78a1842853}"/>
      </w:docPartPr>
      <w:docPartBody>
        <w:p>
          <w:r>
            <w:rPr>
              <w:color w:val="808080"/>
            </w:rPr>
            <w:t>单击此处输入文字。</w:t>
          </w:r>
        </w:p>
      </w:docPartBody>
    </w:docPart>
    <w:docPart>
      <w:docPartPr>
        <w:name w:val="{004a98e0-6df3-479f-a636-dd2198dddc54}"/>
        <w:style w:val=""/>
        <w:category>
          <w:name w:val="常规"/>
          <w:gallery w:val="placeholder"/>
        </w:category>
        <w:types>
          <w:type w:val="bbPlcHdr"/>
        </w:types>
        <w:behaviors>
          <w:behavior w:val="content"/>
        </w:behaviors>
        <w:description w:val=""/>
        <w:guid w:val="{004a98e0-6df3-479f-a636-dd2198dddc54}"/>
      </w:docPartPr>
      <w:docPartBody>
        <w:p>
          <w:r>
            <w:rPr>
              <w:color w:val="808080"/>
            </w:rPr>
            <w:t>单击此处输入文字。</w:t>
          </w:r>
        </w:p>
      </w:docPartBody>
    </w:docPart>
    <w:docPart>
      <w:docPartPr>
        <w:name w:val="{613c6b29-17e9-4ab2-9f7b-247b29da911e}"/>
        <w:style w:val=""/>
        <w:category>
          <w:name w:val="常规"/>
          <w:gallery w:val="placeholder"/>
        </w:category>
        <w:types>
          <w:type w:val="bbPlcHdr"/>
        </w:types>
        <w:behaviors>
          <w:behavior w:val="content"/>
        </w:behaviors>
        <w:description w:val=""/>
        <w:guid w:val="{613c6b29-17e9-4ab2-9f7b-247b29da911e}"/>
      </w:docPartPr>
      <w:docPartBody>
        <w:p>
          <w:r>
            <w:rPr>
              <w:color w:val="808080"/>
            </w:rPr>
            <w:t>单击此处输入文字。</w:t>
          </w:r>
        </w:p>
      </w:docPartBody>
    </w:docPart>
    <w:docPart>
      <w:docPartPr>
        <w:name w:val="{c87777c9-a3c6-4433-accc-be038ec5bfb1}"/>
        <w:style w:val=""/>
        <w:category>
          <w:name w:val="常规"/>
          <w:gallery w:val="placeholder"/>
        </w:category>
        <w:types>
          <w:type w:val="bbPlcHdr"/>
        </w:types>
        <w:behaviors>
          <w:behavior w:val="content"/>
        </w:behaviors>
        <w:description w:val=""/>
        <w:guid w:val="{c87777c9-a3c6-4433-accc-be038ec5bfb1}"/>
      </w:docPartPr>
      <w:docPartBody>
        <w:p>
          <w:r>
            <w:rPr>
              <w:color w:val="808080"/>
            </w:rPr>
            <w:t>单击此处输入文字。</w:t>
          </w:r>
        </w:p>
      </w:docPartBody>
    </w:docPart>
    <w:docPart>
      <w:docPartPr>
        <w:name w:val="{b1a8056a-bfab-44a3-b2a9-a4d30959977f}"/>
        <w:style w:val=""/>
        <w:category>
          <w:name w:val="常规"/>
          <w:gallery w:val="placeholder"/>
        </w:category>
        <w:types>
          <w:type w:val="bbPlcHdr"/>
        </w:types>
        <w:behaviors>
          <w:behavior w:val="content"/>
        </w:behaviors>
        <w:description w:val=""/>
        <w:guid w:val="{b1a8056a-bfab-44a3-b2a9-a4d30959977f}"/>
      </w:docPartPr>
      <w:docPartBody>
        <w:p>
          <w:r>
            <w:rPr>
              <w:color w:val="808080"/>
            </w:rPr>
            <w:t>单击此处输入文字。</w:t>
          </w:r>
        </w:p>
      </w:docPartBody>
    </w:docPart>
    <w:docPart>
      <w:docPartPr>
        <w:name w:val="{632b0ce6-519c-4b99-b79e-e9585864ab1e}"/>
        <w:style w:val=""/>
        <w:category>
          <w:name w:val="常规"/>
          <w:gallery w:val="placeholder"/>
        </w:category>
        <w:types>
          <w:type w:val="bbPlcHdr"/>
        </w:types>
        <w:behaviors>
          <w:behavior w:val="content"/>
        </w:behaviors>
        <w:description w:val=""/>
        <w:guid w:val="{632b0ce6-519c-4b99-b79e-e9585864ab1e}"/>
      </w:docPartPr>
      <w:docPartBody>
        <w:p>
          <w:r>
            <w:rPr>
              <w:color w:val="808080"/>
            </w:rPr>
            <w:t>单击此处输入文字。</w:t>
          </w:r>
        </w:p>
      </w:docPartBody>
    </w:docPart>
    <w:docPart>
      <w:docPartPr>
        <w:name w:val="{c919e6cc-d720-4dc0-85b4-2944b110ccda}"/>
        <w:style w:val=""/>
        <w:category>
          <w:name w:val="常规"/>
          <w:gallery w:val="placeholder"/>
        </w:category>
        <w:types>
          <w:type w:val="bbPlcHdr"/>
        </w:types>
        <w:behaviors>
          <w:behavior w:val="content"/>
        </w:behaviors>
        <w:description w:val=""/>
        <w:guid w:val="{c919e6cc-d720-4dc0-85b4-2944b110ccda}"/>
      </w:docPartPr>
      <w:docPartBody>
        <w:p>
          <w:r>
            <w:rPr>
              <w:color w:val="808080"/>
            </w:rPr>
            <w:t>单击此处输入文字。</w:t>
          </w:r>
        </w:p>
      </w:docPartBody>
    </w:docPart>
    <w:docPart>
      <w:docPartPr>
        <w:name w:val="{57c716a0-98e2-4ae4-86b7-383723a37e9f}"/>
        <w:style w:val=""/>
        <w:category>
          <w:name w:val="常规"/>
          <w:gallery w:val="placeholder"/>
        </w:category>
        <w:types>
          <w:type w:val="bbPlcHdr"/>
        </w:types>
        <w:behaviors>
          <w:behavior w:val="content"/>
        </w:behaviors>
        <w:description w:val=""/>
        <w:guid w:val="{57c716a0-98e2-4ae4-86b7-383723a37e9f}"/>
      </w:docPartPr>
      <w:docPartBody>
        <w:p>
          <w:r>
            <w:rPr>
              <w:color w:val="808080"/>
            </w:rPr>
            <w:t>单击此处输入文字。</w:t>
          </w:r>
        </w:p>
      </w:docPartBody>
    </w:docPart>
    <w:docPart>
      <w:docPartPr>
        <w:name w:val="{9bcc4fd3-dbbd-4fdb-be9a-22778ce84c14}"/>
        <w:style w:val=""/>
        <w:category>
          <w:name w:val="常规"/>
          <w:gallery w:val="placeholder"/>
        </w:category>
        <w:types>
          <w:type w:val="bbPlcHdr"/>
        </w:types>
        <w:behaviors>
          <w:behavior w:val="content"/>
        </w:behaviors>
        <w:description w:val=""/>
        <w:guid w:val="{9bcc4fd3-dbbd-4fdb-be9a-22778ce84c14}"/>
      </w:docPartPr>
      <w:docPartBody>
        <w:p>
          <w:r>
            <w:rPr>
              <w:color w:val="808080"/>
            </w:rPr>
            <w:t>单击此处输入文字。</w:t>
          </w:r>
        </w:p>
      </w:docPartBody>
    </w:docPart>
    <w:docPart>
      <w:docPartPr>
        <w:name w:val="{acd5dcdb-5277-435a-abe4-8c4f27587739}"/>
        <w:style w:val=""/>
        <w:category>
          <w:name w:val="常规"/>
          <w:gallery w:val="placeholder"/>
        </w:category>
        <w:types>
          <w:type w:val="bbPlcHdr"/>
        </w:types>
        <w:behaviors>
          <w:behavior w:val="content"/>
        </w:behaviors>
        <w:description w:val=""/>
        <w:guid w:val="{acd5dcdb-5277-435a-abe4-8c4f27587739}"/>
      </w:docPartPr>
      <w:docPartBody>
        <w:p>
          <w:r>
            <w:rPr>
              <w:color w:val="808080"/>
            </w:rPr>
            <w:t>单击此处输入文字。</w:t>
          </w:r>
        </w:p>
      </w:docPartBody>
    </w:docPart>
    <w:docPart>
      <w:docPartPr>
        <w:name w:val="{d0637153-371b-4dd1-b802-b7d1d302edd0}"/>
        <w:style w:val=""/>
        <w:category>
          <w:name w:val="常规"/>
          <w:gallery w:val="placeholder"/>
        </w:category>
        <w:types>
          <w:type w:val="bbPlcHdr"/>
        </w:types>
        <w:behaviors>
          <w:behavior w:val="content"/>
        </w:behaviors>
        <w:description w:val=""/>
        <w:guid w:val="{d0637153-371b-4dd1-b802-b7d1d302edd0}"/>
      </w:docPartPr>
      <w:docPartBody>
        <w:p>
          <w:r>
            <w:rPr>
              <w:color w:val="808080"/>
            </w:rPr>
            <w:t>单击此处输入文字。</w:t>
          </w:r>
        </w:p>
      </w:docPartBody>
    </w:docPart>
    <w:docPart>
      <w:docPartPr>
        <w:name w:val="{c2651723-1b1f-4d38-ab29-b3dfdc1aec4b}"/>
        <w:style w:val=""/>
        <w:category>
          <w:name w:val="常规"/>
          <w:gallery w:val="placeholder"/>
        </w:category>
        <w:types>
          <w:type w:val="bbPlcHdr"/>
        </w:types>
        <w:behaviors>
          <w:behavior w:val="content"/>
        </w:behaviors>
        <w:description w:val=""/>
        <w:guid w:val="{c2651723-1b1f-4d38-ab29-b3dfdc1aec4b}"/>
      </w:docPartPr>
      <w:docPartBody>
        <w:p>
          <w:r>
            <w:rPr>
              <w:color w:val="808080"/>
            </w:rPr>
            <w:t>单击此处输入文字。</w:t>
          </w:r>
        </w:p>
      </w:docPartBody>
    </w:docPart>
    <w:docPart>
      <w:docPartPr>
        <w:name w:val="{394aeee6-6d51-40aa-af9d-0e75ee17cc2a}"/>
        <w:style w:val=""/>
        <w:category>
          <w:name w:val="常规"/>
          <w:gallery w:val="placeholder"/>
        </w:category>
        <w:types>
          <w:type w:val="bbPlcHdr"/>
        </w:types>
        <w:behaviors>
          <w:behavior w:val="content"/>
        </w:behaviors>
        <w:description w:val=""/>
        <w:guid w:val="{394aeee6-6d51-40aa-af9d-0e75ee17cc2a}"/>
      </w:docPartPr>
      <w:docPartBody>
        <w:p>
          <w:r>
            <w:rPr>
              <w:color w:val="808080"/>
            </w:rPr>
            <w:t>单击此处输入文字。</w:t>
          </w:r>
        </w:p>
      </w:docPartBody>
    </w:docPart>
    <w:docPart>
      <w:docPartPr>
        <w:name w:val="{7196d5b4-1310-49c7-b985-549c72d4661b}"/>
        <w:style w:val=""/>
        <w:category>
          <w:name w:val="常规"/>
          <w:gallery w:val="placeholder"/>
        </w:category>
        <w:types>
          <w:type w:val="bbPlcHdr"/>
        </w:types>
        <w:behaviors>
          <w:behavior w:val="content"/>
        </w:behaviors>
        <w:description w:val=""/>
        <w:guid w:val="{7196d5b4-1310-49c7-b985-549c72d4661b}"/>
      </w:docPartPr>
      <w:docPartBody>
        <w:p>
          <w:r>
            <w:rPr>
              <w:color w:val="808080"/>
            </w:rPr>
            <w:t>单击此处输入文字。</w:t>
          </w:r>
        </w:p>
      </w:docPartBody>
    </w:docPart>
    <w:docPart>
      <w:docPartPr>
        <w:name w:val="{b11ba4db-f40d-4483-a75b-e34ea26343cd}"/>
        <w:style w:val=""/>
        <w:category>
          <w:name w:val="常规"/>
          <w:gallery w:val="placeholder"/>
        </w:category>
        <w:types>
          <w:type w:val="bbPlcHdr"/>
        </w:types>
        <w:behaviors>
          <w:behavior w:val="content"/>
        </w:behaviors>
        <w:description w:val=""/>
        <w:guid w:val="{b11ba4db-f40d-4483-a75b-e34ea26343cd}"/>
      </w:docPartPr>
      <w:docPartBody>
        <w:p>
          <w:r>
            <w:rPr>
              <w:color w:val="808080"/>
            </w:rPr>
            <w:t>单击此处输入文字。</w:t>
          </w:r>
        </w:p>
      </w:docPartBody>
    </w:docPart>
    <w:docPart>
      <w:docPartPr>
        <w:name w:val="{2a3cfd1f-922d-42a0-88c7-5e6bca5ac2a2}"/>
        <w:style w:val=""/>
        <w:category>
          <w:name w:val="常规"/>
          <w:gallery w:val="placeholder"/>
        </w:category>
        <w:types>
          <w:type w:val="bbPlcHdr"/>
        </w:types>
        <w:behaviors>
          <w:behavior w:val="content"/>
        </w:behaviors>
        <w:description w:val=""/>
        <w:guid w:val="{2a3cfd1f-922d-42a0-88c7-5e6bca5ac2a2}"/>
      </w:docPartPr>
      <w:docPartBody>
        <w:p>
          <w:r>
            <w:rPr>
              <w:color w:val="808080"/>
            </w:rPr>
            <w:t>单击此处输入文字。</w:t>
          </w:r>
        </w:p>
      </w:docPartBody>
    </w:docPart>
    <w:docPart>
      <w:docPartPr>
        <w:name w:val="{8ebcf7dc-2ed3-47d6-a712-3fcc86f178c9}"/>
        <w:style w:val=""/>
        <w:category>
          <w:name w:val="常规"/>
          <w:gallery w:val="placeholder"/>
        </w:category>
        <w:types>
          <w:type w:val="bbPlcHdr"/>
        </w:types>
        <w:behaviors>
          <w:behavior w:val="content"/>
        </w:behaviors>
        <w:description w:val=""/>
        <w:guid w:val="{8ebcf7dc-2ed3-47d6-a712-3fcc86f178c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2023-06-12T02:25:00Z</cp:lastPrinted>
  <dcterms:modified xsi:type="dcterms:W3CDTF">2023-06-28T08:08:49Z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