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00"/>
        <w:jc w:val="left"/>
        <w:textAlignment w:val="auto"/>
        <w:outlineLvl w:val="9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00"/>
        <w:jc w:val="left"/>
        <w:textAlignment w:val="auto"/>
        <w:outlineLvl w:val="9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00"/>
        <w:jc w:val="left"/>
        <w:textAlignment w:val="auto"/>
        <w:outlineLvl w:val="9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00"/>
        <w:jc w:val="left"/>
        <w:textAlignment w:val="auto"/>
        <w:outlineLvl w:val="9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01"/>
        <w:jc w:val="left"/>
        <w:textAlignment w:val="auto"/>
        <w:outlineLvl w:val="9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outlineLvl w:val="9"/>
        <w:rPr>
          <w:rFonts w:hint="eastAsia" w:ascii="楷体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高工</w:t>
      </w:r>
      <w:r>
        <w:rPr>
          <w:rFonts w:hint="eastAsia" w:ascii="仿宋_GB2312" w:eastAsia="仿宋_GB2312"/>
          <w:sz w:val="32"/>
          <w:szCs w:val="32"/>
          <w:lang w:eastAsia="zh-CN"/>
        </w:rPr>
        <w:t>字</w:t>
      </w:r>
      <w:r>
        <w:rPr>
          <w:rFonts w:hint="eastAsia" w:ascii="仿宋_GB2312" w:eastAsia="仿宋_GB2312"/>
          <w:sz w:val="32"/>
          <w:szCs w:val="32"/>
        </w:rPr>
        <w:t>〔</w:t>
      </w:r>
      <w:r>
        <w:rPr>
          <w:rFonts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24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default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 xml:space="preserve">号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 xml:space="preserve">   签发人：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郑文艺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0"/>
        <w:jc w:val="left"/>
        <w:textAlignment w:val="auto"/>
        <w:outlineLvl w:val="9"/>
        <w:rPr>
          <w:rFonts w:ascii="仿宋_GB2312" w:eastAsia="仿宋_GB2312"/>
          <w:b/>
          <w:sz w:val="32"/>
          <w:szCs w:val="32"/>
        </w:rPr>
      </w:pPr>
    </w:p>
    <w:tbl>
      <w:tblPr>
        <w:tblStyle w:val="14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756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spacing w:val="-17"/>
                <w:sz w:val="44"/>
                <w:szCs w:val="44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pacing w:val="-17"/>
                <w:sz w:val="44"/>
                <w:szCs w:val="44"/>
                <w:lang w:eastAsia="zh-CN"/>
              </w:rPr>
              <w:t>中共长沙市望城区高塘岭街道工作委员会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jc w:val="center"/>
        <w:rPr>
          <w:sz w:val="44"/>
          <w:szCs w:val="44"/>
        </w:rPr>
      </w:pPr>
      <w:r>
        <w:rPr>
          <w:rFonts w:hint="eastAsia" w:ascii="方正小标宋简体" w:eastAsia="方正小标宋简体" w:cs="方正小标宋简体"/>
          <w:color w:val="auto"/>
          <w:spacing w:val="0"/>
          <w:sz w:val="44"/>
          <w:szCs w:val="44"/>
          <w:lang w:val="en-US" w:eastAsia="zh-CN"/>
        </w:rPr>
        <w:t>关于2023年工作总结和2024年工作思路的</w:t>
      </w:r>
      <w:r>
        <w:rPr>
          <w:rFonts w:hint="eastAsia" w:ascii="方正小标宋简体" w:eastAsia="方正小标宋简体" w:cs="方正小标宋简体"/>
          <w:color w:val="auto"/>
          <w:sz w:val="44"/>
          <w:szCs w:val="44"/>
          <w:lang w:val="en-US" w:eastAsia="zh-CN"/>
        </w:rPr>
        <w:t>报  告</w:t>
      </w:r>
    </w:p>
    <w:p>
      <w:pPr>
        <w:pStyle w:val="6"/>
        <w:keepNext w:val="0"/>
        <w:keepLines w:val="0"/>
        <w:pageBreakBefore w:val="0"/>
        <w:widowControl w:val="0"/>
        <w:bidi w:val="0"/>
        <w:spacing w:line="680" w:lineRule="exact"/>
        <w:jc w:val="center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/>
        <w:textAlignment w:val="auto"/>
        <w:rPr>
          <w:rFonts w:asci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ascii="仿宋_GB2312" w:eastAsia="仿宋_GB2312" w:cs="仿宋_GB2312"/>
          <w:color w:val="auto"/>
          <w:sz w:val="32"/>
          <w:szCs w:val="32"/>
          <w:lang w:val="en-US" w:eastAsia="zh-CN"/>
        </w:rPr>
        <w:t>区委：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ascii="仿宋_GB2312" w:eastAsia="仿宋_GB2312" w:cs="仿宋_GB2312"/>
          <w:color w:val="auto"/>
          <w:sz w:val="32"/>
          <w:szCs w:val="32"/>
          <w:lang w:val="en-US" w:eastAsia="zh-CN"/>
        </w:rPr>
        <w:t>202</w:t>
      </w: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ascii="仿宋_GB2312" w:eastAsia="仿宋_GB2312" w:cs="仿宋_GB2312"/>
          <w:color w:val="auto"/>
          <w:sz w:val="32"/>
          <w:szCs w:val="32"/>
          <w:lang w:val="en-US" w:eastAsia="zh-CN"/>
        </w:rPr>
        <w:t>年</w:t>
      </w: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，在区委、区政府的坚强领导下，高塘岭街道紧紧围绕</w:t>
      </w:r>
      <w:r>
        <w:rPr>
          <w:rFonts w:hint="eastAsia" w:ascii="仿宋_GB2312" w:eastAsia="仿宋_GB2312" w:cs="仿宋_GB2312"/>
          <w:color w:val="auto"/>
          <w:sz w:val="32"/>
          <w:szCs w:val="32"/>
          <w:u w:val="none"/>
          <w:lang w:val="en-US" w:eastAsia="zh-CN"/>
        </w:rPr>
        <w:t>“</w:t>
      </w:r>
      <w:r>
        <w:rPr>
          <w:rFonts w:ascii="仿宋_GB2312" w:eastAsia="仿宋_GB2312" w:cs="仿宋_GB2312"/>
          <w:color w:val="auto"/>
          <w:sz w:val="32"/>
          <w:szCs w:val="32"/>
          <w:u w:val="none"/>
          <w:lang w:val="en-US" w:eastAsia="zh-CN"/>
        </w:rPr>
        <w:t>首善高地 幸福领航</w:t>
      </w:r>
      <w:r>
        <w:rPr>
          <w:rFonts w:hint="eastAsia" w:ascii="仿宋_GB2312" w:eastAsia="仿宋_GB2312" w:cs="仿宋_GB2312"/>
          <w:color w:val="auto"/>
          <w:sz w:val="32"/>
          <w:szCs w:val="32"/>
          <w:u w:val="none"/>
          <w:lang w:val="en-US" w:eastAsia="zh-CN"/>
        </w:rPr>
        <w:t>”工作品牌</w:t>
      </w: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，锚定“基层</w:t>
      </w:r>
      <w:r>
        <w:rPr>
          <w:rFonts w:ascii="仿宋_GB2312" w:eastAsia="仿宋_GB2312" w:cs="仿宋_GB2312"/>
          <w:color w:val="auto"/>
          <w:sz w:val="32"/>
          <w:szCs w:val="32"/>
          <w:lang w:val="en-US" w:eastAsia="zh-CN"/>
        </w:rPr>
        <w:t>党建引领、城乡一体表率、三产融合样板、城市品</w:t>
      </w:r>
      <w:bookmarkStart w:id="0" w:name="_GoBack"/>
      <w:bookmarkEnd w:id="0"/>
      <w:r>
        <w:rPr>
          <w:rFonts w:ascii="仿宋_GB2312" w:eastAsia="仿宋_GB2312" w:cs="仿宋_GB2312"/>
          <w:color w:val="auto"/>
          <w:sz w:val="32"/>
          <w:szCs w:val="32"/>
          <w:lang w:val="en-US" w:eastAsia="zh-CN"/>
        </w:rPr>
        <w:t>质标杆、社会治理示范</w:t>
      </w: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”</w:t>
      </w:r>
      <w:r>
        <w:rPr>
          <w:rFonts w:ascii="仿宋_GB2312" w:eastAsia="仿宋_GB2312" w:cs="仿宋_GB2312"/>
          <w:color w:val="auto"/>
          <w:sz w:val="32"/>
          <w:szCs w:val="32"/>
          <w:lang w:val="en-US" w:eastAsia="zh-CN"/>
        </w:rPr>
        <w:t>目标定位</w:t>
      </w: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，基层党建做深做实、经济发展稳中向好、城乡面貌持续改善、社会大局平安稳定、民生保障深入推进，荣获湖南省文明单位、长沙市2023年度“田长制”优秀街道、长沙市2023年度五星级基层社会工作服务站</w:t>
      </w: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 w:bidi="ar-SA"/>
        </w:rPr>
        <w:t>、省级标兵财政所</w:t>
      </w: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、长沙市生态文明示范街镇</w:t>
      </w: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 w:bidi="ar-SA"/>
        </w:rPr>
        <w:t>，有望获得</w:t>
      </w: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长沙市社会治理真抓实干优秀街镇，迎接中组部副部长、国家民政部政策研究中心主任及省内外各级领导调研，CCTV-13台对街社养老服务工作进行了集中报道，街道经济社会文化各项事业</w:t>
      </w:r>
      <w:r>
        <w:rPr>
          <w:rFonts w:ascii="仿宋_GB2312" w:eastAsia="仿宋_GB2312" w:cs="仿宋_GB2312"/>
          <w:color w:val="auto"/>
          <w:sz w:val="32"/>
          <w:szCs w:val="32"/>
          <w:lang w:val="en-US" w:eastAsia="zh-CN"/>
        </w:rPr>
        <w:t>发展呈现</w:t>
      </w: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良好态势。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firstLine="640" w:firstLineChars="200"/>
        <w:textAlignment w:val="auto"/>
        <w:rPr>
          <w:rFonts w:hint="eastAsia" w:ascii="黑体" w:eastAsia="黑体" w:cs="黑体"/>
          <w:color w:val="auto"/>
          <w:sz w:val="32"/>
          <w:szCs w:val="32"/>
          <w:lang w:val="en-US" w:eastAsia="zh-CN"/>
        </w:rPr>
      </w:pPr>
      <w:r>
        <w:rPr>
          <w:rFonts w:ascii="黑体" w:eastAsia="黑体" w:cs="黑体"/>
          <w:color w:val="auto"/>
          <w:sz w:val="32"/>
          <w:szCs w:val="32"/>
          <w:lang w:val="en-US" w:eastAsia="zh-CN"/>
        </w:rPr>
        <w:t>202</w:t>
      </w:r>
      <w:r>
        <w:rPr>
          <w:rFonts w:hint="eastAsia" w:ascii="黑体" w:eastAsia="黑体" w:cs="黑体"/>
          <w:color w:val="auto"/>
          <w:sz w:val="32"/>
          <w:szCs w:val="32"/>
          <w:lang w:val="en-US" w:eastAsia="zh-CN"/>
        </w:rPr>
        <w:t>3</w:t>
      </w:r>
      <w:r>
        <w:rPr>
          <w:rFonts w:ascii="黑体" w:eastAsia="黑体" w:cs="黑体"/>
          <w:color w:val="auto"/>
          <w:sz w:val="32"/>
          <w:szCs w:val="32"/>
          <w:lang w:val="en-US" w:eastAsia="zh-CN"/>
        </w:rPr>
        <w:t>年度</w:t>
      </w:r>
      <w:r>
        <w:rPr>
          <w:rFonts w:hint="eastAsia" w:ascii="黑体" w:eastAsia="黑体" w:cs="黑体"/>
          <w:color w:val="auto"/>
          <w:sz w:val="32"/>
          <w:szCs w:val="32"/>
          <w:lang w:val="en-US" w:eastAsia="zh-CN"/>
        </w:rPr>
        <w:t>工作情况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3" w:firstLineChars="200"/>
        <w:jc w:val="both"/>
        <w:textAlignment w:val="auto"/>
        <w:outlineLvl w:val="9"/>
        <w:rPr>
          <w:rFonts w:hint="eastAsia" w:ascii="仿宋_GB2312" w:eastAsia="仿宋_GB2312" w:cs="仿宋_GB2312"/>
          <w:b/>
          <w:bCs/>
          <w:color w:val="auto"/>
          <w:sz w:val="32"/>
          <w:szCs w:val="32"/>
          <w:highlight w:val="yellow"/>
          <w:lang w:val="en-US" w:eastAsia="zh-CN"/>
        </w:rPr>
      </w:pPr>
      <w:r>
        <w:rPr>
          <w:rFonts w:hint="eastAsia" w:ascii="楷体_GB2312" w:eastAsia="楷体_GB2312" w:cs="楷体_GB2312"/>
          <w:b/>
          <w:bCs/>
          <w:color w:val="auto"/>
          <w:kern w:val="2"/>
          <w:sz w:val="32"/>
          <w:szCs w:val="32"/>
          <w:lang w:val="en-US" w:eastAsia="zh-CN" w:bidi="ar-SA"/>
        </w:rPr>
        <w:t>（一）夯基础、亮特色，</w:t>
      </w:r>
      <w:r>
        <w:rPr>
          <w:rFonts w:hint="eastAsia" w:asci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基层党建做深做实。</w:t>
      </w: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扎实推进“三长制”工作，全街3818名邻长有效融入707个网格内，推动解决民生实事875件，其中望府路社区荣获湖南省群众性自治示范社区，中组部徐启方副部长调研并给与高度肯定；广泛动员党员“立足岗位作贡献”，公开承诺践诺3452条，工作动态受到《新华社》《光明日报》等20余家中央省市媒体集中宣传报道；8名党员区领导、32位共建单位“一把手”带队与城市社区签订113个共建项目，企地共建、城乡结对共建模式得到了成功实践；高标准打造街道基层党校及“农耕特色”党员教育精品路线，广泛开展微党课宣讲，轮训党员2700余人次；11个村（社区）集体经济收入突破50万元关口，湘江村获评长沙市抓党建促乡村振兴示范。开设“首善高地 幸福领航”视频号，共发布视频54个，涉及重点工作的宣传推介点击量近13万人次，点赞量逾1万次，宣传工作释放活力。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3" w:firstLineChars="200"/>
        <w:jc w:val="both"/>
        <w:textAlignment w:val="auto"/>
        <w:outlineLvl w:val="9"/>
        <w:rPr>
          <w:rFonts w:hint="eastAsia" w:ascii="仿宋_GB2312" w:eastAsia="仿宋_GB2312" w:cs="仿宋_GB2312"/>
          <w:bCs/>
          <w:color w:val="auto"/>
          <w:sz w:val="32"/>
          <w:szCs w:val="32"/>
          <w:highlight w:val="none"/>
          <w:lang w:val="en-US" w:eastAsia="zh-CN" w:bidi="ar-SA"/>
        </w:rPr>
      </w:pPr>
      <w:r>
        <w:rPr>
          <w:rFonts w:hint="eastAsia" w:ascii="楷体_GB2312" w:eastAsia="楷体_GB2312" w:cs="楷体_GB2312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（二）优服务、强项目，</w:t>
      </w:r>
      <w:r>
        <w:rPr>
          <w:rFonts w:hint="eastAsia" w:ascii="楷体_GB2312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  <w:t>经济发展稳中向好。</w:t>
      </w:r>
      <w:r>
        <w:rPr>
          <w:rFonts w:hint="eastAsia" w:asci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截止11月份，街道共完成财税收入9.82亿元，预计全年完成11.5亿元；固定资产投入2.8亿元，预计全年完成4亿元；规模工业产值18.16亿元，增速29.4%，预计全年完成19.6亿元；其他盈利性服务业完成营收10.15亿元，超额完成10.12亿元的目标值；新增限上批零住餐企业1家，引进财税四上企业13家,完成税收入库573.96万元。践行“项目为王”理念，共计</w:t>
      </w:r>
      <w:r>
        <w:rPr>
          <w:rFonts w:hint="eastAsia" w:asci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铺排项目17个，按时间节点完成湘江古镇群西岸核心基础设施配套工程、北横加油站等项目“四清”交地</w:t>
      </w:r>
      <w:r>
        <w:rPr>
          <w:rFonts w:hint="eastAsia" w:ascii="仿宋_GB2312" w:eastAsia="仿宋_GB2312" w:cs="仿宋_GB2312"/>
          <w:bCs/>
          <w:color w:val="auto"/>
          <w:sz w:val="32"/>
          <w:szCs w:val="32"/>
          <w:highlight w:val="none"/>
          <w:lang w:val="en-US" w:eastAsia="zh-CN" w:bidi="ar-SA"/>
        </w:rPr>
        <w:t>，励烽教育、</w:t>
      </w: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胜利西路、</w:t>
      </w:r>
      <w:r>
        <w:rPr>
          <w:rFonts w:hint="eastAsia" w:ascii="仿宋_GB2312" w:eastAsia="仿宋_GB2312" w:cs="仿宋_GB2312"/>
          <w:bCs/>
          <w:color w:val="auto"/>
          <w:sz w:val="32"/>
          <w:szCs w:val="32"/>
          <w:highlight w:val="none"/>
          <w:lang w:eastAsia="zh-CN" w:bidi="ar-SA"/>
        </w:rPr>
        <w:t>污水处理厂（四期）等项目顺利推进，</w:t>
      </w:r>
      <w:r>
        <w:rPr>
          <w:rFonts w:hint="eastAsia" w:asci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 w:bidi="ar-SA"/>
        </w:rPr>
        <w:t>引入“镉低积累水稻”试验农田项目，推动</w:t>
      </w:r>
      <w:r>
        <w:rPr>
          <w:rFonts w:hint="eastAsia" w:ascii="仿宋_GB2312" w:eastAsia="仿宋_GB2312" w:cs="仿宋_GB2312"/>
          <w:bCs/>
          <w:color w:val="auto"/>
          <w:sz w:val="32"/>
          <w:szCs w:val="32"/>
          <w:highlight w:val="none"/>
          <w:lang w:val="en-US" w:eastAsia="zh-CN" w:bidi="ar-SA"/>
        </w:rPr>
        <w:t>院士工作站顺利落户月圆村。积极盘活街道闲置资产4703.32平</w:t>
      </w:r>
      <w:r>
        <w:rPr>
          <w:rFonts w:ascii="仿宋_GB2312" w:eastAsia="仿宋_GB2312" w:cs="仿宋_GB2312"/>
          <w:bCs/>
          <w:color w:val="auto"/>
          <w:sz w:val="32"/>
          <w:szCs w:val="32"/>
          <w:highlight w:val="none"/>
          <w:lang w:val="en-US" w:eastAsia="zh-CN" w:bidi="ar-SA"/>
        </w:rPr>
        <w:t>方</w:t>
      </w:r>
      <w:r>
        <w:rPr>
          <w:rFonts w:hint="eastAsia" w:ascii="仿宋_GB2312" w:eastAsia="仿宋_GB2312" w:cs="仿宋_GB2312"/>
          <w:bCs/>
          <w:color w:val="auto"/>
          <w:sz w:val="32"/>
          <w:szCs w:val="32"/>
          <w:highlight w:val="none"/>
          <w:lang w:val="en-US" w:eastAsia="zh-CN" w:bidi="ar-SA"/>
        </w:rPr>
        <w:t>米，促进市场主体新增，预计带来经济收益150万元/年。</w:t>
      </w:r>
      <w:r>
        <w:rPr>
          <w:rFonts w:hint="eastAsia" w:asci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 w:bidi="ar-SA"/>
        </w:rPr>
        <w:t>主动向上争资引项</w:t>
      </w:r>
      <w:r>
        <w:rPr>
          <w:rFonts w:hint="eastAsia" w:ascii="仿宋_GB2312" w:eastAsia="仿宋_GB2312" w:cs="仿宋_GB2312"/>
          <w:bCs/>
          <w:color w:val="auto"/>
          <w:sz w:val="32"/>
          <w:szCs w:val="32"/>
          <w:highlight w:val="none"/>
          <w:lang w:val="en-US" w:eastAsia="zh-CN" w:bidi="ar-SA"/>
        </w:rPr>
        <w:t>，湘江村等5个村社“五苑”发展规划</w:t>
      </w:r>
      <w:r>
        <w:rPr>
          <w:rFonts w:ascii="仿宋_GB2312" w:eastAsia="仿宋_GB2312" w:cs="仿宋_GB2312"/>
          <w:bCs/>
          <w:color w:val="auto"/>
          <w:sz w:val="32"/>
          <w:szCs w:val="32"/>
          <w:highlight w:val="none"/>
          <w:lang w:val="en-US" w:eastAsia="zh-CN" w:bidi="ar-SA"/>
        </w:rPr>
        <w:t>被</w:t>
      </w:r>
      <w:r>
        <w:rPr>
          <w:rFonts w:hint="eastAsia" w:ascii="仿宋_GB2312" w:eastAsia="仿宋_GB2312" w:cs="仿宋_GB2312"/>
          <w:bCs/>
          <w:color w:val="auto"/>
          <w:sz w:val="32"/>
          <w:szCs w:val="32"/>
          <w:highlight w:val="none"/>
          <w:lang w:val="en-US" w:eastAsia="zh-CN" w:bidi="ar-SA"/>
        </w:rPr>
        <w:t>纳入省级农村综合改革试点试验项目，引入省级试点资金500万元。扎实推进“千人进千企”，持续优化营商环境，坚定企业发展信心，收集解决各类问题10个。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3" w:firstLineChars="200"/>
        <w:jc w:val="both"/>
        <w:textAlignment w:val="auto"/>
        <w:outlineLvl w:val="9"/>
        <w:rPr>
          <w:rFonts w:hint="eastAsia" w:ascii="仿宋_GB2312" w:eastAsia="仿宋_GB2312" w:cs="仿宋_GB2312"/>
          <w:bCs/>
          <w:color w:val="auto"/>
          <w:sz w:val="32"/>
          <w:szCs w:val="32"/>
          <w:lang w:val="en-US" w:eastAsia="zh-CN" w:bidi="ar-SA"/>
        </w:rPr>
      </w:pPr>
      <w:r>
        <w:rPr>
          <w:rFonts w:hint="eastAsia" w:ascii="楷体_GB2312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  <w:t>（三）抓常态、强整治，城乡面貌持续改善。</w:t>
      </w:r>
      <w:r>
        <w:rPr>
          <w:rFonts w:hint="eastAsia" w:ascii="仿宋_GB2312" w:eastAsia="仿宋_GB2312" w:cs="仿宋_GB2312"/>
          <w:bCs/>
          <w:color w:val="auto"/>
          <w:sz w:val="32"/>
          <w:szCs w:val="32"/>
          <w:highlight w:val="none"/>
          <w:lang w:val="en-US" w:eastAsia="zh-CN" w:bidi="ar-SA"/>
        </w:rPr>
        <w:t>市</w:t>
      </w:r>
      <w:r>
        <w:rPr>
          <w:rFonts w:hint="eastAsia" w:asci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 w:bidi="ar-SA"/>
        </w:rPr>
        <w:t>容市貌的日常维护和集中整治得到有效结合，文明创建和创国家卫生城市工作扎实推进，红旺市场经营秩序和卫生环境整治持续发力，全年</w:t>
      </w:r>
      <w:r>
        <w:rPr>
          <w:rFonts w:hint="eastAsia" w:ascii="仿宋_GB2312" w:eastAsia="仿宋_GB2312" w:cs="仿宋_GB2312"/>
          <w:bCs/>
          <w:color w:val="auto"/>
          <w:sz w:val="32"/>
          <w:szCs w:val="32"/>
          <w:highlight w:val="none"/>
          <w:lang w:val="en-US" w:eastAsia="zh-CN" w:bidi="ar-SA"/>
        </w:rPr>
        <w:t>整改违规拖运、环境污染行为56次，完成70处图斑整改，新康戏乡国家AAA级</w:t>
      </w:r>
      <w:r>
        <w:rPr>
          <w:rFonts w:hint="eastAsia" w:ascii="仿宋_GB2312" w:eastAsia="仿宋_GB2312" w:cs="仿宋_GB2312"/>
          <w:bCs/>
          <w:color w:val="auto"/>
          <w:sz w:val="32"/>
          <w:szCs w:val="32"/>
          <w:lang w:val="en-US" w:eastAsia="zh-CN" w:bidi="ar-SA"/>
        </w:rPr>
        <w:t>景区保牌成功。严厉打击违建违规行为，组织拆违行动38次，拆除违建4734㎡。乡村人居环境得到进一步改善，打造市级小微水体1个，推进以新阳村老围子为代表的美丽宜居村庄建设4处，协调各类资源完成老旧小区改造10处，西塘街社区荣获全国示范性老年友好型社区。开展问题厕所清零攻坚行动，共计上户7672户，摸排问题厕所511座，其中2户纳入24年新建计划，其余全部整改完毕。耕地保护工作彰显成效，完成692.94亩耕地恢复，双季稻种植面积24585亩、中稻种植面积8015亩，</w:t>
      </w:r>
      <w:r>
        <w:rPr>
          <w:rFonts w:hint="eastAsia" w:ascii="仿宋_GB2312" w:eastAsia="仿宋_GB2312" w:cs="仿宋_GB2312"/>
          <w:bCs/>
          <w:color w:val="auto"/>
          <w:sz w:val="32"/>
          <w:szCs w:val="32"/>
          <w:highlight w:val="none"/>
          <w:lang w:val="en-US" w:eastAsia="zh-CN" w:bidi="ar-SA"/>
        </w:rPr>
        <w:t>刷新产量新高。</w:t>
      </w:r>
      <w:r>
        <w:rPr>
          <w:rFonts w:hint="eastAsia" w:ascii="仿宋_GB2312" w:eastAsia="仿宋_GB2312" w:cs="仿宋_GB2312"/>
          <w:bCs/>
          <w:color w:val="auto"/>
          <w:sz w:val="32"/>
          <w:szCs w:val="32"/>
          <w:lang w:val="en-US" w:eastAsia="zh-CN" w:bidi="ar-SA"/>
        </w:rPr>
        <w:t>扎实推进“清河净滩”行动，发动群众、志愿者担任民间河长，相关工作经验在湖南经视新闻栏目报道。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3" w:firstLineChars="200"/>
        <w:jc w:val="both"/>
        <w:textAlignment w:val="auto"/>
        <w:outlineLvl w:val="9"/>
        <w:rPr>
          <w:rFonts w:hint="eastAsia" w:ascii="仿宋_GB2312" w:eastAsia="仿宋_GB2312" w:cs="仿宋_GB2312"/>
          <w:color w:val="auto"/>
          <w:sz w:val="32"/>
          <w:szCs w:val="32"/>
          <w:highlight w:val="none"/>
          <w:lang w:val="en-US" w:eastAsia="zh-CN" w:bidi="ar-SA"/>
        </w:rPr>
      </w:pPr>
      <w:r>
        <w:rPr>
          <w:rFonts w:hint="eastAsia" w:asci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（四）严排查、除隐患，社会大局平安稳定。</w:t>
      </w:r>
      <w:r>
        <w:rPr>
          <w:rFonts w:hint="eastAsia" w:asci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积极</w:t>
      </w:r>
      <w:r>
        <w:rPr>
          <w:rFonts w:hint="eastAsia" w:ascii="仿宋_GB2312" w:eastAsia="仿宋_GB2312" w:cs="仿宋_GB2312"/>
          <w:bCs/>
          <w:color w:val="auto"/>
          <w:sz w:val="32"/>
          <w:szCs w:val="32"/>
          <w:lang w:val="en-US" w:eastAsia="zh-CN" w:bidi="ar-SA"/>
        </w:rPr>
        <w:t>推进“四性”整治，累计排查自建房1.3万余栋，完成一般安全隐患整改869处，较大安全隐患整改246处，严重安全隐患整改130处，拆除房屋180处，销号1210户存在建设合法合规性隐患房屋，自建房安全专项整治攻坚战成效显著。有序开展“两违清查”工作，聘请10名中级以上工程师提供专业技术指导，累计摸底排查城镇危旧房屋2000余栋，人民生命财产安全得到切实维护。积极应对突发事件，妥善完成</w:t>
      </w: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 w:bidi="ar-SA"/>
        </w:rPr>
        <w:t>“2·4”许广高速交通事故</w:t>
      </w:r>
      <w:r>
        <w:rPr>
          <w:rFonts w:ascii="仿宋_GB2312" w:eastAsia="仿宋_GB2312" w:cs="仿宋_GB2312"/>
          <w:color w:val="auto"/>
          <w:sz w:val="32"/>
          <w:szCs w:val="32"/>
          <w:lang w:val="en-US" w:eastAsia="zh-CN" w:bidi="ar-SA"/>
        </w:rPr>
        <w:t>90名</w:t>
      </w: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 w:bidi="ar-SA"/>
        </w:rPr>
        <w:t>相关</w:t>
      </w:r>
      <w:r>
        <w:rPr>
          <w:rFonts w:ascii="仿宋_GB2312" w:eastAsia="仿宋_GB2312" w:cs="仿宋_GB2312"/>
          <w:color w:val="auto"/>
          <w:sz w:val="32"/>
          <w:szCs w:val="32"/>
          <w:lang w:val="en-US" w:eastAsia="zh-CN" w:bidi="ar-SA"/>
        </w:rPr>
        <w:t>人员、</w:t>
      </w: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 w:bidi="ar-SA"/>
        </w:rPr>
        <w:t>54台车辆善后处置。</w:t>
      </w:r>
      <w:r>
        <w:rPr>
          <w:rFonts w:hint="eastAsia" w:ascii="仿宋_GB2312" w:eastAsia="仿宋_GB2312" w:cs="仿宋_GB2312"/>
          <w:bCs/>
          <w:color w:val="auto"/>
          <w:sz w:val="32"/>
          <w:szCs w:val="32"/>
          <w:lang w:val="en-US" w:eastAsia="zh-CN" w:bidi="ar-SA"/>
        </w:rPr>
        <w:t>全面排查安全隐患，</w:t>
      </w:r>
      <w:r>
        <w:rPr>
          <w:rFonts w:hint="eastAsia" w:ascii="仿宋_GB2312" w:eastAsia="仿宋_GB2312" w:cs="仿宋_GB2312"/>
          <w:color w:val="auto"/>
          <w:sz w:val="32"/>
          <w:szCs w:val="32"/>
          <w:highlight w:val="none"/>
          <w:lang w:val="en-US" w:eastAsia="zh-CN" w:bidi="ar-SA"/>
        </w:rPr>
        <w:t>对辖区已入住262栋高层建筑火灾隐患进行全面排查，整改消防安全隐患243栋，整改率达93%，完成街域内103处交通安全隐患整改，实现100%销号。扎实开展安全生产翻身仗，对162家企业开展安全生产检查，全部整改完成安全生产一般隐患656处，整改完成重大事故隐患45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3" w:firstLineChars="200"/>
        <w:jc w:val="both"/>
        <w:textAlignment w:val="auto"/>
        <w:outlineLvl w:val="9"/>
        <w:rPr>
          <w:rFonts w:hint="default" w:asci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楷体_GB2312" w:eastAsia="楷体_GB2312" w:cs="楷体_GB2312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（五）察民意、惠民生，</w:t>
      </w:r>
      <w:r>
        <w:rPr>
          <w:rFonts w:hint="eastAsia" w:ascii="楷体_GB2312" w:eastAsia="楷体_GB2312" w:cs="楷体_GB2312"/>
          <w:b/>
          <w:bCs/>
          <w:color w:val="auto"/>
          <w:sz w:val="32"/>
          <w:szCs w:val="32"/>
          <w:highlight w:val="none"/>
        </w:rPr>
        <w:t>民生保障</w:t>
      </w:r>
      <w:r>
        <w:rPr>
          <w:rFonts w:hint="eastAsia" w:ascii="楷体_GB2312" w:eastAsia="楷体_GB2312" w:cs="楷体_GB2312"/>
          <w:b/>
          <w:bCs/>
          <w:color w:val="auto"/>
          <w:sz w:val="32"/>
          <w:szCs w:val="32"/>
          <w:highlight w:val="none"/>
          <w:lang w:eastAsia="zh-CN"/>
        </w:rPr>
        <w:t>深入推进</w:t>
      </w:r>
      <w:r>
        <w:rPr>
          <w:rFonts w:hint="eastAsia" w:ascii="楷体_GB2312" w:eastAsia="楷体_GB2312" w:cs="楷体_GB2312"/>
          <w:b/>
          <w:bCs/>
          <w:color w:val="auto"/>
          <w:sz w:val="32"/>
          <w:szCs w:val="32"/>
          <w:highlight w:val="none"/>
        </w:rPr>
        <w:t>。</w:t>
      </w:r>
      <w:r>
        <w:rPr>
          <w:rFonts w:hint="eastAsia" w:ascii="仿宋_GB2312" w:eastAsia="仿宋_GB2312" w:cs="仿宋_GB2312"/>
          <w:color w:val="auto"/>
          <w:sz w:val="32"/>
          <w:szCs w:val="32"/>
          <w:highlight w:val="none"/>
          <w:lang w:val="en-US" w:eastAsia="zh-CN" w:bidi="ar-SA"/>
        </w:rPr>
        <w:t>扎实开展防返贫监测与帮扶工作，排查10496户42196人，无一例返贫和新致贫现象；及时解决群众身边问题，完成省市重点民生实事项目15个，办理雷锋哨哨单6745件，其中主动采集3904件，哨单办结率100％，“热线哨”工单同比去年下降19％以上；完成政务大厅线上和线下受理即办件15208件，满意率达100%，完成政务网站信息公开242条，真正做到了未诉先办；全面促进就业，全年开展“311”就业服务，服务人次达357人，引导安排公益岗位137人，其中西塘街社区荣获国家级充分就业社区，雷锋路社区获得省级充分就业社区；坚守燃气安全底线</w:t>
      </w:r>
      <w:r>
        <w:rPr>
          <w:rFonts w:hint="eastAsia" w:ascii="仿宋_GB2312" w:eastAsia="仿宋_GB2312" w:cs="仿宋_GB2312"/>
          <w:bCs/>
          <w:color w:val="auto"/>
          <w:sz w:val="32"/>
          <w:szCs w:val="32"/>
          <w:highlight w:val="none"/>
          <w:lang w:val="en-US" w:eastAsia="zh-CN" w:bidi="ar-SA"/>
        </w:rPr>
        <w:t>，累计出动1977人次执法力量对37268户居民燃气安全隐患入户排查，检查重点企业、餐饮场所1839处，立案处置20件燃气案件，共计处罚金额9.17万元，</w:t>
      </w:r>
      <w:r>
        <w:rPr>
          <w:rFonts w:hint="eastAsia" w:ascii="仿宋_GB2312" w:eastAsia="仿宋_GB2312" w:cs="仿宋_GB2312"/>
          <w:color w:val="auto"/>
          <w:sz w:val="32"/>
          <w:szCs w:val="32"/>
          <w:highlight w:val="none"/>
          <w:lang w:val="en-US" w:eastAsia="zh-CN" w:bidi="ar-SA"/>
        </w:rPr>
        <w:t>协调接通117户老仓街区域、教师发展中心宿舍居民燃气。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ascii="黑体" w:eastAsia="黑体" w:cs="黑体"/>
          <w:color w:val="auto"/>
          <w:sz w:val="32"/>
          <w:szCs w:val="32"/>
          <w:lang w:val="en-US" w:eastAsia="zh-CN"/>
        </w:rPr>
      </w:pPr>
      <w:r>
        <w:rPr>
          <w:rFonts w:ascii="黑体" w:eastAsia="黑体" w:cs="黑体"/>
          <w:color w:val="auto"/>
          <w:sz w:val="32"/>
          <w:szCs w:val="32"/>
          <w:lang w:val="en-US" w:eastAsia="zh-CN"/>
        </w:rPr>
        <w:t>二</w:t>
      </w:r>
      <w:r>
        <w:rPr>
          <w:rFonts w:hint="eastAsia" w:ascii="黑体" w:eastAsia="黑体" w:cs="黑体"/>
          <w:color w:val="auto"/>
          <w:sz w:val="32"/>
          <w:szCs w:val="32"/>
          <w:lang w:val="en-US" w:eastAsia="zh-CN"/>
        </w:rPr>
        <w:t>、</w:t>
      </w:r>
      <w:r>
        <w:rPr>
          <w:rFonts w:ascii="黑体" w:eastAsia="黑体" w:cs="黑体"/>
          <w:color w:val="auto"/>
          <w:sz w:val="32"/>
          <w:szCs w:val="32"/>
          <w:lang w:val="en-US" w:eastAsia="zh-CN"/>
        </w:rPr>
        <w:t>202</w:t>
      </w:r>
      <w:r>
        <w:rPr>
          <w:rFonts w:hint="eastAsia" w:ascii="黑体" w:eastAsia="黑体" w:cs="黑体"/>
          <w:color w:val="auto"/>
          <w:sz w:val="32"/>
          <w:szCs w:val="32"/>
          <w:lang w:val="en-US" w:eastAsia="zh-CN"/>
        </w:rPr>
        <w:t>4</w:t>
      </w:r>
      <w:r>
        <w:rPr>
          <w:rFonts w:ascii="黑体" w:eastAsia="黑体" w:cs="黑体"/>
          <w:color w:val="auto"/>
          <w:sz w:val="32"/>
          <w:szCs w:val="32"/>
          <w:lang w:val="en-US" w:eastAsia="zh-CN"/>
        </w:rPr>
        <w:t>年</w:t>
      </w:r>
      <w:r>
        <w:rPr>
          <w:rFonts w:hint="eastAsia" w:ascii="黑体" w:eastAsia="黑体" w:cs="黑体"/>
          <w:color w:val="auto"/>
          <w:sz w:val="32"/>
          <w:szCs w:val="32"/>
          <w:lang w:val="en-US" w:eastAsia="zh-CN"/>
        </w:rPr>
        <w:t>工作</w:t>
      </w:r>
      <w:r>
        <w:rPr>
          <w:rFonts w:ascii="黑体" w:eastAsia="黑体" w:cs="黑体"/>
          <w:color w:val="auto"/>
          <w:sz w:val="32"/>
          <w:szCs w:val="32"/>
          <w:lang w:val="en-US" w:eastAsia="zh-CN"/>
        </w:rPr>
        <w:t>思路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年是</w:t>
      </w:r>
      <w:r>
        <w:rPr>
          <w:rFonts w:hint="eastAsia" w:ascii="仿宋_GB2312" w:eastAsia="仿宋_GB2312"/>
          <w:sz w:val="32"/>
          <w:szCs w:val="32"/>
          <w:lang w:eastAsia="zh-CN"/>
        </w:rPr>
        <w:t>新中国成立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75周年</w:t>
      </w:r>
      <w:r>
        <w:rPr>
          <w:rFonts w:hint="eastAsia" w:ascii="仿宋_GB2312" w:eastAsia="仿宋_GB2312"/>
          <w:sz w:val="32"/>
          <w:szCs w:val="32"/>
        </w:rPr>
        <w:t>，也是</w:t>
      </w:r>
      <w:r>
        <w:rPr>
          <w:rFonts w:hint="eastAsia" w:ascii="仿宋_GB2312" w:eastAsia="仿宋_GB2312"/>
          <w:sz w:val="32"/>
          <w:szCs w:val="32"/>
          <w:lang w:eastAsia="zh-CN"/>
        </w:rPr>
        <w:t>实现</w:t>
      </w:r>
      <w:r>
        <w:rPr>
          <w:rFonts w:hint="eastAsia" w:ascii="仿宋_GB2312" w:eastAsia="仿宋_GB2312"/>
          <w:sz w:val="32"/>
          <w:szCs w:val="32"/>
        </w:rPr>
        <w:t>“十四五”规划</w:t>
      </w:r>
      <w:r>
        <w:rPr>
          <w:rFonts w:hint="eastAsia" w:ascii="仿宋_GB2312" w:eastAsia="仿宋_GB2312"/>
          <w:sz w:val="32"/>
          <w:szCs w:val="32"/>
          <w:lang w:eastAsia="zh-CN"/>
        </w:rPr>
        <w:t>目标任务</w:t>
      </w:r>
      <w:r>
        <w:rPr>
          <w:rFonts w:hint="eastAsia" w:ascii="仿宋_GB2312" w:eastAsia="仿宋_GB2312"/>
          <w:sz w:val="32"/>
          <w:szCs w:val="32"/>
        </w:rPr>
        <w:t>的关键一年</w:t>
      </w:r>
      <w:r>
        <w:rPr>
          <w:rFonts w:ascii="仿宋_GB2312" w:eastAsia="仿宋_GB2312"/>
          <w:sz w:val="32"/>
          <w:szCs w:val="32"/>
        </w:rPr>
        <w:t>。高塘岭街道工作</w:t>
      </w:r>
      <w:r>
        <w:rPr>
          <w:rFonts w:ascii="仿宋_GB2312" w:eastAsia="仿宋_GB2312"/>
          <w:b/>
          <w:bCs/>
          <w:sz w:val="32"/>
          <w:szCs w:val="32"/>
        </w:rPr>
        <w:t>总体思路</w:t>
      </w:r>
      <w:r>
        <w:rPr>
          <w:rFonts w:ascii="仿宋_GB2312" w:eastAsia="仿宋_GB2312"/>
          <w:sz w:val="32"/>
          <w:szCs w:val="32"/>
        </w:rPr>
        <w:t>为：以习近平新时代中国特色社会主义思想为指导，全面贯彻党的二十大精神，认真落实中央、省、市和区委决策部署，坚持</w:t>
      </w:r>
      <w:r>
        <w:rPr>
          <w:rFonts w:hint="eastAsia" w:ascii="仿宋_GB2312" w:eastAsia="仿宋_GB2312"/>
          <w:sz w:val="32"/>
          <w:szCs w:val="32"/>
          <w:lang w:eastAsia="zh-CN"/>
        </w:rPr>
        <w:t>稳中求进、以进促稳、先立后破</w:t>
      </w:r>
      <w:r>
        <w:rPr>
          <w:rFonts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</w:rPr>
        <w:t>持续擦亮“首善高地 幸福领航”招牌，全力打造“</w:t>
      </w: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基层</w:t>
      </w:r>
      <w:r>
        <w:rPr>
          <w:rFonts w:ascii="仿宋_GB2312" w:eastAsia="仿宋_GB2312" w:cs="仿宋_GB2312"/>
          <w:color w:val="auto"/>
          <w:sz w:val="32"/>
          <w:szCs w:val="32"/>
          <w:lang w:val="en-US" w:eastAsia="zh-CN"/>
        </w:rPr>
        <w:t>党建引领、城乡一体表率、三产融合样板、城市品质标杆、社会治理示范</w:t>
      </w:r>
      <w:r>
        <w:rPr>
          <w:rFonts w:hint="eastAsia" w:ascii="仿宋_GB2312" w:eastAsia="仿宋_GB2312"/>
          <w:sz w:val="32"/>
          <w:szCs w:val="32"/>
        </w:rPr>
        <w:t>”新高地，着力提升党员、干部想干事、会干事、干成事的能力本领，在推动高质量发展上闯出新路子，</w:t>
      </w:r>
      <w:r>
        <w:rPr>
          <w:rFonts w:ascii="仿宋_GB2312" w:eastAsia="仿宋_GB2312"/>
          <w:sz w:val="32"/>
          <w:szCs w:val="32"/>
        </w:rPr>
        <w:t>为全面建设产强、城美、民富、人和的现代化新望城贡献高塘岭力量。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3" w:firstLineChars="200"/>
        <w:jc w:val="both"/>
        <w:textAlignment w:val="auto"/>
        <w:outlineLvl w:val="9"/>
        <w:rPr>
          <w:rFonts w:hint="eastAsia" w:ascii="仿宋_GB2312" w:eastAsia="仿宋_GB2312" w:cs="黑体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（一）凝心聚魂、打造样板，深化基层党建引领。</w:t>
      </w:r>
      <w:r>
        <w:rPr>
          <w:rFonts w:hint="eastAsia" w:ascii="仿宋_GB2312" w:eastAsia="仿宋_GB2312" w:cs="黑体"/>
          <w:color w:val="auto"/>
          <w:spacing w:val="-6"/>
          <w:sz w:val="32"/>
          <w:szCs w:val="32"/>
          <w:lang w:val="en-US" w:eastAsia="zh-CN"/>
        </w:rPr>
        <w:t>加强党建引领政治建设，着力提升干部职工政治意识、保密意识、安全意识。充分发挥好视频号、媒体等宣传阵地作用，提高宣传效果，增强宣传能力，为基层党建工作注入新的活力。</w:t>
      </w:r>
      <w:r>
        <w:rPr>
          <w:rFonts w:hint="eastAsia" w:ascii="仿宋_GB2312" w:eastAsia="仿宋_GB2312" w:cs="黑体"/>
          <w:color w:val="auto"/>
          <w:sz w:val="32"/>
          <w:szCs w:val="32"/>
          <w:lang w:val="en-US" w:eastAsia="zh-CN"/>
        </w:rPr>
        <w:t>扎实推进“党建聚合力”“书记工程”“闪亮</w:t>
      </w:r>
      <w:r>
        <w:rPr>
          <w:rFonts w:hint="eastAsia" w:ascii="仿宋_GB2312" w:eastAsia="仿宋_GB2312" w:cs="黑体"/>
          <w:color w:val="auto"/>
          <w:spacing w:val="-6"/>
          <w:sz w:val="32"/>
          <w:szCs w:val="32"/>
          <w:lang w:val="en-US" w:eastAsia="zh-CN"/>
        </w:rPr>
        <w:t>工程”三大工程，持续发力，做到党建共建一体、城乡规划一体、基础设施一体、社会治理一体、街村荣辱一体。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3" w:firstLineChars="200"/>
        <w:jc w:val="both"/>
        <w:textAlignment w:val="auto"/>
        <w:outlineLvl w:val="9"/>
        <w:rPr>
          <w:rFonts w:ascii="仿宋_GB2312" w:eastAsia="仿宋_GB2312" w:cs="黑体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（二）提升品质、共建共享，推进城乡一体发展。</w:t>
      </w:r>
      <w:r>
        <w:rPr>
          <w:rFonts w:hint="eastAsia" w:ascii="仿宋_GB2312" w:eastAsia="仿宋_GB2312" w:cs="黑体"/>
          <w:color w:val="auto"/>
          <w:sz w:val="32"/>
          <w:szCs w:val="32"/>
          <w:lang w:val="en-US" w:eastAsia="zh-CN"/>
        </w:rPr>
        <w:t>努力推动新型城镇化和乡村振兴有机结合，促进各类要素城乡流动，进一步缩小城乡发展差距。巩固拓展脱贫攻坚成果，持续做好返贫监测，落实帮扶措施，着力提升乡村产业发展水平、乡村基层建设水平、乡村社会治理水平；以戏曲文化为魂，引入旅游市场新兴业态，打造新康戏乡2.0版特色品牌。着重抓好湖南建投、长沙建发等房产项目，积极对接金辉集团总部迁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3" w:firstLineChars="200"/>
        <w:jc w:val="both"/>
        <w:textAlignment w:val="auto"/>
        <w:outlineLvl w:val="9"/>
        <w:rPr>
          <w:rFonts w:hint="eastAsia" w:ascii="仿宋_GB2312" w:eastAsia="仿宋_GB2312" w:cs="黑体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（三）打造项目、稳中求进，培育经济发展动能。</w:t>
      </w:r>
      <w:r>
        <w:rPr>
          <w:rFonts w:hint="eastAsia" w:ascii="仿宋_GB2312" w:eastAsia="仿宋_GB2312" w:cs="黑体"/>
          <w:color w:val="auto"/>
          <w:sz w:val="32"/>
          <w:szCs w:val="32"/>
          <w:lang w:val="en-US" w:eastAsia="zh-CN"/>
        </w:rPr>
        <w:t>健全项目要素，推进项目征拆扫尾交地，积极做好项目引进工作，规划引进重点储备项目，跟进社会性投资项目，促进湘商回归。做好“五经普”“干部进企”工作，鼓励规上工业企业增加研发经费投入，培育盾石、广厦新型建材等税源大户，不断扩宽税源。创新思路，盘活街属国有资产，努力培植财源。做优服务，引育各类“四上”企业，做大做强正荣商圈、紫鑫中央广场等楼宇经济，多措并举，促进城乡居民消费，全力打造经济发展新动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3" w:firstLineChars="200"/>
        <w:jc w:val="both"/>
        <w:textAlignment w:val="auto"/>
        <w:outlineLvl w:val="9"/>
        <w:rPr>
          <w:rFonts w:ascii="仿宋_GB2312" w:eastAsia="仿宋_GB2312" w:cs="黑体"/>
          <w:color w:val="auto"/>
          <w:sz w:val="30"/>
          <w:szCs w:val="30"/>
          <w:lang w:val="en-US" w:eastAsia="zh-CN"/>
        </w:rPr>
      </w:pPr>
      <w:r>
        <w:rPr>
          <w:rFonts w:hint="eastAsia" w:asci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（四）优化服务、提标提效，落实落细城市管理。</w:t>
      </w:r>
      <w:r>
        <w:rPr>
          <w:rFonts w:hint="eastAsia" w:ascii="仿宋_GB2312" w:eastAsia="仿宋_GB2312" w:cs="黑体"/>
          <w:color w:val="auto"/>
          <w:sz w:val="32"/>
          <w:szCs w:val="32"/>
          <w:lang w:val="en-US" w:eastAsia="zh-CN"/>
        </w:rPr>
        <w:t>以创建国家卫生城市为契机，大力推进城乡结合部环境卫生改善，扎实开展百街千巷、精品社区创建，持续推进红旺市场整治行动。推动现有超大社区优化拆分，实现社区服务与居民需求有效匹配，进一步提升治理效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3" w:firstLineChars="200"/>
        <w:jc w:val="both"/>
        <w:textAlignment w:val="auto"/>
        <w:outlineLvl w:val="9"/>
        <w:rPr>
          <w:rFonts w:hint="eastAsia" w:ascii="仿宋_GB2312" w:eastAsia="仿宋_GB2312" w:cs="仿宋_GB2312"/>
          <w:bCs/>
          <w:color w:val="auto"/>
          <w:sz w:val="32"/>
          <w:szCs w:val="32"/>
          <w:lang w:val="en-US" w:eastAsia="zh-CN" w:bidi="ar-SA"/>
        </w:rPr>
      </w:pPr>
      <w:r>
        <w:rPr>
          <w:rFonts w:hint="eastAsia" w:asci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（五）以人为本、安全为要，筑牢平安稳定基石。</w:t>
      </w:r>
      <w:r>
        <w:rPr>
          <w:rFonts w:hint="eastAsia" w:asci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严格落实领导干部安全生产责任制，强化安全底线意识。街社两级协同配合，重视初信初访、源头化解，做好信访工作减存量、控增量、防变量，</w:t>
      </w:r>
      <w:r>
        <w:rPr>
          <w:rFonts w:hint="eastAsia" w:ascii="仿宋_GB2312" w:eastAsia="仿宋_GB2312" w:cs="仿宋_GB2312"/>
          <w:bCs/>
          <w:color w:val="auto"/>
          <w:sz w:val="32"/>
          <w:szCs w:val="32"/>
          <w:lang w:val="en-US" w:eastAsia="zh-CN" w:bidi="ar-SA"/>
        </w:rPr>
        <w:t>努力办理化解桂英书记、国良书记下沉接访信访案源。持续推进自建房系统隐患整治销号，建立健全定期安全评估制度。严格排查非法集资问题，加强对防电信诈骗意识的宣传，守护好群众的“钱袋子”。</w:t>
      </w:r>
    </w:p>
    <w:p>
      <w:pPr>
        <w:pStyle w:val="6"/>
        <w:keepNext w:val="0"/>
        <w:keepLines w:val="0"/>
        <w:pageBreakBefore w:val="0"/>
        <w:widowControl w:val="0"/>
        <w:bidi w:val="0"/>
        <w:spacing w:line="560" w:lineRule="exact"/>
      </w:pPr>
    </w:p>
    <w:p>
      <w:pPr>
        <w:pStyle w:val="6"/>
        <w:keepNext w:val="0"/>
        <w:keepLines w:val="0"/>
        <w:pageBreakBefore w:val="0"/>
        <w:widowControl w:val="0"/>
        <w:bidi w:val="0"/>
        <w:spacing w:line="560" w:lineRule="exact"/>
      </w:pPr>
    </w:p>
    <w:p>
      <w:pPr>
        <w:pStyle w:val="11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0"/>
        <w:jc w:val="right"/>
        <w:textAlignment w:val="auto"/>
        <w:rPr>
          <w:rFonts w:hint="eastAsia" w:ascii="仿宋_GB2312" w:eastAsia="仿宋_GB2312" w:cs="仿宋_GB2312"/>
          <w:b w:val="0"/>
          <w:bCs w:val="0"/>
          <w:i w:val="0"/>
          <w:caps w:val="0"/>
          <w:small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b w:val="0"/>
          <w:bCs w:val="0"/>
          <w:i w:val="0"/>
          <w:caps w:val="0"/>
          <w:smallCaps w:val="0"/>
          <w:color w:val="auto"/>
          <w:spacing w:val="0"/>
          <w:sz w:val="32"/>
          <w:szCs w:val="32"/>
          <w:lang w:val="en-US" w:eastAsia="zh-CN"/>
        </w:rPr>
        <w:t>中共长沙市望城区高塘岭街道工作委员会</w:t>
      </w:r>
    </w:p>
    <w:p>
      <w:pPr>
        <w:pStyle w:val="11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0"/>
        <w:jc w:val="right"/>
        <w:textAlignment w:val="auto"/>
        <w:rPr>
          <w:rFonts w:hint="default" w:ascii="仿宋_GB2312" w:eastAsia="仿宋_GB2312" w:cs="仿宋_GB2312"/>
          <w:b w:val="0"/>
          <w:bCs w:val="0"/>
          <w:i w:val="0"/>
          <w:caps w:val="0"/>
          <w:small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b w:val="0"/>
          <w:bCs w:val="0"/>
          <w:i w:val="0"/>
          <w:caps w:val="0"/>
          <w:smallCaps w:val="0"/>
          <w:color w:val="auto"/>
          <w:spacing w:val="0"/>
          <w:sz w:val="32"/>
          <w:szCs w:val="32"/>
          <w:lang w:val="en-US" w:eastAsia="zh-CN"/>
        </w:rPr>
        <w:t xml:space="preserve">                 2024年</w:t>
      </w:r>
      <w:r>
        <w:rPr>
          <w:rFonts w:hint="default" w:ascii="仿宋_GB2312" w:eastAsia="仿宋_GB2312" w:cs="仿宋_GB2312"/>
          <w:b w:val="0"/>
          <w:bCs w:val="0"/>
          <w:i w:val="0"/>
          <w:caps w:val="0"/>
          <w:smallCaps w:val="0"/>
          <w:color w:val="auto"/>
          <w:spacing w:val="0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 w:cs="仿宋_GB2312"/>
          <w:b w:val="0"/>
          <w:bCs w:val="0"/>
          <w:i w:val="0"/>
          <w:caps w:val="0"/>
          <w:smallCaps w:val="0"/>
          <w:color w:val="auto"/>
          <w:spacing w:val="0"/>
          <w:sz w:val="32"/>
          <w:szCs w:val="32"/>
          <w:lang w:val="en-US" w:eastAsia="zh-CN"/>
        </w:rPr>
        <w:t>月</w:t>
      </w:r>
      <w:r>
        <w:rPr>
          <w:rFonts w:hint="default" w:ascii="仿宋_GB2312" w:eastAsia="仿宋_GB2312" w:cs="仿宋_GB2312"/>
          <w:b w:val="0"/>
          <w:bCs w:val="0"/>
          <w:i w:val="0"/>
          <w:caps w:val="0"/>
          <w:smallCaps w:val="0"/>
          <w:color w:val="auto"/>
          <w:spacing w:val="0"/>
          <w:sz w:val="32"/>
          <w:szCs w:val="32"/>
          <w:lang w:val="en-US" w:eastAsia="zh-CN"/>
        </w:rPr>
        <w:t>15</w:t>
      </w:r>
      <w:r>
        <w:rPr>
          <w:rFonts w:hint="eastAsia" w:ascii="仿宋_GB2312" w:eastAsia="仿宋_GB2312" w:cs="仿宋_GB2312"/>
          <w:b w:val="0"/>
          <w:bCs w:val="0"/>
          <w:i w:val="0"/>
          <w:caps w:val="0"/>
          <w:smallCaps w:val="0"/>
          <w:color w:val="auto"/>
          <w:spacing w:val="0"/>
          <w:sz w:val="32"/>
          <w:szCs w:val="32"/>
          <w:lang w:val="en-US" w:eastAsia="zh-CN"/>
        </w:rPr>
        <w:t xml:space="preserve">日          </w:t>
      </w:r>
    </w:p>
    <w:p>
      <w:pPr>
        <w:pStyle w:val="11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0"/>
        <w:jc w:val="left"/>
        <w:textAlignment w:val="auto"/>
        <w:rPr>
          <w:rFonts w:hint="eastAsia" w:ascii="仿宋_GB2312" w:eastAsia="仿宋_GB2312" w:cs="仿宋_GB2312"/>
          <w:b w:val="0"/>
          <w:bCs w:val="0"/>
          <w:i w:val="0"/>
          <w:caps w:val="0"/>
          <w:smallCaps w:val="0"/>
          <w:color w:val="auto"/>
          <w:spacing w:val="0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 w:val="0"/>
        <w:wordWrap/>
        <w:bidi w:val="0"/>
        <w:spacing w:line="560" w:lineRule="exact"/>
        <w:jc w:val="both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640" w:firstLineChars="200"/>
        <w:jc w:val="left"/>
        <w:textAlignment w:val="auto"/>
        <w:outlineLvl w:val="9"/>
        <w:rPr>
          <w:rStyle w:val="19"/>
          <w:rFonts w:hint="eastAsia" w:ascii="仿宋_GB2312" w:eastAsia="仿宋_GB2312" w:cs="仿宋_GB2312"/>
          <w:spacing w:val="0"/>
          <w:kern w:val="21"/>
          <w:sz w:val="32"/>
          <w:szCs w:val="32"/>
          <w:lang w:val="en-US" w:eastAsia="zh-CN"/>
        </w:rPr>
      </w:pPr>
      <w:r>
        <w:rPr>
          <w:rStyle w:val="19"/>
          <w:rFonts w:hint="eastAsia" w:ascii="仿宋_GB2312" w:eastAsia="仿宋_GB2312" w:cs="仿宋_GB2312"/>
          <w:spacing w:val="0"/>
          <w:kern w:val="21"/>
          <w:sz w:val="32"/>
          <w:szCs w:val="32"/>
          <w:lang w:val="en-US" w:eastAsia="zh-CN"/>
        </w:rPr>
        <w:t>（联系人：李瑞成，16681561838）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/>
          <w:lang w:eastAsia="zh-CN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/>
          <w:lang w:eastAsia="zh-CN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/>
          <w:lang w:eastAsia="zh-CN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/>
          <w:lang w:eastAsia="zh-CN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/>
          <w:lang w:eastAsia="zh-CN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/>
          <w:lang w:eastAsia="zh-CN"/>
        </w:rPr>
        <w:sectPr>
          <w:footerReference r:id="rId3" w:type="default"/>
          <w:pgSz w:w="11906" w:h="16838"/>
          <w:pgMar w:top="1440" w:right="1800" w:bottom="1440" w:left="1800" w:header="851" w:footer="1077" w:gutter="0"/>
          <w:pgNumType w:fmt="decimal"/>
          <w:cols w:space="720" w:num="1"/>
          <w:docGrid w:type="lines" w:linePitch="312" w:charSpace="0"/>
        </w:sectPr>
      </w:pPr>
    </w:p>
    <w:p>
      <w:pPr>
        <w:pStyle w:val="12"/>
        <w:ind w:left="0" w:leftChars="0" w:firstLine="0" w:firstLineChars="0"/>
        <w:rPr>
          <w:rFonts w:hint="eastAsia"/>
        </w:rPr>
      </w:pPr>
    </w:p>
    <w:p>
      <w:pPr>
        <w:pStyle w:val="12"/>
        <w:ind w:left="0" w:leftChars="0" w:firstLine="0" w:firstLineChars="0"/>
        <w:rPr>
          <w:rFonts w:hint="eastAsia"/>
        </w:rPr>
      </w:pPr>
    </w:p>
    <w:p>
      <w:pPr>
        <w:pStyle w:val="12"/>
        <w:ind w:left="0" w:leftChars="0" w:firstLine="0" w:firstLineChars="0"/>
        <w:rPr>
          <w:rFonts w:hint="eastAsia"/>
        </w:rPr>
      </w:pPr>
    </w:p>
    <w:p>
      <w:pPr>
        <w:pStyle w:val="12"/>
        <w:ind w:left="0" w:leftChars="0" w:firstLine="0" w:firstLineChars="0"/>
        <w:rPr>
          <w:rFonts w:hint="eastAsia"/>
        </w:rPr>
      </w:pPr>
    </w:p>
    <w:p>
      <w:pPr>
        <w:pStyle w:val="12"/>
        <w:ind w:left="0" w:leftChars="0" w:firstLine="0" w:firstLineChars="0"/>
        <w:rPr>
          <w:rFonts w:hint="eastAsia"/>
        </w:rPr>
      </w:pPr>
    </w:p>
    <w:p>
      <w:pPr>
        <w:pStyle w:val="12"/>
        <w:ind w:left="0" w:leftChars="0" w:firstLine="0" w:firstLineChars="0"/>
        <w:rPr>
          <w:rFonts w:hint="eastAsia"/>
        </w:rPr>
      </w:pPr>
    </w:p>
    <w:p>
      <w:pPr>
        <w:pStyle w:val="12"/>
        <w:ind w:left="0" w:leftChars="0" w:firstLine="0" w:firstLineChars="0"/>
        <w:rPr>
          <w:rFonts w:hint="eastAsia"/>
        </w:rPr>
      </w:pPr>
    </w:p>
    <w:p>
      <w:pPr>
        <w:pStyle w:val="12"/>
        <w:ind w:left="0" w:leftChars="0" w:firstLine="0" w:firstLineChars="0"/>
        <w:rPr>
          <w:rFonts w:hint="eastAsia"/>
        </w:rPr>
      </w:pPr>
    </w:p>
    <w:p>
      <w:pPr>
        <w:pStyle w:val="12"/>
        <w:ind w:left="0" w:leftChars="0" w:firstLine="0" w:firstLineChars="0"/>
        <w:rPr>
          <w:rFonts w:hint="eastAsia"/>
        </w:rPr>
      </w:pPr>
    </w:p>
    <w:p>
      <w:pPr>
        <w:pStyle w:val="12"/>
        <w:ind w:left="0" w:leftChars="0" w:firstLine="0" w:firstLineChars="0"/>
        <w:rPr>
          <w:rFonts w:hint="eastAsia"/>
        </w:rPr>
      </w:pPr>
    </w:p>
    <w:p>
      <w:pPr>
        <w:pStyle w:val="12"/>
        <w:ind w:left="0" w:leftChars="0" w:firstLine="0" w:firstLineChars="0"/>
        <w:rPr>
          <w:rFonts w:hint="eastAsia"/>
        </w:rPr>
      </w:pPr>
    </w:p>
    <w:p>
      <w:pPr>
        <w:pStyle w:val="12"/>
        <w:ind w:left="0" w:leftChars="0" w:firstLine="0" w:firstLineChars="0"/>
        <w:rPr>
          <w:rFonts w:hint="eastAsia"/>
        </w:rPr>
      </w:pPr>
    </w:p>
    <w:p>
      <w:pPr>
        <w:pStyle w:val="12"/>
        <w:ind w:left="0" w:leftChars="0" w:firstLine="0" w:firstLineChars="0"/>
        <w:rPr>
          <w:rFonts w:hint="eastAsia"/>
        </w:rPr>
      </w:pPr>
    </w:p>
    <w:p>
      <w:pPr>
        <w:pStyle w:val="12"/>
        <w:ind w:left="0" w:leftChars="0" w:firstLine="0" w:firstLineChars="0"/>
        <w:rPr>
          <w:rFonts w:hint="eastAsia"/>
        </w:rPr>
      </w:pPr>
    </w:p>
    <w:p>
      <w:pPr>
        <w:pStyle w:val="12"/>
        <w:ind w:left="0" w:leftChars="0" w:firstLine="0" w:firstLineChars="0"/>
        <w:rPr>
          <w:rFonts w:hint="eastAsia"/>
        </w:rPr>
      </w:pPr>
    </w:p>
    <w:p>
      <w:pPr>
        <w:pStyle w:val="12"/>
        <w:ind w:left="0" w:leftChars="0" w:firstLine="0" w:firstLineChars="0"/>
        <w:rPr>
          <w:rFonts w:hint="eastAsia"/>
        </w:rPr>
      </w:pPr>
    </w:p>
    <w:p>
      <w:pPr>
        <w:pStyle w:val="12"/>
        <w:ind w:left="0" w:leftChars="0" w:firstLine="0" w:firstLineChars="0"/>
        <w:rPr>
          <w:rFonts w:hint="eastAsia"/>
        </w:rPr>
      </w:pPr>
    </w:p>
    <w:p>
      <w:pPr>
        <w:pStyle w:val="12"/>
        <w:ind w:left="0" w:leftChars="0" w:firstLine="0" w:firstLineChars="0"/>
        <w:rPr>
          <w:rFonts w:hint="eastAsia"/>
        </w:rPr>
      </w:pPr>
    </w:p>
    <w:p>
      <w:pPr>
        <w:pStyle w:val="12"/>
        <w:ind w:left="0" w:leftChars="0" w:firstLine="0" w:firstLineChars="0"/>
        <w:rPr>
          <w:rFonts w:hint="eastAsia"/>
        </w:rPr>
      </w:pPr>
    </w:p>
    <w:p>
      <w:pPr>
        <w:pStyle w:val="12"/>
        <w:ind w:left="0" w:leftChars="0" w:firstLine="0" w:firstLineChars="0"/>
        <w:rPr>
          <w:rFonts w:hint="eastAsia"/>
        </w:rPr>
      </w:pPr>
    </w:p>
    <w:p>
      <w:pPr>
        <w:pStyle w:val="12"/>
        <w:ind w:left="0" w:leftChars="0" w:firstLine="0" w:firstLineChars="0"/>
        <w:rPr>
          <w:rFonts w:hint="eastAsia"/>
        </w:rPr>
      </w:pPr>
    </w:p>
    <w:p>
      <w:pPr>
        <w:pStyle w:val="12"/>
        <w:ind w:left="0" w:leftChars="0" w:firstLine="0" w:firstLineChars="0"/>
        <w:rPr>
          <w:rFonts w:hint="eastAsia"/>
        </w:rPr>
      </w:pPr>
    </w:p>
    <w:p>
      <w:pPr>
        <w:pStyle w:val="12"/>
        <w:ind w:left="0" w:leftChars="0" w:firstLine="0" w:firstLineChars="0"/>
        <w:rPr>
          <w:rFonts w:hint="eastAsia"/>
        </w:rPr>
      </w:pPr>
    </w:p>
    <w:p>
      <w:pPr>
        <w:pStyle w:val="12"/>
        <w:ind w:left="0" w:leftChars="0" w:firstLine="0" w:firstLineChars="0"/>
        <w:rPr>
          <w:rFonts w:hint="eastAsia"/>
        </w:rPr>
      </w:pPr>
    </w:p>
    <w:p>
      <w:pPr>
        <w:pStyle w:val="12"/>
        <w:ind w:left="0" w:leftChars="0" w:firstLine="0" w:firstLineChars="0"/>
        <w:rPr>
          <w:rFonts w:hint="eastAsia"/>
        </w:rPr>
      </w:pPr>
    </w:p>
    <w:p>
      <w:pPr>
        <w:pStyle w:val="12"/>
        <w:ind w:left="0" w:leftChars="0" w:firstLine="0" w:firstLineChars="0"/>
        <w:rPr>
          <w:rFonts w:hint="eastAsia"/>
        </w:rPr>
      </w:pPr>
    </w:p>
    <w:p>
      <w:pPr>
        <w:pStyle w:val="12"/>
        <w:ind w:left="0" w:leftChars="0" w:firstLine="0" w:firstLineChars="0"/>
        <w:rPr>
          <w:rFonts w:hint="eastAsia"/>
        </w:rPr>
      </w:pPr>
    </w:p>
    <w:p>
      <w:pPr>
        <w:pStyle w:val="12"/>
        <w:ind w:left="0" w:leftChars="0" w:firstLine="0" w:firstLineChars="0"/>
        <w:rPr>
          <w:rFonts w:hint="eastAsia"/>
        </w:rPr>
      </w:pPr>
    </w:p>
    <w:p>
      <w:pPr>
        <w:pStyle w:val="12"/>
        <w:ind w:left="0" w:leftChars="0" w:firstLine="0" w:firstLineChars="0"/>
        <w:rPr>
          <w:rFonts w:hint="eastAsia"/>
        </w:rPr>
      </w:pPr>
    </w:p>
    <w:p>
      <w:pPr>
        <w:pStyle w:val="12"/>
        <w:ind w:left="0" w:leftChars="0" w:firstLine="0" w:firstLineChars="0"/>
        <w:rPr>
          <w:rFonts w:hint="eastAsia"/>
        </w:rPr>
      </w:pPr>
    </w:p>
    <w:p>
      <w:pPr>
        <w:keepNext w:val="0"/>
        <w:keepLines w:val="0"/>
        <w:pageBreakBefore w:val="0"/>
        <w:widowControl w:val="0"/>
        <w:pBdr>
          <w:top w:val="single" w:color="auto" w:sz="4" w:space="1"/>
          <w:bottom w:val="single" w:color="auto" w:sz="4" w:space="1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 xml:space="preserve">高塘岭街道党政综合办公室  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年</w:t>
      </w:r>
      <w:r>
        <w:rPr>
          <w:rFonts w:hint="default" w:ascii="仿宋_GB2312" w:hAnsi="仿宋_GB2312" w:eastAsia="仿宋_GB2312" w:cs="仿宋_GB2312"/>
          <w:color w:val="000000"/>
          <w:sz w:val="28"/>
          <w:szCs w:val="28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月</w:t>
      </w:r>
      <w:r>
        <w:rPr>
          <w:rFonts w:hint="default" w:ascii="仿宋_GB2312" w:hAnsi="仿宋_GB2312" w:eastAsia="仿宋_GB2312" w:cs="仿宋_GB2312"/>
          <w:color w:val="000000"/>
          <w:sz w:val="28"/>
          <w:szCs w:val="28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日印发</w:t>
      </w:r>
    </w:p>
    <w:sectPr>
      <w:footerReference r:id="rId4" w:type="default"/>
      <w:pgSz w:w="11906" w:h="16838"/>
      <w:pgMar w:top="1440" w:right="1800" w:bottom="1440" w:left="1800" w:header="851" w:footer="1134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8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大标宋简体">
    <w:altName w:val="方正书宋_GBK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JIJGtD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  <w:rPr>
                              <w:rFonts w:hint="default" w:ascii="仿宋_GB2312" w:hAnsi="仿宋_GB2312" w:eastAsia="仿宋_GB2312" w:cs="仿宋_GB2312"/>
                              <w:sz w:val="24"/>
                              <w:szCs w:val="24"/>
                              <w:lang w:val="en-US"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rPr>
                        <w:rFonts w:hint="default" w:ascii="仿宋_GB2312" w:hAnsi="仿宋_GB2312" w:eastAsia="仿宋_GB2312" w:cs="仿宋_GB2312"/>
                        <w:sz w:val="24"/>
                        <w:szCs w:val="24"/>
                        <w:lang w:val="en-US"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FgAAAGRycy9QSwECFAAUAAAACACHTuJAs0lY7tAAAAAFAQAADwAAAAAAAAABACAAAAA4AAAA&#10;ZHJzL2Rvd25yZXYueG1sUEsBAhQAFAAAAAgAh07iQOGA044yAgAAYQQAAA4AAAAAAAAAAQAgAAAA&#10;NQEAAGRycy9lMm9Eb2MueG1sUEsFBgAAAAAGAAYAWQEAANk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>8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  <w:rPr>
                              <w:rFonts w:hint="default" w:ascii="仿宋_GB2312" w:hAnsi="仿宋_GB2312" w:eastAsia="仿宋_GB2312" w:cs="仿宋_GB2312"/>
                              <w:sz w:val="24"/>
                              <w:szCs w:val="24"/>
                              <w:lang w:val="en-US"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FgAAAGRycy9QSwECFAAUAAAACACHTuJAs0lY7tAAAAAFAQAADwAAAAAAAAABACAAAAA4AAAA&#10;ZHJzL2Rvd25yZXYueG1sUEsBAhQAFAAAAAgAh07iQLqMOCsyAgAAYQQAAA4AAAAAAAAAAQAgAAAA&#10;NQEAAGRycy9lMm9Eb2MueG1sUEsFBgAAAAAGAAYAWQEAANk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rPr>
                        <w:rFonts w:hint="default" w:ascii="仿宋_GB2312" w:hAnsi="仿宋_GB2312" w:eastAsia="仿宋_GB2312" w:cs="仿宋_GB2312"/>
                        <w:sz w:val="24"/>
                        <w:szCs w:val="24"/>
                        <w:lang w:val="en-US"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</w:compat>
  <w:docVars>
    <w:docVar w:name="commondata" w:val="eyJoZGlkIjoiN2ZhYzdhYTZkOTFiZjM2ZGNjMmZlNjM4YjkzZmYwNjEifQ=="/>
  </w:docVars>
  <w:rsids>
    <w:rsidRoot w:val="00000000"/>
    <w:rsid w:val="09C94FB1"/>
    <w:rsid w:val="0F8FE710"/>
    <w:rsid w:val="195B484F"/>
    <w:rsid w:val="2CC65B54"/>
    <w:rsid w:val="32B51781"/>
    <w:rsid w:val="3CDE456C"/>
    <w:rsid w:val="43AC3B04"/>
    <w:rsid w:val="465175BC"/>
    <w:rsid w:val="47B71345"/>
    <w:rsid w:val="6823604A"/>
    <w:rsid w:val="71CF45F3"/>
    <w:rsid w:val="7B5FC3AC"/>
    <w:rsid w:val="7CAE1A9E"/>
    <w:rsid w:val="7DC260E4"/>
    <w:rsid w:val="B9DF1686"/>
    <w:rsid w:val="BFF74A81"/>
    <w:rsid w:val="E77FE7DD"/>
    <w:rsid w:val="F7BF8F41"/>
    <w:rsid w:val="FBEF89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5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5">
    <w:name w:val="Default Paragraph Font"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adjustRightInd w:val="0"/>
      <w:snapToGrid w:val="0"/>
    </w:pPr>
  </w:style>
  <w:style w:type="paragraph" w:styleId="6">
    <w:name w:val="Body Text"/>
    <w:basedOn w:val="1"/>
    <w:next w:val="7"/>
    <w:qFormat/>
    <w:uiPriority w:val="0"/>
    <w:pPr>
      <w:spacing w:line="680" w:lineRule="exact"/>
      <w:jc w:val="center"/>
    </w:pPr>
    <w:rPr>
      <w:rFonts w:eastAsia="方正大标宋简体"/>
      <w:sz w:val="52"/>
    </w:rPr>
  </w:style>
  <w:style w:type="paragraph" w:styleId="7">
    <w:name w:val="Body Text 2"/>
    <w:basedOn w:val="1"/>
    <w:qFormat/>
    <w:uiPriority w:val="99"/>
    <w:pPr>
      <w:spacing w:after="120" w:line="480" w:lineRule="auto"/>
    </w:pPr>
  </w:style>
  <w:style w:type="paragraph" w:styleId="8">
    <w:name w:val="Body Text Indent"/>
    <w:basedOn w:val="1"/>
    <w:qFormat/>
    <w:uiPriority w:val="0"/>
    <w:pPr>
      <w:spacing w:after="120"/>
      <w:ind w:left="200" w:leftChars="200"/>
    </w:pPr>
    <w:rPr>
      <w:rFonts w:ascii="Times New Roman" w:hAnsi="Times New Roman" w:eastAsia="宋体" w:cs="Times New Roman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/>
    </w:rPr>
  </w:style>
  <w:style w:type="paragraph" w:styleId="12">
    <w:name w:val="Body Text First Indent 2"/>
    <w:basedOn w:val="8"/>
    <w:qFormat/>
    <w:uiPriority w:val="0"/>
    <w:pPr>
      <w:ind w:firstLine="200" w:firstLineChars="200"/>
    </w:pPr>
    <w:rPr>
      <w:rFonts w:ascii="Times New Roman" w:hAnsi="Times New Roman" w:eastAsia="宋体" w:cs="Times New Roman"/>
    </w:r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Strong"/>
    <w:qFormat/>
    <w:uiPriority w:val="0"/>
    <w:rPr>
      <w:b/>
    </w:rPr>
  </w:style>
  <w:style w:type="paragraph" w:customStyle="1" w:styleId="17">
    <w:name w:val="BodyText1I2"/>
    <w:basedOn w:val="1"/>
    <w:next w:val="9"/>
    <w:qFormat/>
    <w:uiPriority w:val="0"/>
    <w:pPr>
      <w:widowControl w:val="0"/>
      <w:spacing w:after="120"/>
      <w:ind w:left="200" w:leftChars="200" w:firstLine="200" w:firstLineChars="200"/>
      <w:jc w:val="both"/>
      <w:textAlignment w:val="baseline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8">
    <w:name w:val="UserStyle_6"/>
    <w:basedOn w:val="1"/>
    <w:link w:val="19"/>
    <w:qFormat/>
    <w:uiPriority w:val="0"/>
    <w:pPr>
      <w:widowControl/>
      <w:spacing w:line="360" w:lineRule="auto"/>
      <w:jc w:val="left"/>
      <w:textAlignment w:val="baseline"/>
    </w:pPr>
    <w:rPr>
      <w:rFonts w:ascii="Times New Roman" w:hAnsi="Times New Roman" w:eastAsia="宋体" w:cs="Times New Roman"/>
      <w:spacing w:val="-10"/>
      <w:kern w:val="0"/>
      <w:sz w:val="20"/>
      <w:szCs w:val="20"/>
      <w:lang w:val="en-US" w:bidi="ar-SA"/>
    </w:rPr>
  </w:style>
  <w:style w:type="character" w:customStyle="1" w:styleId="19">
    <w:name w:val="UserStyle_6 Char"/>
    <w:basedOn w:val="15"/>
    <w:link w:val="18"/>
    <w:qFormat/>
    <w:uiPriority w:val="0"/>
    <w:rPr>
      <w:rFonts w:ascii="Times New Roman" w:hAnsi="Times New Roman" w:eastAsia="宋体" w:cs="Times New Roman"/>
      <w:spacing w:val="-10"/>
      <w:kern w:val="0"/>
      <w:sz w:val="20"/>
      <w:szCs w:val="20"/>
      <w:lang w:val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8</Pages>
  <Words>3770</Words>
  <Characters>4003</Characters>
  <Lines>161</Lines>
  <Paragraphs>21</Paragraphs>
  <TotalTime>2</TotalTime>
  <ScaleCrop>false</ScaleCrop>
  <LinksUpToDate>false</LinksUpToDate>
  <CharactersWithSpaces>4052</CharactersWithSpaces>
  <Application>WPS Office_11.8.2.10953_F1E327BC-269C-435d-A152-05C5408002CA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2020-06-25T10:31:00Z</dcterms:created>
  <dc:creator>蛋蛋</dc:creator>
  <cp:lastModifiedBy>kylin10</cp:lastModifiedBy>
  <cp:lastPrinted>2024-01-06T01:35:00Z</cp:lastPrinted>
  <dcterms:modified xsi:type="dcterms:W3CDTF">2024-02-08T15:28:14Z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2052-11.8.2.10953</vt:lpwstr>
  </property>
  <property fmtid="{D5CDD505-2E9C-101B-9397-08002B2CF9AE}" pid="3" name="ICV">
    <vt:lpwstr>1F0550037C34E2D7151B9565FFE78C57</vt:lpwstr>
  </property>
</Properties>
</file>