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default" w:ascii="方正小标宋简体" w:hAnsi="Calibri" w:eastAsia="方正小标宋简体" w:cs="Arial"/>
          <w:color w:val="auto"/>
          <w:sz w:val="44"/>
          <w:szCs w:val="44"/>
          <w:lang w:val="en-US" w:eastAsia="zh-CN"/>
        </w:rPr>
      </w:pPr>
      <w:r>
        <w:rPr>
          <w:rFonts w:ascii="方正小标宋简体" w:hAnsi="Calibri" w:eastAsia="方正小标宋简体" w:cs="Arial"/>
          <w:color w:val="auto"/>
          <w:sz w:val="44"/>
          <w:szCs w:val="44"/>
          <w:lang w:val="en-US" w:eastAsia="zh-CN"/>
        </w:rPr>
        <w:t>高塘岭街道</w:t>
      </w:r>
      <w:r>
        <w:rPr>
          <w:rFonts w:hint="eastAsia" w:ascii="方正小标宋简体" w:hAnsi="Calibri" w:eastAsia="方正小标宋简体" w:cs="Arial"/>
          <w:color w:val="auto"/>
          <w:sz w:val="44"/>
          <w:szCs w:val="44"/>
          <w:lang w:val="en-US" w:eastAsia="zh-CN"/>
        </w:rPr>
        <w:t>2024年下半年工作计划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ascii="仿宋_GB2312" w:hAnsi="Calibri"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eastAsia" w:ascii="仿宋_GB2312" w:eastAsia="仿宋_GB2312" w:cs="仿宋_GB2312"/>
          <w:color w:val="auto"/>
          <w:sz w:val="32"/>
          <w:szCs w:val="32"/>
          <w:lang w:val="en-US" w:eastAsia="zh-CN"/>
        </w:rPr>
      </w:pPr>
      <w:r>
        <w:rPr>
          <w:rFonts w:hint="eastAsia" w:ascii="仿宋_GB2312" w:hAnsi="Calibri" w:eastAsia="仿宋_GB2312" w:cs="仿宋_GB2312"/>
          <w:color w:val="auto"/>
          <w:sz w:val="32"/>
          <w:szCs w:val="32"/>
          <w:lang w:val="en-US" w:eastAsia="zh-CN"/>
        </w:rPr>
        <w:t>今年以来，高塘岭街道坚持深入学习贯彻习近平总书记在湖南考察时的重要讲话和指示精神，加快培育和发展新质生产力，紧紧围绕“质效倍增拼经济、担当善为抓发展”主题，拓展思路抓成效，基层党建</w:t>
      </w:r>
      <w:r>
        <w:rPr>
          <w:rFonts w:hint="eastAsia" w:ascii="仿宋" w:hAnsi="仿宋" w:eastAsia="仿宋" w:cs="仿宋"/>
          <w:sz w:val="32"/>
          <w:szCs w:val="32"/>
        </w:rPr>
        <w:t>聚力增效</w:t>
      </w:r>
      <w:r>
        <w:rPr>
          <w:rFonts w:hint="eastAsia" w:ascii="仿宋_GB2312" w:hAnsi="Calibri" w:eastAsia="仿宋_GB2312" w:cs="仿宋_GB2312"/>
          <w:color w:val="auto"/>
          <w:sz w:val="32"/>
          <w:szCs w:val="32"/>
          <w:lang w:val="en-US" w:eastAsia="zh-CN"/>
        </w:rPr>
        <w:t>、经济发展</w:t>
      </w:r>
      <w:r>
        <w:rPr>
          <w:rFonts w:hint="eastAsia" w:ascii="仿宋" w:hAnsi="仿宋" w:eastAsia="仿宋" w:cs="仿宋"/>
          <w:sz w:val="32"/>
          <w:szCs w:val="32"/>
        </w:rPr>
        <w:t>积厚成势</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城乡面貌焕然一新、社会大局安定有序、幸福指数</w:t>
      </w:r>
      <w:r>
        <w:rPr>
          <w:rFonts w:hint="eastAsia" w:ascii="仿宋" w:hAnsi="仿宋" w:eastAsia="仿宋" w:cs="仿宋"/>
          <w:sz w:val="32"/>
          <w:szCs w:val="32"/>
        </w:rPr>
        <w:t>稳步上升</w:t>
      </w:r>
      <w:r>
        <w:rPr>
          <w:rFonts w:hint="eastAsia" w:ascii="仿宋_GB2312" w:eastAsia="仿宋_GB2312" w:cs="仿宋_GB2312"/>
          <w:color w:val="auto"/>
          <w:sz w:val="32"/>
          <w:szCs w:val="32"/>
          <w:lang w:val="en-US" w:eastAsia="zh-CN"/>
        </w:rPr>
        <w:t>，持续擦亮“首善高地·幸福领航”工作品牌。下一步工作重点：</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firstLine="643" w:firstLineChars="200"/>
        <w:jc w:val="both"/>
        <w:textAlignment w:val="auto"/>
        <w:outlineLvl w:val="9"/>
        <w:rPr>
          <w:rFonts w:hint="default" w:ascii="楷体_GB2312" w:hAnsi="Calibri" w:eastAsia="楷体_GB2312" w:cs="楷体_GB2312"/>
          <w:b/>
          <w:bCs/>
          <w:color w:val="auto"/>
          <w:sz w:val="32"/>
          <w:szCs w:val="32"/>
          <w:lang w:eastAsia="zh-CN"/>
        </w:rPr>
      </w:pPr>
      <w:r>
        <w:rPr>
          <w:rFonts w:hint="default" w:ascii="楷体_GB2312" w:hAnsi="Calibri" w:eastAsia="楷体_GB2312" w:cs="楷体_GB2312"/>
          <w:b/>
          <w:bCs/>
          <w:color w:val="auto"/>
          <w:sz w:val="32"/>
          <w:szCs w:val="32"/>
          <w:lang w:eastAsia="zh-CN"/>
        </w:rPr>
        <w:t>全面突出党建引领这一核心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auto"/>
          <w:sz w:val="32"/>
          <w:szCs w:val="32"/>
          <w:lang w:val="en-US" w:eastAsia="zh-CN"/>
        </w:rPr>
        <w:t>1.</w:t>
      </w:r>
      <w:r>
        <w:rPr>
          <w:rFonts w:hint="eastAsia" w:ascii="仿宋_GB2312" w:hAnsi="仿宋_GB2312" w:eastAsia="仿宋_GB2312" w:cs="仿宋_GB2312"/>
          <w:sz w:val="32"/>
          <w:szCs w:val="32"/>
          <w:lang w:eastAsia="zh-CN"/>
        </w:rPr>
        <w:t>扎实推进“党建聚合力”“书记工程”“闪亮工程”三大工程，培育选树明星书记，打造特色村社。</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sz w:val="32"/>
          <w:szCs w:val="32"/>
          <w:lang w:eastAsia="zh-CN"/>
        </w:rPr>
        <w:t>推进“党建共进”行动，铺开剩余5个农村党组织与城市社区“结对共建”，并对高标准农田建设辐射范围内的5个村落进行“跨村联建”，构建“上下贯通、纵横联动”的党建共建格局。</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643"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sz w:val="32"/>
          <w:szCs w:val="32"/>
          <w:lang w:eastAsia="zh-CN"/>
        </w:rPr>
        <w:t>挖掘村社人才资源，浓厚人才氛围，结合“领尚”人才计划，不断增强“登高望远 才‘岭’未来”特色人才工作品牌效应。</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9"/>
        <w:rPr>
          <w:rFonts w:hint="default" w:ascii="楷体_GB2312" w:hAnsi="Calibri" w:eastAsia="楷体_GB2312" w:cs="楷体_GB2312"/>
          <w:b/>
          <w:bCs/>
          <w:color w:val="auto"/>
          <w:sz w:val="32"/>
          <w:szCs w:val="32"/>
          <w:lang w:eastAsia="zh-CN"/>
        </w:rPr>
      </w:pPr>
      <w:r>
        <w:rPr>
          <w:rFonts w:hint="eastAsia" w:ascii="楷体_GB2312" w:hAnsi="Calibri" w:eastAsia="楷体_GB2312" w:cs="楷体_GB2312"/>
          <w:b/>
          <w:bCs/>
          <w:color w:val="auto"/>
          <w:sz w:val="32"/>
          <w:szCs w:val="32"/>
          <w:lang w:val="en-US" w:eastAsia="zh-CN"/>
        </w:rPr>
        <w:t>二、</w:t>
      </w:r>
      <w:r>
        <w:rPr>
          <w:rFonts w:hint="default" w:ascii="楷体_GB2312" w:hAnsi="Calibri" w:eastAsia="楷体_GB2312" w:cs="楷体_GB2312"/>
          <w:b/>
          <w:bCs/>
          <w:color w:val="auto"/>
          <w:sz w:val="32"/>
          <w:szCs w:val="32"/>
          <w:lang w:eastAsia="zh-CN"/>
        </w:rPr>
        <w:t>全面把牢集聚经济这一路径</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加强政企之间联动，持续深入企业走访，特别是对建安企业、工业及民生板块等纳税大户、重点项目进行动态跟踪，</w:t>
      </w:r>
      <w:r>
        <w:rPr>
          <w:rFonts w:hint="eastAsia" w:ascii="仿宋_GB2312" w:hAnsi="仿宋_GB2312" w:eastAsia="仿宋_GB2312" w:cs="仿宋_GB2312"/>
          <w:sz w:val="32"/>
          <w:szCs w:val="32"/>
          <w:lang w:val="en-US" w:eastAsia="zh-CN"/>
        </w:rPr>
        <w:t>推进2024年千人联千企服务专员联系企业行动</w:t>
      </w:r>
      <w:r>
        <w:rPr>
          <w:rFonts w:hint="eastAsia" w:ascii="仿宋_GB2312" w:hAnsi="仿宋_GB2312" w:eastAsia="仿宋_GB2312" w:cs="仿宋_GB2312"/>
          <w:sz w:val="32"/>
          <w:szCs w:val="32"/>
          <w:lang w:eastAsia="zh-CN"/>
        </w:rPr>
        <w:t>，帮助</w:t>
      </w:r>
      <w:r>
        <w:rPr>
          <w:rFonts w:hint="default" w:ascii="仿宋_GB2312" w:hAnsi="仿宋_GB2312" w:eastAsia="仿宋_GB2312" w:cs="仿宋_GB2312"/>
          <w:sz w:val="32"/>
          <w:szCs w:val="32"/>
          <w:lang w:eastAsia="zh-CN"/>
        </w:rPr>
        <w:t>康普通信等</w:t>
      </w:r>
      <w:r>
        <w:rPr>
          <w:rFonts w:hint="eastAsia" w:ascii="仿宋_GB2312" w:hAnsi="仿宋_GB2312" w:eastAsia="仿宋_GB2312" w:cs="仿宋_GB2312"/>
          <w:sz w:val="32"/>
          <w:szCs w:val="32"/>
          <w:lang w:eastAsia="zh-CN"/>
        </w:rPr>
        <w:t>企业解决</w:t>
      </w:r>
      <w:r>
        <w:rPr>
          <w:rFonts w:hint="default" w:ascii="仿宋_GB2312" w:hAnsi="仿宋_GB2312" w:eastAsia="仿宋_GB2312" w:cs="仿宋_GB2312"/>
          <w:sz w:val="32"/>
          <w:szCs w:val="32"/>
          <w:lang w:eastAsia="zh-CN"/>
        </w:rPr>
        <w:t>实际</w:t>
      </w:r>
      <w:r>
        <w:rPr>
          <w:rFonts w:hint="eastAsia" w:ascii="仿宋_GB2312" w:hAnsi="仿宋_GB2312" w:eastAsia="仿宋_GB2312" w:cs="仿宋_GB2312"/>
          <w:sz w:val="32"/>
          <w:szCs w:val="32"/>
          <w:lang w:eastAsia="zh-CN"/>
        </w:rPr>
        <w:t>问题。</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大力实施强链补链，变区位优势为发展优势，鲜明发展高端服务业态集聚的楼宇经济。街道地处区政府行政中心，交通便利</w:t>
      </w:r>
      <w:r>
        <w:rPr>
          <w:rFonts w:hint="eastAsia" w:ascii="仿宋_GB2312" w:hAnsi="仿宋_GB2312" w:eastAsia="仿宋_GB2312" w:cs="仿宋_GB2312"/>
          <w:color w:val="auto"/>
          <w:sz w:val="32"/>
          <w:szCs w:val="32"/>
        </w:rPr>
        <w:t>，地理位置优势明显。现阶段街道楼宇总面积23.3万㎡，但从规划布局、功能定位、产业布局上布点比较分散，下一步</w:t>
      </w:r>
      <w:r>
        <w:rPr>
          <w:rFonts w:hint="eastAsia" w:ascii="仿宋_GB2312" w:hAnsi="仿宋_GB2312" w:eastAsia="仿宋_GB2312" w:cs="仿宋_GB2312"/>
          <w:color w:val="auto"/>
          <w:sz w:val="32"/>
          <w:szCs w:val="32"/>
          <w:lang w:val="en-US" w:eastAsia="zh-CN"/>
        </w:rPr>
        <w:t>将</w:t>
      </w:r>
      <w:r>
        <w:rPr>
          <w:rFonts w:hint="eastAsia" w:ascii="仿宋_GB2312" w:hAnsi="仿宋_GB2312" w:eastAsia="仿宋_GB2312" w:cs="仿宋_GB2312"/>
          <w:sz w:val="32"/>
          <w:szCs w:val="32"/>
          <w:lang w:eastAsia="zh-CN"/>
        </w:rPr>
        <w:t>着力引进一批品质优、诚信好、后续发展强劲的优秀企业，确保社会经济发展有质量可持续。</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仿宋_GB2312" w:hAnsi="仿宋_GB2312" w:eastAsia="仿宋_GB2312" w:cs="仿宋_GB2312"/>
          <w:color w:val="auto"/>
          <w:sz w:val="32"/>
          <w:szCs w:val="32"/>
          <w:lang w:eastAsia="zh-CN"/>
        </w:rPr>
      </w:pPr>
      <w:r>
        <w:rPr>
          <w:rFonts w:hint="eastAsia" w:ascii="仿宋_GB2312" w:hAnsi="仿宋_GB2312" w:eastAsia="仿宋_GB2312" w:cs="仿宋_GB2312"/>
          <w:b w:val="0"/>
          <w:bCs w:val="0"/>
          <w:sz w:val="32"/>
          <w:szCs w:val="32"/>
          <w:lang w:val="en-US" w:eastAsia="zh-CN"/>
        </w:rPr>
        <w:t>3.</w:t>
      </w:r>
      <w:r>
        <w:rPr>
          <w:rFonts w:hint="eastAsia" w:ascii="仿宋_GB2312" w:hAnsi="仿宋_GB2312" w:eastAsia="仿宋_GB2312" w:cs="仿宋_GB2312"/>
          <w:b w:val="0"/>
          <w:bCs w:val="0"/>
          <w:sz w:val="32"/>
          <w:szCs w:val="32"/>
          <w:lang w:eastAsia="zh-CN"/>
        </w:rPr>
        <w:t>逐</w:t>
      </w:r>
      <w:r>
        <w:rPr>
          <w:rFonts w:hint="eastAsia" w:ascii="仿宋_GB2312" w:hAnsi="仿宋_GB2312" w:eastAsia="仿宋_GB2312" w:cs="仿宋_GB2312"/>
          <w:color w:val="auto"/>
          <w:sz w:val="32"/>
          <w:szCs w:val="32"/>
          <w:lang w:eastAsia="zh-CN"/>
        </w:rPr>
        <w:t>步引导特色产业、资本、人才等要素集聚，争取区直部门加大对有关键核心技术攻关、自主创新和研发的一些企业加强政策扶持，协调康普通信、星航、艾科瑞、航发中传等企业智能技改项目升级专项资金</w:t>
      </w:r>
      <w:r>
        <w:rPr>
          <w:rFonts w:hint="default"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eastAsia="zh-CN"/>
        </w:rPr>
        <w:t>有规划性地搭建业务互补共生的产业链，加快构建具有发展潜力、社会价值的产业体系。</w:t>
      </w:r>
    </w:p>
    <w:p>
      <w:pPr>
        <w:keepNext w:val="0"/>
        <w:keepLines w:val="0"/>
        <w:pageBreakBefore w:val="0"/>
        <w:widowControl w:val="0"/>
        <w:kinsoku/>
        <w:wordWrap/>
        <w:overflowPunct/>
        <w:topLinePunct w:val="0"/>
        <w:autoSpaceDE/>
        <w:autoSpaceDN/>
        <w:bidi w:val="0"/>
        <w:adjustRightInd/>
        <w:snapToGrid/>
        <w:spacing w:line="560" w:lineRule="exact"/>
        <w:ind w:left="0" w:firstLine="643" w:firstLineChars="200"/>
        <w:jc w:val="both"/>
        <w:textAlignment w:val="auto"/>
        <w:outlineLvl w:val="9"/>
        <w:rPr>
          <w:rFonts w:hint="default" w:ascii="楷体_GB2312" w:hAnsi="Calibri" w:eastAsia="楷体_GB2312" w:cs="楷体_GB2312"/>
          <w:b/>
          <w:bCs/>
          <w:color w:val="auto"/>
          <w:sz w:val="32"/>
          <w:szCs w:val="32"/>
          <w:lang w:eastAsia="zh-CN"/>
        </w:rPr>
      </w:pPr>
      <w:r>
        <w:rPr>
          <w:rFonts w:hint="eastAsia" w:ascii="楷体_GB2312" w:hAnsi="Calibri" w:eastAsia="楷体_GB2312" w:cs="楷体_GB2312"/>
          <w:b/>
          <w:bCs/>
          <w:color w:val="auto"/>
          <w:sz w:val="32"/>
          <w:szCs w:val="32"/>
          <w:lang w:val="en-US" w:eastAsia="zh-CN"/>
        </w:rPr>
        <w:t>三、</w:t>
      </w:r>
      <w:r>
        <w:rPr>
          <w:rFonts w:hint="default" w:ascii="楷体_GB2312" w:hAnsi="Calibri" w:eastAsia="楷体_GB2312" w:cs="楷体_GB2312"/>
          <w:b/>
          <w:bCs/>
          <w:color w:val="auto"/>
          <w:sz w:val="32"/>
          <w:szCs w:val="32"/>
          <w:lang w:eastAsia="zh-CN"/>
        </w:rPr>
        <w:t>全面贯彻乡村振兴这一要求</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default" w:ascii="仿宋_GB2312" w:hAnsi="仿宋_GB2312" w:eastAsia="仿宋_GB2312" w:cs="仿宋_GB2312"/>
          <w:sz w:val="32"/>
          <w:szCs w:val="32"/>
          <w:lang w:eastAsia="zh-CN"/>
        </w:rPr>
        <w:t>擦亮特色农业名片，引进智慧农业技术，扩大“无人农村”示范园区辐射面积。逐步推广“虎仔大米”、特色甲鱼、“稻香100”低镉水稻等一批地标农产品，向种粮大户乃至全街道推广应用镉低积累水稻，提高产品附加值，带动农业增收。</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default" w:ascii="仿宋_GB2312" w:hAnsi="仿宋_GB2312" w:eastAsia="仿宋_GB2312" w:cs="仿宋_GB2312"/>
          <w:sz w:val="32"/>
          <w:szCs w:val="32"/>
          <w:lang w:eastAsia="zh-CN"/>
        </w:rPr>
        <w:t>打造文旅融合样板，以新康戏乡为中心，结合“品酒看戏”“船上看戏”等本土习俗，强化“醉美新康·好戏连台”文化品牌曝光度。</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both"/>
        <w:textAlignment w:val="auto"/>
        <w:outlineLvl w:val="9"/>
        <w:rPr>
          <w:rFonts w:hint="default"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eastAsia="zh-CN"/>
        </w:rPr>
        <w:t>共享共建，全力推动新型城镇化和乡村振兴的有机结合，促进各类要素城乡流动。抢抓“一江两岸”开发建设机遇，推进沩水大桥、S321省道改道，打通城乡经济、交通脉络，为乡村振兴引流量、聚人气。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楷体_GB2312" w:hAnsi="Calibri" w:eastAsia="楷体_GB2312" w:cs="楷体_GB2312"/>
          <w:b/>
          <w:bCs/>
          <w:color w:val="auto"/>
          <w:sz w:val="32"/>
          <w:szCs w:val="32"/>
          <w:lang w:eastAsia="zh-CN"/>
        </w:rPr>
      </w:pPr>
      <w:r>
        <w:rPr>
          <w:rFonts w:hint="default" w:ascii="楷体_GB2312" w:hAnsi="Calibri" w:eastAsia="楷体_GB2312" w:cs="楷体_GB2312"/>
          <w:b/>
          <w:bCs/>
          <w:color w:val="auto"/>
          <w:sz w:val="32"/>
          <w:szCs w:val="32"/>
          <w:lang w:eastAsia="zh-CN"/>
        </w:rPr>
        <w:t>四</w:t>
      </w:r>
      <w:r>
        <w:rPr>
          <w:rFonts w:hint="eastAsia" w:ascii="楷体_GB2312" w:hAnsi="Calibri" w:eastAsia="楷体_GB2312" w:cs="楷体_GB2312"/>
          <w:b/>
          <w:bCs/>
          <w:color w:val="auto"/>
          <w:sz w:val="32"/>
          <w:szCs w:val="32"/>
          <w:lang w:eastAsia="zh-CN"/>
        </w:rPr>
        <w:t>、</w:t>
      </w:r>
      <w:r>
        <w:rPr>
          <w:rFonts w:hint="default" w:ascii="楷体_GB2312" w:hAnsi="Calibri" w:eastAsia="楷体_GB2312" w:cs="楷体_GB2312"/>
          <w:b/>
          <w:bCs/>
          <w:color w:val="auto"/>
          <w:sz w:val="32"/>
          <w:szCs w:val="32"/>
          <w:lang w:eastAsia="zh-CN"/>
        </w:rPr>
        <w:t>全面夯实平安建设这一基石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做好信访工作减存量、控增量、防变量，牢固树立国良书记提出的“三个假定”工作理念，坚持“三到位一处理”工作原则，</w:t>
      </w:r>
      <w:r>
        <w:rPr>
          <w:rFonts w:hint="eastAsia" w:ascii="仿宋_GB2312" w:hAnsi="仿宋_GB2312" w:eastAsia="仿宋_GB2312" w:cs="仿宋_GB2312"/>
          <w:sz w:val="32"/>
          <w:szCs w:val="32"/>
          <w:lang w:val="en-US" w:eastAsia="zh-CN"/>
        </w:rPr>
        <w:t>继续深入开展信访积案攻坚行动，努力达到信访人“事心双解”效果。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sz w:val="32"/>
          <w:szCs w:val="32"/>
          <w:lang w:eastAsia="zh-CN"/>
        </w:rPr>
        <w:t>加大电动车违规停放充电隐患整治力度</w:t>
      </w:r>
      <w:r>
        <w:rPr>
          <w:rFonts w:hint="default" w:ascii="仿宋_GB2312" w:hAnsi="仿宋_GB2312" w:eastAsia="仿宋_GB2312" w:cs="仿宋_GB2312"/>
          <w:sz w:val="32"/>
          <w:szCs w:val="32"/>
          <w:lang w:eastAsia="zh-CN"/>
        </w:rPr>
        <w:t>，重点对辖区内楼盘小区、老旧小区的建筑门厅楼道、地下车库停放电动自行车及飞线充电现象进行集中整治，并督促相关单位做好常态化巡查，及时清理。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仿宋" w:hAnsi="仿宋" w:eastAsia="仿宋" w:cs="仿宋"/>
          <w:sz w:val="32"/>
          <w:szCs w:val="32"/>
          <w:lang w:eastAsia="zh-CN"/>
        </w:rPr>
      </w:pPr>
      <w:r>
        <w:rPr>
          <w:rFonts w:hint="eastAsia" w:ascii="仿宋_GB2312" w:hAnsi="仿宋_GB2312" w:eastAsia="仿宋_GB2312" w:cs="仿宋_GB2312"/>
          <w:b/>
          <w:bCs/>
          <w:sz w:val="32"/>
          <w:szCs w:val="32"/>
          <w:lang w:val="en-US" w:eastAsia="zh-CN"/>
        </w:rPr>
        <w:t>3.</w:t>
      </w:r>
      <w:r>
        <w:rPr>
          <w:rFonts w:hint="default" w:ascii="仿宋_GB2312" w:hAnsi="仿宋_GB2312" w:eastAsia="仿宋_GB2312" w:cs="仿宋_GB2312"/>
          <w:sz w:val="32"/>
          <w:szCs w:val="32"/>
          <w:lang w:eastAsia="zh-CN"/>
        </w:rPr>
        <w:t>严防邪教组织危害，对</w:t>
      </w:r>
      <w:r>
        <w:rPr>
          <w:rFonts w:hint="eastAsia" w:ascii="仿宋" w:hAnsi="仿宋" w:eastAsia="仿宋" w:cs="仿宋"/>
          <w:sz w:val="32"/>
          <w:szCs w:val="32"/>
          <w:lang w:val="en-US" w:eastAsia="zh-CN"/>
        </w:rPr>
        <w:t>邪教在册人员、</w:t>
      </w:r>
      <w:r>
        <w:rPr>
          <w:rFonts w:hint="default" w:ascii="仿宋" w:hAnsi="仿宋" w:eastAsia="仿宋" w:cs="仿宋"/>
          <w:sz w:val="32"/>
          <w:szCs w:val="32"/>
          <w:lang w:eastAsia="zh-CN"/>
        </w:rPr>
        <w:t>未转化</w:t>
      </w:r>
      <w:r>
        <w:rPr>
          <w:rFonts w:hint="eastAsia" w:ascii="仿宋" w:hAnsi="仿宋" w:eastAsia="仿宋" w:cs="仿宋"/>
          <w:sz w:val="32"/>
          <w:szCs w:val="32"/>
          <w:lang w:val="en-US" w:eastAsia="zh-CN"/>
        </w:rPr>
        <w:t>人员</w:t>
      </w:r>
      <w:r>
        <w:rPr>
          <w:rFonts w:hint="default" w:ascii="仿宋" w:hAnsi="仿宋" w:eastAsia="仿宋" w:cs="仿宋"/>
          <w:sz w:val="32"/>
          <w:szCs w:val="32"/>
          <w:lang w:eastAsia="zh-CN"/>
        </w:rPr>
        <w:t>严格按照</w:t>
      </w:r>
      <w:r>
        <w:rPr>
          <w:rFonts w:hint="eastAsia" w:ascii="仿宋" w:hAnsi="仿宋" w:eastAsia="仿宋" w:cs="仿宋"/>
          <w:sz w:val="32"/>
          <w:szCs w:val="32"/>
          <w:lang w:val="en-US" w:eastAsia="zh-CN"/>
        </w:rPr>
        <w:t>“四量”思路和“五防”策略</w:t>
      </w:r>
      <w:r>
        <w:rPr>
          <w:rFonts w:hint="default" w:ascii="仿宋" w:hAnsi="仿宋" w:eastAsia="仿宋" w:cs="仿宋"/>
          <w:sz w:val="32"/>
          <w:szCs w:val="32"/>
          <w:lang w:eastAsia="zh-CN"/>
        </w:rPr>
        <w:t>，</w:t>
      </w:r>
      <w:r>
        <w:rPr>
          <w:rFonts w:hint="eastAsia" w:ascii="仿宋_GB2312" w:hAnsi="仿宋_GB2312" w:eastAsia="仿宋_GB2312" w:cs="仿宋_GB2312"/>
          <w:b w:val="0"/>
          <w:bCs w:val="0"/>
          <w:color w:val="auto"/>
          <w:w w:val="96"/>
          <w:sz w:val="32"/>
          <w:szCs w:val="32"/>
          <w:lang w:val="en-US" w:eastAsia="zh-CN"/>
        </w:rPr>
        <w:t>采取“六包一</w:t>
      </w:r>
      <w:r>
        <w:rPr>
          <w:rFonts w:hint="default" w:ascii="仿宋_GB2312" w:hAnsi="仿宋_GB2312" w:eastAsia="仿宋_GB2312" w:cs="仿宋_GB2312"/>
          <w:b w:val="0"/>
          <w:bCs w:val="0"/>
          <w:color w:val="auto"/>
          <w:w w:val="96"/>
          <w:sz w:val="32"/>
          <w:szCs w:val="32"/>
          <w:lang w:val="en-US" w:eastAsia="zh-CN"/>
        </w:rPr>
        <w:t>”</w:t>
      </w:r>
      <w:bookmarkStart w:id="0" w:name="_GoBack"/>
      <w:bookmarkEnd w:id="0"/>
      <w:r>
        <w:rPr>
          <w:rFonts w:hint="eastAsia" w:ascii="仿宋_GB2312" w:hAnsi="仿宋_GB2312" w:eastAsia="仿宋_GB2312" w:cs="仿宋_GB2312"/>
          <w:b w:val="0"/>
          <w:bCs w:val="0"/>
          <w:color w:val="auto"/>
          <w:w w:val="96"/>
          <w:sz w:val="32"/>
          <w:szCs w:val="32"/>
          <w:lang w:val="en-US" w:eastAsia="zh-CN"/>
        </w:rPr>
        <w:t>“人盯人”等有力措施，</w:t>
      </w:r>
      <w:r>
        <w:rPr>
          <w:rFonts w:hint="eastAsia" w:ascii="仿宋" w:hAnsi="仿宋" w:eastAsia="仿宋" w:cs="仿宋"/>
          <w:sz w:val="32"/>
          <w:szCs w:val="32"/>
          <w:lang w:val="en-US" w:eastAsia="zh-CN"/>
        </w:rPr>
        <w:t>坚决实现“五个不发生”工作目标</w:t>
      </w:r>
      <w:r>
        <w:rPr>
          <w:rFonts w:hint="default"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outlineLvl w:val="9"/>
        <w:rPr>
          <w:rFonts w:hint="eastAsia" w:ascii="楷体_GB2312" w:hAnsi="楷体_GB2312" w:eastAsia="楷体_GB2312" w:cs="楷体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长沙市望城区高塘岭街道办事处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2024年6月</w:t>
      </w:r>
      <w:r>
        <w:rPr>
          <w:rFonts w:hint="default"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val="en-US" w:eastAsia="zh-CN"/>
        </w:rPr>
        <w:t>3日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right"/>
        <w:textAlignment w:val="auto"/>
        <w:outlineLvl w:val="9"/>
        <w:rPr>
          <w:rFonts w:hint="default" w:ascii="仿宋_GB2312" w:hAnsi="仿宋_GB2312" w:eastAsia="仿宋_GB2312" w:cs="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F2456E"/>
    <w:multiLevelType w:val="singleLevel"/>
    <w:tmpl w:val="88F2456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MDJiMWI0ZTgzM2JmYmNhZDZlYWM4MzBjMThiMTgifQ=="/>
  </w:docVars>
  <w:rsids>
    <w:rsidRoot w:val="00000000"/>
    <w:rsid w:val="10273835"/>
    <w:rsid w:val="123D60DA"/>
    <w:rsid w:val="17D1DA61"/>
    <w:rsid w:val="2389402F"/>
    <w:rsid w:val="2EEB70FA"/>
    <w:rsid w:val="376364FB"/>
    <w:rsid w:val="3CB31666"/>
    <w:rsid w:val="404228F2"/>
    <w:rsid w:val="41857889"/>
    <w:rsid w:val="4E9F2D40"/>
    <w:rsid w:val="4F091710"/>
    <w:rsid w:val="58D85E01"/>
    <w:rsid w:val="5A2275C4"/>
    <w:rsid w:val="5FFB7FA8"/>
    <w:rsid w:val="73BA21C4"/>
    <w:rsid w:val="7672D83F"/>
    <w:rsid w:val="77DBFA17"/>
    <w:rsid w:val="77EBB919"/>
    <w:rsid w:val="77F54756"/>
    <w:rsid w:val="7FF7EDC0"/>
    <w:rsid w:val="7FFF0624"/>
    <w:rsid w:val="9FF7B383"/>
    <w:rsid w:val="ED7692FA"/>
    <w:rsid w:val="F7F3B1D6"/>
    <w:rsid w:val="F8E53B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Body Text"/>
    <w:basedOn w:val="1"/>
    <w:qFormat/>
    <w:uiPriority w:val="0"/>
  </w:style>
  <w:style w:type="paragraph" w:styleId="4">
    <w:name w:val="Body Text Indent"/>
    <w:basedOn w:val="1"/>
    <w:next w:val="5"/>
    <w:qFormat/>
    <w:uiPriority w:val="0"/>
    <w:pPr>
      <w:spacing w:line="440" w:lineRule="exact"/>
      <w:ind w:left="359" w:leftChars="171" w:firstLine="420" w:firstLineChars="200"/>
    </w:pPr>
  </w:style>
  <w:style w:type="paragraph" w:styleId="5">
    <w:name w:val="Body Text Indent 2"/>
    <w:basedOn w:val="1"/>
    <w:next w:val="1"/>
    <w:qFormat/>
    <w:uiPriority w:val="99"/>
    <w:pPr>
      <w:spacing w:after="120" w:line="480" w:lineRule="auto"/>
      <w:ind w:left="420" w:leftChars="200"/>
    </w:pPr>
  </w:style>
  <w:style w:type="paragraph" w:styleId="6">
    <w:name w:val="Body Text First Indent 2"/>
    <w:basedOn w:val="4"/>
    <w:next w:val="1"/>
    <w:qFormat/>
    <w:uiPriority w:val="0"/>
    <w:pPr>
      <w:ind w:firstLine="200" w:firstLineChars="200"/>
    </w:pPr>
  </w:style>
  <w:style w:type="paragraph" w:customStyle="1" w:styleId="9">
    <w:name w:val="BodyText1I"/>
    <w:basedOn w:val="10"/>
    <w:qFormat/>
    <w:uiPriority w:val="0"/>
    <w:pPr>
      <w:ind w:firstLine="420" w:firstLineChars="100"/>
    </w:pPr>
  </w:style>
  <w:style w:type="paragraph" w:customStyle="1" w:styleId="10">
    <w:name w:val="BodyText"/>
    <w:basedOn w:val="1"/>
    <w:qFormat/>
    <w:uiPriority w:val="0"/>
    <w:pPr>
      <w:widowControl/>
      <w:snapToGrid w:val="0"/>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4353</Words>
  <Characters>4609</Characters>
  <Lines>0</Lines>
  <Paragraphs>0</Paragraphs>
  <TotalTime>2</TotalTime>
  <ScaleCrop>false</ScaleCrop>
  <LinksUpToDate>false</LinksUpToDate>
  <CharactersWithSpaces>4612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2024-06-13T12:41:00Z</dcterms:created>
  <dc:creator>ASUS</dc:creator>
  <cp:lastModifiedBy>李娜</cp:lastModifiedBy>
  <cp:lastPrinted>2024-06-13T18:46:00Z</cp:lastPrinted>
  <dcterms:modified xsi:type="dcterms:W3CDTF">2024-11-28T06:10:32Z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6B7C4D8E3D064C7094EE64C8E9129755_13</vt:lpwstr>
  </property>
</Properties>
</file>