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微软雅黑" w:hAnsi="微软雅黑" w:eastAsia="微软雅黑" w:cs="微软雅黑"/>
          <w:kern w:val="0"/>
          <w:sz w:val="40"/>
          <w:szCs w:val="40"/>
          <w:shd w:val="clear" w:color="auto" w:fill="FFFFFF"/>
        </w:rPr>
      </w:pPr>
    </w:p>
    <w:p>
      <w:pPr>
        <w:spacing w:line="480" w:lineRule="exact"/>
        <w:jc w:val="center"/>
        <w:rPr>
          <w:rFonts w:ascii="微软雅黑" w:hAnsi="微软雅黑" w:eastAsia="微软雅黑" w:cs="微软雅黑"/>
          <w:kern w:val="0"/>
          <w:sz w:val="40"/>
          <w:szCs w:val="40"/>
          <w:shd w:val="clear" w:color="auto" w:fill="FFFFFF"/>
        </w:rPr>
      </w:pPr>
      <w:r>
        <w:rPr>
          <w:rFonts w:hint="eastAsia" w:ascii="微软雅黑" w:hAnsi="微软雅黑" w:eastAsia="微软雅黑" w:cs="微软雅黑"/>
          <w:kern w:val="0"/>
          <w:sz w:val="40"/>
          <w:szCs w:val="40"/>
          <w:shd w:val="clear" w:color="auto" w:fill="FFFFFF"/>
        </w:rPr>
        <w:t>长沙市自然资源和规划局望城分局</w:t>
      </w:r>
    </w:p>
    <w:p>
      <w:pPr>
        <w:pStyle w:val="14"/>
        <w:shd w:val="clear" w:color="auto" w:fill="FFFFFF"/>
        <w:spacing w:before="0" w:beforeAutospacing="0" w:after="0" w:afterAutospacing="0" w:line="480" w:lineRule="exact"/>
        <w:jc w:val="center"/>
        <w:rPr>
          <w:rFonts w:ascii="微软雅黑" w:hAnsi="微软雅黑" w:eastAsia="微软雅黑" w:cs="微软雅黑"/>
          <w:sz w:val="40"/>
          <w:szCs w:val="40"/>
          <w:shd w:val="clear" w:color="auto" w:fill="FFFFFF"/>
        </w:rPr>
      </w:pPr>
      <w:r>
        <w:rPr>
          <w:rFonts w:hint="eastAsia" w:ascii="微软雅黑" w:hAnsi="微软雅黑" w:eastAsia="微软雅黑" w:cs="微软雅黑"/>
          <w:sz w:val="40"/>
          <w:szCs w:val="40"/>
          <w:shd w:val="clear" w:color="auto" w:fill="FFFFFF"/>
        </w:rPr>
        <w:t>《长沙市望城区茶亭镇国土空间总体规划（2021-2035）》</w:t>
      </w:r>
    </w:p>
    <w:p>
      <w:pPr>
        <w:pStyle w:val="14"/>
        <w:shd w:val="clear" w:color="auto" w:fill="FFFFFF"/>
        <w:spacing w:before="0" w:beforeAutospacing="0" w:after="0" w:afterAutospacing="0" w:line="480" w:lineRule="exact"/>
        <w:jc w:val="center"/>
        <w:rPr>
          <w:rFonts w:ascii="微软雅黑" w:hAnsi="微软雅黑" w:eastAsia="微软雅黑" w:cs="微软雅黑"/>
          <w:sz w:val="40"/>
          <w:szCs w:val="40"/>
          <w:shd w:val="clear" w:color="auto" w:fill="FFFFFF"/>
        </w:rPr>
      </w:pPr>
      <w:r>
        <w:rPr>
          <w:rFonts w:hint="eastAsia" w:ascii="微软雅黑" w:hAnsi="微软雅黑" w:eastAsia="微软雅黑" w:cs="微软雅黑"/>
          <w:sz w:val="40"/>
          <w:szCs w:val="40"/>
          <w:shd w:val="clear" w:color="auto" w:fill="FFFFFF"/>
        </w:rPr>
        <w:t>批前公示</w:t>
      </w:r>
    </w:p>
    <w:p>
      <w:pPr>
        <w:widowControl/>
        <w:spacing w:line="480" w:lineRule="exact"/>
        <w:ind w:firstLine="480"/>
        <w:jc w:val="left"/>
        <w:rPr>
          <w:rFonts w:ascii="宋体" w:hAnsi="宋体" w:eastAsia="宋体"/>
          <w:sz w:val="28"/>
          <w:szCs w:val="28"/>
        </w:rPr>
      </w:pPr>
      <w:r>
        <w:rPr>
          <w:rFonts w:hint="eastAsia" w:ascii="宋体" w:hAnsi="宋体" w:eastAsia="宋体"/>
          <w:sz w:val="28"/>
          <w:szCs w:val="28"/>
        </w:rPr>
        <w:t> </w:t>
      </w:r>
    </w:p>
    <w:p>
      <w:pPr>
        <w:widowControl/>
        <w:spacing w:line="480" w:lineRule="exact"/>
        <w:ind w:firstLine="480"/>
        <w:jc w:val="left"/>
        <w:rPr>
          <w:rFonts w:ascii="仿宋" w:hAnsi="仿宋" w:eastAsia="仿宋" w:cs="仿宋"/>
          <w:sz w:val="28"/>
          <w:szCs w:val="28"/>
        </w:rPr>
      </w:pPr>
      <w:r>
        <w:rPr>
          <w:rFonts w:hint="eastAsia" w:ascii="仿宋" w:hAnsi="仿宋" w:eastAsia="仿宋" w:cs="仿宋"/>
          <w:sz w:val="28"/>
          <w:szCs w:val="28"/>
        </w:rPr>
        <w:t>为全面落实省委、省政府关于建立国土空间规划体系部署要求，加快建设高质量发展城镇，推进高质量发展、高品质生活和高水平治理，特编制《长沙市望城区茶亭镇国土空间总体规划（2021-2035）》,规划草案成果已经编制完成，现根据有关法律要求，对该规划进行公示，征求公众意见。如对该规划方案有意见和建议，请于公示期内反馈至长沙市自然资源和规划局望城分局或茶亭镇人民政府。</w:t>
      </w:r>
    </w:p>
    <w:p>
      <w:pPr>
        <w:pStyle w:val="3"/>
        <w:spacing w:line="480" w:lineRule="exact"/>
        <w:rPr>
          <w:rFonts w:ascii="黑体" w:hAnsi="黑体" w:eastAsia="黑体" w:cs="黑体"/>
        </w:rPr>
      </w:pPr>
      <w:r>
        <w:rPr>
          <w:rFonts w:hint="eastAsia" w:ascii="黑体" w:hAnsi="黑体" w:eastAsia="黑体" w:cs="黑体"/>
        </w:rPr>
        <w:t>规划范围与期限</w:t>
      </w:r>
    </w:p>
    <w:p>
      <w:pPr>
        <w:pStyle w:val="4"/>
        <w:spacing w:line="480" w:lineRule="exact"/>
        <w:rPr>
          <w:rFonts w:ascii="仿宋" w:hAnsi="仿宋" w:eastAsia="仿宋" w:cs="仿宋"/>
          <w:szCs w:val="28"/>
        </w:rPr>
      </w:pPr>
      <w:r>
        <w:rPr>
          <w:rFonts w:hint="eastAsia" w:ascii="仿宋" w:hAnsi="仿宋" w:eastAsia="仿宋" w:cs="仿宋"/>
          <w:szCs w:val="28"/>
        </w:rPr>
        <w:t>规划范围</w:t>
      </w:r>
    </w:p>
    <w:p>
      <w:pPr>
        <w:widowControl/>
        <w:spacing w:line="480" w:lineRule="exact"/>
        <w:ind w:firstLine="480"/>
        <w:jc w:val="left"/>
        <w:rPr>
          <w:rFonts w:ascii="仿宋" w:hAnsi="仿宋" w:eastAsia="仿宋" w:cs="仿宋"/>
          <w:sz w:val="28"/>
          <w:szCs w:val="28"/>
        </w:rPr>
      </w:pPr>
      <w:r>
        <w:rPr>
          <w:rFonts w:hint="eastAsia" w:ascii="仿宋" w:hAnsi="仿宋" w:eastAsia="仿宋" w:cs="仿宋"/>
          <w:sz w:val="28"/>
          <w:szCs w:val="28"/>
        </w:rPr>
        <w:t>茶亭镇国土空间总体规划编制范围为茶亭镇行政管辖区内全部国土空间，包括镇域全部、镇开发边界内两个层次。</w:t>
      </w:r>
    </w:p>
    <w:p>
      <w:pPr>
        <w:widowControl/>
        <w:spacing w:line="480" w:lineRule="exact"/>
        <w:ind w:firstLine="480"/>
        <w:jc w:val="left"/>
        <w:rPr>
          <w:rFonts w:ascii="仿宋" w:hAnsi="仿宋" w:eastAsia="仿宋" w:cs="仿宋"/>
          <w:sz w:val="28"/>
          <w:szCs w:val="28"/>
        </w:rPr>
      </w:pPr>
      <w:r>
        <w:rPr>
          <w:rFonts w:hint="eastAsia" w:ascii="仿宋" w:hAnsi="仿宋" w:eastAsia="仿宋" w:cs="仿宋"/>
          <w:sz w:val="28"/>
          <w:szCs w:val="28"/>
        </w:rPr>
        <w:t>镇域全部：茶亭镇行政辖区范围，包括1个社区和12个行政村，总面积为116.90平方公里。</w:t>
      </w:r>
    </w:p>
    <w:p>
      <w:pPr>
        <w:widowControl/>
        <w:spacing w:line="480" w:lineRule="exact"/>
        <w:ind w:firstLine="480"/>
        <w:jc w:val="left"/>
        <w:rPr>
          <w:rFonts w:ascii="仿宋" w:hAnsi="仿宋" w:eastAsia="仿宋" w:cs="仿宋"/>
          <w:sz w:val="28"/>
          <w:szCs w:val="28"/>
        </w:rPr>
      </w:pPr>
      <w:r>
        <w:rPr>
          <w:rFonts w:hint="eastAsia" w:ascii="仿宋" w:hAnsi="仿宋" w:eastAsia="仿宋" w:cs="仿宋"/>
          <w:sz w:val="28"/>
          <w:szCs w:val="28"/>
        </w:rPr>
        <w:t>镇开发边界内：指城镇建成区以及因城乡建设和发展需要必须实行规划控制的区域，主要集中于望城高新区、梅花岭社区、静慎村，总面积为256.95公顷。</w:t>
      </w:r>
    </w:p>
    <w:p>
      <w:pPr>
        <w:pStyle w:val="4"/>
        <w:spacing w:line="480" w:lineRule="exact"/>
        <w:rPr>
          <w:rFonts w:ascii="仿宋" w:hAnsi="仿宋" w:eastAsia="仿宋" w:cs="仿宋"/>
          <w:szCs w:val="28"/>
        </w:rPr>
      </w:pPr>
      <w:r>
        <w:rPr>
          <w:rFonts w:hint="eastAsia" w:ascii="仿宋" w:hAnsi="仿宋" w:eastAsia="仿宋" w:cs="仿宋"/>
          <w:szCs w:val="28"/>
        </w:rPr>
        <w:t>规划期限</w:t>
      </w:r>
    </w:p>
    <w:p>
      <w:pPr>
        <w:widowControl/>
        <w:spacing w:line="480" w:lineRule="exact"/>
        <w:ind w:firstLine="480"/>
        <w:jc w:val="left"/>
        <w:rPr>
          <w:rFonts w:ascii="仿宋" w:hAnsi="仿宋" w:eastAsia="仿宋" w:cs="仿宋"/>
          <w:sz w:val="28"/>
          <w:szCs w:val="28"/>
        </w:rPr>
      </w:pPr>
      <w:r>
        <w:rPr>
          <w:rFonts w:hint="eastAsia" w:ascii="仿宋" w:hAnsi="仿宋" w:eastAsia="仿宋" w:cs="仿宋"/>
          <w:sz w:val="28"/>
          <w:szCs w:val="28"/>
        </w:rPr>
        <w:t>本次规划期限为2021—2035年</w:t>
      </w:r>
      <w:r>
        <w:rPr>
          <w:rFonts w:hint="eastAsia" w:ascii="仿宋" w:hAnsi="仿宋" w:eastAsia="仿宋" w:cs="仿宋"/>
          <w:sz w:val="28"/>
          <w:szCs w:val="28"/>
          <w:lang w:eastAsia="zh-CN"/>
        </w:rPr>
        <w:t>，</w:t>
      </w:r>
      <w:bookmarkStart w:id="1" w:name="_GoBack"/>
      <w:bookmarkEnd w:id="1"/>
      <w:r>
        <w:rPr>
          <w:rFonts w:hint="eastAsia" w:ascii="仿宋" w:hAnsi="仿宋" w:eastAsia="仿宋" w:cs="仿宋"/>
          <w:sz w:val="28"/>
          <w:szCs w:val="28"/>
        </w:rPr>
        <w:t>其中近期为2021—2025年，远期为202</w:t>
      </w:r>
      <w:r>
        <w:rPr>
          <w:rFonts w:hint="eastAsia" w:ascii="仿宋" w:hAnsi="仿宋" w:eastAsia="仿宋" w:cs="仿宋"/>
          <w:sz w:val="28"/>
          <w:szCs w:val="28"/>
          <w:lang w:val="en-US" w:eastAsia="zh-CN"/>
        </w:rPr>
        <w:t>6</w:t>
      </w:r>
      <w:r>
        <w:rPr>
          <w:rFonts w:hint="eastAsia" w:ascii="仿宋" w:hAnsi="仿宋" w:eastAsia="仿宋" w:cs="仿宋"/>
          <w:sz w:val="28"/>
          <w:szCs w:val="28"/>
        </w:rPr>
        <w:t>—2035年。</w:t>
      </w:r>
    </w:p>
    <w:p>
      <w:pPr>
        <w:pStyle w:val="3"/>
        <w:spacing w:line="480" w:lineRule="exact"/>
        <w:rPr>
          <w:rFonts w:ascii="黑体" w:hAnsi="黑体" w:eastAsia="黑体" w:cs="黑体"/>
        </w:rPr>
      </w:pPr>
      <w:r>
        <w:rPr>
          <w:rFonts w:hint="eastAsia" w:ascii="黑体" w:hAnsi="黑体" w:eastAsia="黑体" w:cs="黑体"/>
        </w:rPr>
        <w:t>发展定位目标</w:t>
      </w:r>
    </w:p>
    <w:p>
      <w:pPr>
        <w:pStyle w:val="4"/>
        <w:numPr>
          <w:ilvl w:val="1"/>
          <w:numId w:val="4"/>
        </w:numPr>
        <w:spacing w:line="480" w:lineRule="exact"/>
        <w:rPr>
          <w:rFonts w:ascii="仿宋" w:hAnsi="仿宋" w:eastAsia="仿宋" w:cs="仿宋"/>
          <w:szCs w:val="28"/>
        </w:rPr>
      </w:pPr>
      <w:r>
        <w:rPr>
          <w:rFonts w:hint="eastAsia" w:ascii="仿宋" w:hAnsi="仿宋" w:eastAsia="仿宋" w:cs="仿宋"/>
          <w:szCs w:val="28"/>
        </w:rPr>
        <w:t>发展定位</w:t>
      </w:r>
    </w:p>
    <w:p>
      <w:pPr>
        <w:widowControl/>
        <w:spacing w:line="480" w:lineRule="exact"/>
        <w:ind w:firstLine="480"/>
        <w:jc w:val="left"/>
        <w:rPr>
          <w:rFonts w:ascii="仿宋" w:hAnsi="仿宋" w:eastAsia="仿宋" w:cs="仿宋"/>
          <w:sz w:val="28"/>
          <w:szCs w:val="28"/>
        </w:rPr>
      </w:pPr>
      <w:r>
        <w:rPr>
          <w:rFonts w:hint="eastAsia" w:ascii="仿宋" w:hAnsi="仿宋" w:eastAsia="仿宋" w:cs="仿宋"/>
          <w:b/>
          <w:bCs/>
          <w:sz w:val="28"/>
          <w:szCs w:val="28"/>
        </w:rPr>
        <w:t>主题定位：</w:t>
      </w:r>
      <w:r>
        <w:rPr>
          <w:rFonts w:hint="eastAsia" w:ascii="仿宋" w:hAnsi="仿宋" w:eastAsia="仿宋" w:cs="仿宋"/>
          <w:sz w:val="28"/>
          <w:szCs w:val="28"/>
        </w:rPr>
        <w:t>农旅小镇</w:t>
      </w:r>
    </w:p>
    <w:p>
      <w:pPr>
        <w:widowControl/>
        <w:spacing w:line="480" w:lineRule="exact"/>
        <w:ind w:firstLine="480"/>
        <w:jc w:val="left"/>
        <w:rPr>
          <w:rFonts w:ascii="仿宋" w:hAnsi="仿宋" w:eastAsia="仿宋" w:cs="仿宋"/>
          <w:sz w:val="28"/>
          <w:szCs w:val="28"/>
        </w:rPr>
      </w:pPr>
      <w:r>
        <w:rPr>
          <w:rFonts w:hint="eastAsia" w:ascii="仿宋" w:hAnsi="仿宋" w:eastAsia="仿宋" w:cs="仿宋"/>
          <w:b/>
          <w:bCs/>
          <w:sz w:val="28"/>
          <w:szCs w:val="28"/>
        </w:rPr>
        <w:t>形象定位：</w:t>
      </w:r>
      <w:r>
        <w:rPr>
          <w:rFonts w:hint="eastAsia" w:ascii="仿宋" w:hAnsi="仿宋" w:eastAsia="仿宋" w:cs="仿宋"/>
          <w:sz w:val="28"/>
          <w:szCs w:val="28"/>
        </w:rPr>
        <w:t>五彩茶亭、芳香小镇</w:t>
      </w:r>
    </w:p>
    <w:p>
      <w:pPr>
        <w:widowControl/>
        <w:spacing w:line="480" w:lineRule="exact"/>
        <w:ind w:firstLine="480"/>
        <w:jc w:val="left"/>
        <w:rPr>
          <w:rFonts w:ascii="仿宋" w:hAnsi="仿宋" w:eastAsia="仿宋" w:cs="仿宋"/>
          <w:sz w:val="28"/>
          <w:szCs w:val="28"/>
        </w:rPr>
      </w:pPr>
      <w:r>
        <w:rPr>
          <w:rFonts w:hint="eastAsia" w:ascii="仿宋" w:hAnsi="仿宋" w:eastAsia="仿宋" w:cs="仿宋"/>
          <w:b/>
          <w:bCs/>
          <w:sz w:val="28"/>
          <w:szCs w:val="28"/>
        </w:rPr>
        <w:t>功能定位：</w:t>
      </w:r>
      <w:r>
        <w:rPr>
          <w:rFonts w:hint="eastAsia" w:ascii="仿宋" w:hAnsi="仿宋" w:eastAsia="仿宋" w:cs="仿宋"/>
          <w:sz w:val="28"/>
          <w:szCs w:val="28"/>
        </w:rPr>
        <w:t>以花为产业,以美丽屋场为载体,以度假、乡村旅游、生态保育和特色农业产业为主导打造城市居民休闲度假后花园，长株潭城乡融合发展样板和生态文旅高地，环洞庭湖经济圈重要旅游节点，具有湖湘风貌特色的乡村休闲旅游区。</w:t>
      </w:r>
    </w:p>
    <w:p>
      <w:pPr>
        <w:pStyle w:val="4"/>
        <w:spacing w:line="480" w:lineRule="exact"/>
        <w:rPr>
          <w:rFonts w:ascii="仿宋" w:hAnsi="仿宋" w:eastAsia="仿宋" w:cs="仿宋"/>
          <w:szCs w:val="28"/>
        </w:rPr>
      </w:pPr>
      <w:r>
        <w:rPr>
          <w:rFonts w:hint="eastAsia" w:ascii="仿宋" w:hAnsi="仿宋" w:eastAsia="仿宋" w:cs="仿宋"/>
          <w:szCs w:val="28"/>
        </w:rPr>
        <w:t>规划指标</w:t>
      </w:r>
    </w:p>
    <w:p>
      <w:pPr>
        <w:widowControl/>
        <w:spacing w:line="480" w:lineRule="exact"/>
        <w:ind w:firstLine="480"/>
        <w:jc w:val="left"/>
        <w:rPr>
          <w:rFonts w:ascii="仿宋" w:hAnsi="仿宋" w:eastAsia="仿宋" w:cs="仿宋"/>
          <w:sz w:val="28"/>
          <w:szCs w:val="28"/>
        </w:rPr>
      </w:pPr>
      <w:bookmarkStart w:id="0" w:name="_Hlk127198896"/>
      <w:r>
        <w:rPr>
          <w:rFonts w:hint="eastAsia" w:ascii="仿宋" w:hAnsi="仿宋" w:eastAsia="仿宋" w:cs="仿宋"/>
          <w:sz w:val="28"/>
          <w:szCs w:val="28"/>
        </w:rPr>
        <w:t>规划指标体系包括社会发展、底线管控、结构效率、生活品质、整治修复5大类24个规划指标，其中7个约束性指标，17个预期性指标。</w:t>
      </w:r>
    </w:p>
    <w:p>
      <w:pPr>
        <w:widowControl/>
        <w:spacing w:line="480" w:lineRule="exact"/>
        <w:ind w:firstLine="480"/>
        <w:jc w:val="center"/>
        <w:rPr>
          <w:rFonts w:ascii="仿宋" w:hAnsi="仿宋" w:eastAsia="仿宋" w:cs="仿宋"/>
          <w:b/>
          <w:bCs/>
          <w:sz w:val="28"/>
          <w:szCs w:val="28"/>
        </w:rPr>
      </w:pPr>
      <w:r>
        <w:rPr>
          <w:rFonts w:hint="eastAsia" w:ascii="仿宋" w:hAnsi="仿宋" w:eastAsia="仿宋" w:cs="仿宋"/>
          <w:b/>
          <w:bCs/>
          <w:sz w:val="28"/>
          <w:szCs w:val="28"/>
        </w:rPr>
        <w:t>乡镇规划指标一览表</w:t>
      </w:r>
    </w:p>
    <w:tbl>
      <w:tblPr>
        <w:tblStyle w:val="15"/>
        <w:tblW w:w="518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24"/>
        <w:gridCol w:w="3248"/>
        <w:gridCol w:w="929"/>
        <w:gridCol w:w="1435"/>
        <w:gridCol w:w="1326"/>
        <w:gridCol w:w="1328"/>
        <w:gridCol w:w="11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358" w:type="pct"/>
            <w:vAlign w:val="center"/>
          </w:tcPr>
          <w:p>
            <w:pPr>
              <w:widowControl/>
              <w:spacing w:before="100" w:beforeAutospacing="1" w:after="100" w:afterAutospacing="1"/>
              <w:jc w:val="center"/>
              <w:rPr>
                <w:rFonts w:ascii="仿宋" w:hAnsi="仿宋" w:eastAsia="仿宋" w:cs="仿宋"/>
                <w:b/>
                <w:bCs/>
                <w:kern w:val="0"/>
                <w:szCs w:val="21"/>
              </w:rPr>
            </w:pPr>
            <w:r>
              <w:rPr>
                <w:rFonts w:hint="eastAsia" w:ascii="仿宋" w:hAnsi="仿宋" w:eastAsia="仿宋" w:cs="仿宋"/>
                <w:b/>
                <w:bCs/>
                <w:kern w:val="0"/>
                <w:szCs w:val="21"/>
              </w:rPr>
              <w:t>指标 类型</w:t>
            </w:r>
          </w:p>
        </w:tc>
        <w:tc>
          <w:tcPr>
            <w:tcW w:w="1605" w:type="pct"/>
            <w:vAlign w:val="center"/>
          </w:tcPr>
          <w:p>
            <w:pPr>
              <w:widowControl/>
              <w:spacing w:before="100" w:beforeAutospacing="1" w:after="100" w:afterAutospacing="1"/>
              <w:jc w:val="center"/>
              <w:rPr>
                <w:rFonts w:ascii="仿宋" w:hAnsi="仿宋" w:eastAsia="仿宋" w:cs="仿宋"/>
                <w:b/>
                <w:bCs/>
                <w:kern w:val="0"/>
                <w:szCs w:val="21"/>
              </w:rPr>
            </w:pPr>
            <w:r>
              <w:rPr>
                <w:rFonts w:hint="eastAsia" w:ascii="仿宋" w:hAnsi="仿宋" w:eastAsia="仿宋" w:cs="仿宋"/>
                <w:b/>
                <w:bCs/>
                <w:kern w:val="0"/>
                <w:szCs w:val="21"/>
              </w:rPr>
              <w:t>指标名称</w:t>
            </w:r>
          </w:p>
        </w:tc>
        <w:tc>
          <w:tcPr>
            <w:tcW w:w="459" w:type="pct"/>
            <w:vAlign w:val="center"/>
          </w:tcPr>
          <w:p>
            <w:pPr>
              <w:widowControl/>
              <w:spacing w:before="100" w:beforeAutospacing="1" w:after="100" w:afterAutospacing="1"/>
              <w:jc w:val="center"/>
              <w:rPr>
                <w:rFonts w:ascii="仿宋" w:hAnsi="仿宋" w:eastAsia="仿宋" w:cs="仿宋"/>
                <w:b/>
                <w:bCs/>
                <w:kern w:val="0"/>
                <w:szCs w:val="21"/>
              </w:rPr>
            </w:pPr>
            <w:r>
              <w:rPr>
                <w:rFonts w:hint="eastAsia" w:ascii="仿宋" w:hAnsi="仿宋" w:eastAsia="仿宋" w:cs="仿宋"/>
                <w:b/>
                <w:bCs/>
                <w:kern w:val="0"/>
                <w:szCs w:val="21"/>
              </w:rPr>
              <w:t>单位</w:t>
            </w:r>
          </w:p>
        </w:tc>
        <w:tc>
          <w:tcPr>
            <w:tcW w:w="709" w:type="pct"/>
            <w:vAlign w:val="center"/>
          </w:tcPr>
          <w:p>
            <w:pPr>
              <w:widowControl/>
              <w:spacing w:before="100" w:beforeAutospacing="1" w:after="100" w:afterAutospacing="1"/>
              <w:jc w:val="center"/>
              <w:rPr>
                <w:rFonts w:ascii="仿宋" w:hAnsi="仿宋" w:eastAsia="仿宋" w:cs="仿宋"/>
                <w:b/>
                <w:bCs/>
                <w:kern w:val="0"/>
                <w:szCs w:val="21"/>
              </w:rPr>
            </w:pPr>
            <w:r>
              <w:rPr>
                <w:rFonts w:hint="eastAsia" w:ascii="仿宋" w:hAnsi="仿宋" w:eastAsia="仿宋" w:cs="仿宋"/>
                <w:b/>
                <w:bCs/>
                <w:kern w:val="0"/>
                <w:szCs w:val="21"/>
              </w:rPr>
              <w:t>2020年     （基期年）</w:t>
            </w:r>
          </w:p>
        </w:tc>
        <w:tc>
          <w:tcPr>
            <w:tcW w:w="655" w:type="pct"/>
            <w:vAlign w:val="center"/>
          </w:tcPr>
          <w:p>
            <w:pPr>
              <w:widowControl/>
              <w:spacing w:before="100" w:beforeAutospacing="1" w:after="100" w:afterAutospacing="1"/>
              <w:jc w:val="center"/>
              <w:rPr>
                <w:rFonts w:ascii="仿宋" w:hAnsi="仿宋" w:eastAsia="仿宋" w:cs="仿宋"/>
                <w:b/>
                <w:bCs/>
                <w:kern w:val="0"/>
                <w:szCs w:val="21"/>
              </w:rPr>
            </w:pPr>
            <w:r>
              <w:rPr>
                <w:rFonts w:hint="eastAsia" w:ascii="仿宋" w:hAnsi="仿宋" w:eastAsia="仿宋" w:cs="仿宋"/>
                <w:b/>
                <w:bCs/>
                <w:kern w:val="0"/>
                <w:szCs w:val="21"/>
              </w:rPr>
              <w:t>2025年    （近期年）</w:t>
            </w:r>
          </w:p>
        </w:tc>
        <w:tc>
          <w:tcPr>
            <w:tcW w:w="656" w:type="pct"/>
            <w:vAlign w:val="center"/>
          </w:tcPr>
          <w:p>
            <w:pPr>
              <w:widowControl/>
              <w:spacing w:before="100" w:beforeAutospacing="1" w:after="100" w:afterAutospacing="1"/>
              <w:jc w:val="center"/>
              <w:rPr>
                <w:rFonts w:ascii="仿宋" w:hAnsi="仿宋" w:eastAsia="仿宋" w:cs="仿宋"/>
                <w:b/>
                <w:bCs/>
                <w:kern w:val="0"/>
                <w:szCs w:val="21"/>
              </w:rPr>
            </w:pPr>
            <w:r>
              <w:rPr>
                <w:rFonts w:hint="eastAsia" w:ascii="仿宋" w:hAnsi="仿宋" w:eastAsia="仿宋" w:cs="仿宋"/>
                <w:b/>
                <w:bCs/>
                <w:kern w:val="0"/>
                <w:szCs w:val="21"/>
              </w:rPr>
              <w:t>2035年    （目标年）</w:t>
            </w:r>
          </w:p>
        </w:tc>
        <w:tc>
          <w:tcPr>
            <w:tcW w:w="555" w:type="pct"/>
            <w:vAlign w:val="center"/>
          </w:tcPr>
          <w:p>
            <w:pPr>
              <w:widowControl/>
              <w:spacing w:before="100" w:beforeAutospacing="1" w:after="100" w:afterAutospacing="1"/>
              <w:jc w:val="center"/>
              <w:rPr>
                <w:rFonts w:ascii="仿宋" w:hAnsi="仿宋" w:eastAsia="仿宋" w:cs="仿宋"/>
                <w:b/>
                <w:bCs/>
                <w:kern w:val="0"/>
                <w:szCs w:val="21"/>
              </w:rPr>
            </w:pPr>
            <w:r>
              <w:rPr>
                <w:rFonts w:hint="eastAsia" w:ascii="仿宋" w:hAnsi="仿宋" w:eastAsia="仿宋" w:cs="仿宋"/>
                <w:b/>
                <w:bCs/>
                <w:kern w:val="0"/>
                <w:szCs w:val="21"/>
              </w:rPr>
              <w:t>指标属性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358" w:type="pct"/>
            <w:vMerge w:val="restar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社会 发展</w:t>
            </w: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户籍人口规模</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万人</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5.14</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5.3</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5.7</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常住人口规模</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万人</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3.89</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4</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4.5</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restar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底线 管控</w:t>
            </w: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生态保护红线面积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992.65</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992.65</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992.65</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永久基本农田保护面积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2638.55</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2638.55</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2638.55</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耕地保有量</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3009.01</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3009.01</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3009.01</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用水总量</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万立方米</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0.5</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0.64</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城镇建设用地规模</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95.89</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213.59</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村庄建设用地规模</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1419.38</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6" w:type="pct"/>
            <w:vAlign w:val="center"/>
          </w:tcPr>
          <w:p>
            <w:pPr>
              <w:widowControl/>
              <w:spacing w:before="100" w:beforeAutospacing="1" w:after="100" w:afterAutospacing="1"/>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1284.32</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林地保有量</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4039.83</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6" w:type="pct"/>
            <w:vAlign w:val="center"/>
          </w:tcPr>
          <w:p>
            <w:pPr>
              <w:widowControl/>
              <w:spacing w:before="100" w:beforeAutospacing="1" w:after="100" w:afterAutospacing="1"/>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3949.36</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草地面积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27.62</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6" w:type="pct"/>
            <w:vAlign w:val="center"/>
          </w:tcPr>
          <w:p>
            <w:pPr>
              <w:widowControl/>
              <w:spacing w:before="100" w:beforeAutospacing="1" w:after="100" w:afterAutospacing="1"/>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26.6</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湿地面积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126</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126</w:t>
            </w:r>
          </w:p>
        </w:tc>
        <w:tc>
          <w:tcPr>
            <w:tcW w:w="656" w:type="pct"/>
            <w:vAlign w:val="center"/>
          </w:tcPr>
          <w:p>
            <w:pPr>
              <w:widowControl/>
              <w:spacing w:before="100" w:beforeAutospacing="1" w:after="100" w:afterAutospacing="1"/>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126</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restar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结构 效率</w:t>
            </w: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乡镇国土开发强度</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12.5</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17</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人均城镇建设用地</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平方米</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19</w:t>
            </w:r>
          </w:p>
        </w:tc>
        <w:tc>
          <w:tcPr>
            <w:tcW w:w="655" w:type="pct"/>
            <w:vAlign w:val="center"/>
          </w:tcPr>
          <w:p>
            <w:pPr>
              <w:widowControl/>
              <w:spacing w:before="100" w:beforeAutospacing="1" w:after="100" w:afterAutospacing="1"/>
              <w:jc w:val="center"/>
              <w:rPr>
                <w:rFonts w:ascii="仿宋" w:hAnsi="仿宋" w:eastAsia="仿宋" w:cs="仿宋"/>
                <w:kern w:val="0"/>
                <w:szCs w:val="21"/>
              </w:rPr>
            </w:pP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45</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人均村庄建设用地</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平方米</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295</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6" w:type="pct"/>
            <w:vAlign w:val="center"/>
          </w:tcPr>
          <w:p>
            <w:pPr>
              <w:widowControl/>
              <w:spacing w:before="100" w:beforeAutospacing="1" w:after="100" w:afterAutospacing="1"/>
              <w:jc w:val="center"/>
              <w:rPr>
                <w:rFonts w:hint="default" w:ascii="仿宋" w:hAnsi="仿宋" w:eastAsia="仿宋" w:cs="仿宋"/>
                <w:kern w:val="0"/>
                <w:szCs w:val="21"/>
                <w:lang w:val="en-US" w:eastAsia="zh-CN"/>
              </w:rPr>
            </w:pPr>
            <w:r>
              <w:rPr>
                <w:rFonts w:hint="eastAsia" w:ascii="仿宋" w:hAnsi="仿宋" w:eastAsia="仿宋" w:cs="仿宋"/>
                <w:kern w:val="0"/>
                <w:szCs w:val="21"/>
              </w:rPr>
              <w:t>2</w:t>
            </w:r>
            <w:r>
              <w:rPr>
                <w:rFonts w:hint="eastAsia" w:ascii="仿宋" w:hAnsi="仿宋" w:eastAsia="仿宋" w:cs="仿宋"/>
                <w:kern w:val="0"/>
                <w:szCs w:val="21"/>
                <w:lang w:val="en-US" w:eastAsia="zh-CN"/>
              </w:rPr>
              <w:t>41</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jc w:val="center"/>
        </w:trPr>
        <w:tc>
          <w:tcPr>
            <w:tcW w:w="358" w:type="pct"/>
            <w:vMerge w:val="restar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生活 品质</w:t>
            </w: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千人医疗卫生机构床位数</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张</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4.1</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7.6</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7.6</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千人养老机构床位数</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张</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35</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40</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45</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城镇集中建设区人均公园绿地面积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平方米</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6.4</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6.4</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生活垃圾无害化处理率</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100</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100</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村组等级公路通达率</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100</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100</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农村卫生厕所普及率</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100</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100</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村卫生室数量</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个</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11</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13</w:t>
            </w:r>
          </w:p>
        </w:tc>
        <w:tc>
          <w:tcPr>
            <w:tcW w:w="656"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13</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358" w:type="pct"/>
            <w:vMerge w:val="restar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整治 修复</w:t>
            </w: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农用地整理面积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1328" w:type="dxa"/>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建设用地整理面积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1328" w:type="dxa"/>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jc w:val="center"/>
        </w:trPr>
        <w:tc>
          <w:tcPr>
            <w:tcW w:w="358" w:type="pct"/>
            <w:vMerge w:val="continue"/>
            <w:tcBorders>
              <w:top w:val="nil"/>
            </w:tcBorders>
            <w:vAlign w:val="center"/>
          </w:tcPr>
          <w:p>
            <w:pPr>
              <w:widowControl/>
              <w:spacing w:before="100" w:beforeAutospacing="1" w:after="100" w:afterAutospacing="1"/>
              <w:jc w:val="center"/>
              <w:rPr>
                <w:rFonts w:ascii="仿宋" w:hAnsi="仿宋" w:eastAsia="仿宋" w:cs="仿宋"/>
                <w:kern w:val="0"/>
                <w:szCs w:val="21"/>
              </w:rPr>
            </w:pPr>
          </w:p>
        </w:tc>
        <w:tc>
          <w:tcPr>
            <w:tcW w:w="160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新增生态修复面积</w:t>
            </w:r>
          </w:p>
        </w:tc>
        <w:tc>
          <w:tcPr>
            <w:tcW w:w="45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公顷</w:t>
            </w:r>
          </w:p>
        </w:tc>
        <w:tc>
          <w:tcPr>
            <w:tcW w:w="709"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6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1328" w:type="dxa"/>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w:t>
            </w:r>
          </w:p>
        </w:tc>
        <w:tc>
          <w:tcPr>
            <w:tcW w:w="555" w:type="pct"/>
            <w:vAlign w:val="center"/>
          </w:tcPr>
          <w:p>
            <w:pPr>
              <w:widowControl/>
              <w:spacing w:before="100" w:beforeAutospacing="1" w:after="100" w:afterAutospacing="1"/>
              <w:jc w:val="center"/>
              <w:rPr>
                <w:rFonts w:ascii="仿宋" w:hAnsi="仿宋" w:eastAsia="仿宋" w:cs="仿宋"/>
                <w:kern w:val="0"/>
                <w:szCs w:val="21"/>
              </w:rPr>
            </w:pPr>
            <w:r>
              <w:rPr>
                <w:rFonts w:hint="eastAsia" w:ascii="仿宋" w:hAnsi="仿宋" w:eastAsia="仿宋" w:cs="仿宋"/>
                <w:kern w:val="0"/>
                <w:szCs w:val="21"/>
              </w:rPr>
              <w:t>预期性</w:t>
            </w:r>
          </w:p>
        </w:tc>
      </w:tr>
    </w:tbl>
    <w:p>
      <w:pPr>
        <w:pStyle w:val="39"/>
        <w:rPr>
          <w:rFonts w:ascii="仿宋" w:hAnsi="仿宋" w:eastAsia="仿宋" w:cs="仿宋"/>
          <w:b/>
          <w:bCs/>
          <w:color w:val="auto"/>
          <w:sz w:val="28"/>
          <w:szCs w:val="28"/>
        </w:rPr>
      </w:pPr>
    </w:p>
    <w:bookmarkEnd w:id="0"/>
    <w:p>
      <w:pPr>
        <w:pStyle w:val="3"/>
        <w:spacing w:line="480" w:lineRule="exact"/>
        <w:rPr>
          <w:rFonts w:ascii="黑体" w:hAnsi="黑体" w:eastAsia="黑体" w:cs="黑体"/>
        </w:rPr>
      </w:pPr>
      <w:r>
        <w:rPr>
          <w:rFonts w:hint="eastAsia" w:ascii="黑体" w:hAnsi="黑体" w:eastAsia="黑体" w:cs="黑体"/>
        </w:rPr>
        <w:t>发展规模</w:t>
      </w:r>
    </w:p>
    <w:p>
      <w:pPr>
        <w:pStyle w:val="4"/>
        <w:numPr>
          <w:ilvl w:val="1"/>
          <w:numId w:val="5"/>
        </w:numPr>
        <w:spacing w:line="480" w:lineRule="exact"/>
        <w:rPr>
          <w:rFonts w:ascii="仿宋" w:hAnsi="仿宋" w:eastAsia="仿宋" w:cs="仿宋"/>
          <w:szCs w:val="28"/>
        </w:rPr>
      </w:pPr>
      <w:r>
        <w:rPr>
          <w:rFonts w:hint="eastAsia" w:ascii="仿宋" w:hAnsi="仿宋" w:eastAsia="仿宋" w:cs="仿宋"/>
          <w:szCs w:val="28"/>
        </w:rPr>
        <w:t>人口规模</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至2025年，茶亭镇总人口5.3万人，； </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至2035年，茶亭镇总人口5.7万人。</w:t>
      </w:r>
    </w:p>
    <w:p>
      <w:pPr>
        <w:pStyle w:val="4"/>
        <w:numPr>
          <w:ilvl w:val="1"/>
          <w:numId w:val="5"/>
        </w:numPr>
        <w:spacing w:line="480" w:lineRule="exact"/>
        <w:rPr>
          <w:rFonts w:ascii="仿宋" w:hAnsi="仿宋" w:eastAsia="仿宋" w:cs="仿宋"/>
          <w:szCs w:val="28"/>
        </w:rPr>
      </w:pPr>
      <w:r>
        <w:rPr>
          <w:rFonts w:hint="eastAsia" w:ascii="仿宋" w:hAnsi="仿宋" w:eastAsia="仿宋" w:cs="仿宋"/>
          <w:szCs w:val="28"/>
        </w:rPr>
        <w:t>镇域用地规划</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至2035年，镇域国土总面积达11689.84公顷，城乡用地总用地规模为1</w:t>
      </w:r>
      <w:r>
        <w:rPr>
          <w:rFonts w:hint="eastAsia" w:ascii="仿宋" w:hAnsi="仿宋" w:eastAsia="仿宋" w:cs="仿宋"/>
          <w:sz w:val="28"/>
          <w:szCs w:val="28"/>
          <w:lang w:val="en-US" w:eastAsia="zh-CN"/>
        </w:rPr>
        <w:t>497.91</w:t>
      </w:r>
      <w:r>
        <w:rPr>
          <w:rFonts w:hint="eastAsia" w:ascii="仿宋" w:hAnsi="仿宋" w:eastAsia="仿宋" w:cs="仿宋"/>
          <w:sz w:val="28"/>
          <w:szCs w:val="28"/>
        </w:rPr>
        <w:t>公顷，其中城镇建设用地213.59公顷，村庄建设用地1</w:t>
      </w:r>
      <w:r>
        <w:rPr>
          <w:rFonts w:hint="eastAsia" w:ascii="仿宋" w:hAnsi="仿宋" w:eastAsia="仿宋" w:cs="仿宋"/>
          <w:sz w:val="28"/>
          <w:szCs w:val="28"/>
          <w:lang w:val="en-US" w:eastAsia="zh-CN"/>
        </w:rPr>
        <w:t>284.32</w:t>
      </w:r>
      <w:r>
        <w:rPr>
          <w:rFonts w:hint="eastAsia" w:ascii="仿宋" w:hAnsi="仿宋" w:eastAsia="仿宋" w:cs="仿宋"/>
          <w:sz w:val="28"/>
          <w:szCs w:val="28"/>
        </w:rPr>
        <w:t>公顷（包括5%留白指标，面积约</w:t>
      </w:r>
      <w:r>
        <w:rPr>
          <w:rFonts w:hint="eastAsia" w:ascii="仿宋" w:hAnsi="仿宋" w:eastAsia="仿宋" w:cs="仿宋"/>
          <w:sz w:val="28"/>
          <w:szCs w:val="28"/>
          <w:lang w:val="en-US" w:eastAsia="zh-CN"/>
        </w:rPr>
        <w:t>61.16</w:t>
      </w:r>
      <w:r>
        <w:rPr>
          <w:rFonts w:hint="eastAsia" w:ascii="仿宋" w:hAnsi="仿宋" w:eastAsia="仿宋" w:cs="仿宋"/>
          <w:sz w:val="28"/>
          <w:szCs w:val="28"/>
        </w:rPr>
        <w:t>公顷）。</w:t>
      </w:r>
    </w:p>
    <w:p>
      <w:pPr>
        <w:pStyle w:val="3"/>
        <w:spacing w:line="480" w:lineRule="exact"/>
        <w:rPr>
          <w:rFonts w:ascii="黑体" w:hAnsi="黑体" w:eastAsia="黑体" w:cs="黑体"/>
        </w:rPr>
      </w:pPr>
      <w:r>
        <w:rPr>
          <w:rFonts w:hint="eastAsia" w:ascii="黑体" w:hAnsi="黑体" w:eastAsia="黑体" w:cs="黑体"/>
        </w:rPr>
        <w:t>国土空间格局</w:t>
      </w:r>
    </w:p>
    <w:p>
      <w:pPr>
        <w:pStyle w:val="4"/>
        <w:numPr>
          <w:ilvl w:val="1"/>
          <w:numId w:val="6"/>
        </w:numPr>
        <w:spacing w:line="480" w:lineRule="exact"/>
        <w:rPr>
          <w:rFonts w:ascii="仿宋" w:hAnsi="仿宋" w:eastAsia="仿宋" w:cs="仿宋"/>
          <w:szCs w:val="28"/>
        </w:rPr>
      </w:pPr>
      <w:r>
        <w:rPr>
          <w:rFonts w:hint="eastAsia" w:ascii="仿宋" w:hAnsi="仿宋" w:eastAsia="仿宋" w:cs="仿宋"/>
          <w:szCs w:val="28"/>
        </w:rPr>
        <w:t>总体格局</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构建茶亭镇“两廊三带，双心三片”的综合发展格局。</w:t>
      </w:r>
    </w:p>
    <w:p>
      <w:pPr>
        <w:widowControl/>
        <w:spacing w:line="48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两廊：</w:t>
      </w:r>
      <w:r>
        <w:rPr>
          <w:rFonts w:hint="eastAsia" w:ascii="仿宋" w:hAnsi="仿宋" w:eastAsia="仿宋" w:cs="仿宋"/>
          <w:sz w:val="28"/>
          <w:szCs w:val="28"/>
        </w:rPr>
        <w:t>沿湘江苏蓼垸组成的西部生态廊道、九峰山黑麋峰组成的东部生态走廊。</w:t>
      </w:r>
    </w:p>
    <w:p>
      <w:pPr>
        <w:widowControl/>
        <w:spacing w:line="480" w:lineRule="exact"/>
        <w:ind w:firstLine="480" w:firstLineChars="200"/>
        <w:jc w:val="left"/>
        <w:rPr>
          <w:rFonts w:ascii="仿宋" w:hAnsi="仿宋" w:eastAsia="仿宋" w:cs="仿宋"/>
          <w:sz w:val="28"/>
          <w:szCs w:val="28"/>
        </w:rPr>
      </w:pPr>
      <w:r>
        <w:rPr>
          <w:rFonts w:hint="eastAsia"/>
          <w:b/>
          <w:bCs/>
          <w:sz w:val="24"/>
        </w:rPr>
        <w:drawing>
          <wp:anchor distT="0" distB="0" distL="114935" distR="114935" simplePos="0" relativeHeight="251660288" behindDoc="1" locked="0" layoutInCell="1" allowOverlap="1">
            <wp:simplePos x="0" y="0"/>
            <wp:positionH relativeFrom="column">
              <wp:posOffset>2562225</wp:posOffset>
            </wp:positionH>
            <wp:positionV relativeFrom="paragraph">
              <wp:posOffset>139700</wp:posOffset>
            </wp:positionV>
            <wp:extent cx="3767455" cy="2452370"/>
            <wp:effectExtent l="0" t="0" r="61595" b="62230"/>
            <wp:wrapTight wrapText="bothSides">
              <wp:wrapPolygon>
                <wp:start x="0" y="0"/>
                <wp:lineTo x="0" y="21477"/>
                <wp:lineTo x="21516" y="21477"/>
                <wp:lineTo x="21516" y="0"/>
                <wp:lineTo x="0" y="0"/>
              </wp:wrapPolygon>
            </wp:wrapTight>
            <wp:docPr id="5" name="图片 1" descr="05总体格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05总体格局图"/>
                    <pic:cNvPicPr>
                      <a:picLocks noChangeAspect="1"/>
                    </pic:cNvPicPr>
                  </pic:nvPicPr>
                  <pic:blipFill>
                    <a:blip r:embed="rId5"/>
                    <a:srcRect l="989" t="6018" r="664" b="3529"/>
                    <a:stretch>
                      <a:fillRect/>
                    </a:stretch>
                  </pic:blipFill>
                  <pic:spPr>
                    <a:xfrm>
                      <a:off x="0" y="0"/>
                      <a:ext cx="3767455" cy="2452370"/>
                    </a:xfrm>
                    <a:prstGeom prst="rect">
                      <a:avLst/>
                    </a:prstGeom>
                    <a:noFill/>
                    <a:ln>
                      <a:noFill/>
                    </a:ln>
                  </pic:spPr>
                </pic:pic>
              </a:graphicData>
            </a:graphic>
          </wp:anchor>
        </w:drawing>
      </w:r>
      <w:r>
        <w:rPr>
          <w:rFonts w:hint="eastAsia" w:ascii="仿宋" w:hAnsi="仿宋" w:eastAsia="仿宋" w:cs="仿宋"/>
          <w:b/>
          <w:bCs/>
          <w:sz w:val="28"/>
          <w:szCs w:val="28"/>
        </w:rPr>
        <w:t>三带：</w:t>
      </w:r>
      <w:r>
        <w:rPr>
          <w:rFonts w:hint="eastAsia" w:ascii="仿宋" w:hAnsi="仿宋" w:eastAsia="仿宋" w:cs="仿宋"/>
          <w:sz w:val="28"/>
          <w:szCs w:val="28"/>
        </w:rPr>
        <w:t>连通望城高新区及中心镇区的协同创新发展带，贯通镇域东西向的文旅观光体验带，沿芙蓉北路形成的新型城镇辐射带。</w:t>
      </w:r>
    </w:p>
    <w:p>
      <w:pPr>
        <w:widowControl/>
        <w:spacing w:line="48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双心：</w:t>
      </w:r>
      <w:r>
        <w:rPr>
          <w:rFonts w:hint="eastAsia" w:ascii="仿宋" w:hAnsi="仿宋" w:eastAsia="仿宋" w:cs="仿宋"/>
          <w:sz w:val="28"/>
          <w:szCs w:val="28"/>
        </w:rPr>
        <w:t>望城高新区、梅花岭社区。</w:t>
      </w:r>
    </w:p>
    <w:p>
      <w:pPr>
        <w:widowControl/>
        <w:spacing w:line="48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三片：</w:t>
      </w:r>
      <w:r>
        <w:rPr>
          <w:rFonts w:hint="eastAsia" w:ascii="仿宋" w:hAnsi="仿宋" w:eastAsia="仿宋" w:cs="仿宋"/>
          <w:sz w:val="28"/>
          <w:szCs w:val="28"/>
        </w:rPr>
        <w:t>西部现代养殖观光示范片；中部生态种植科普示范片；东北文旅融合发展示范片。</w:t>
      </w:r>
    </w:p>
    <w:p>
      <w:pPr>
        <w:pStyle w:val="4"/>
        <w:spacing w:line="480" w:lineRule="exact"/>
        <w:rPr>
          <w:rFonts w:ascii="仿宋" w:hAnsi="仿宋" w:eastAsia="仿宋" w:cs="仿宋"/>
          <w:szCs w:val="28"/>
        </w:rPr>
      </w:pPr>
      <w:r>
        <w:rPr>
          <w:rFonts w:hint="eastAsia" w:ascii="仿宋" w:hAnsi="仿宋" w:eastAsia="仿宋" w:cs="仿宋"/>
          <w:szCs w:val="28"/>
        </w:rPr>
        <w:t>落实三条控制线</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划定茶亭镇永久基本农田保护面积约2638.55公顷，耕地保有量目标为3009.01公顷；划定生态保护红线面积约992.65公顷，主要分布在谭家园村、九峰山村；划定城镇开发边界面积约256.95公顷，全部为集中建设区。</w:t>
      </w:r>
    </w:p>
    <w:p>
      <w:pPr>
        <w:pStyle w:val="3"/>
        <w:spacing w:line="480" w:lineRule="exact"/>
        <w:rPr>
          <w:rFonts w:ascii="黑体" w:hAnsi="黑体" w:eastAsia="黑体" w:cs="黑体"/>
        </w:rPr>
      </w:pPr>
      <w:r>
        <w:rPr>
          <w:rFonts w:hint="eastAsia" w:ascii="黑体" w:hAnsi="黑体" w:eastAsia="黑体" w:cs="黑体"/>
        </w:rPr>
        <w:t>村庄规划指引</w:t>
      </w:r>
    </w:p>
    <w:p>
      <w:pPr>
        <w:pStyle w:val="4"/>
        <w:numPr>
          <w:ilvl w:val="1"/>
          <w:numId w:val="7"/>
        </w:numPr>
        <w:spacing w:line="480" w:lineRule="exact"/>
        <w:rPr>
          <w:rFonts w:ascii="仿宋" w:hAnsi="仿宋" w:eastAsia="仿宋" w:cs="仿宋"/>
        </w:rPr>
      </w:pPr>
      <w:r>
        <w:rPr>
          <w:rFonts w:hint="eastAsia" w:ascii="仿宋" w:hAnsi="仿宋" w:eastAsia="仿宋" w:cs="仿宋"/>
        </w:rPr>
        <w:t>指标分解</w:t>
      </w:r>
    </w:p>
    <w:p>
      <w:pPr>
        <w:widowControl/>
        <w:spacing w:line="480" w:lineRule="exact"/>
        <w:ind w:firstLine="560" w:firstLineChars="200"/>
        <w:jc w:val="left"/>
        <w:rPr>
          <w:rFonts w:ascii="仿宋" w:hAnsi="仿宋" w:eastAsia="仿宋" w:cs="仿宋"/>
          <w:sz w:val="24"/>
          <w:szCs w:val="28"/>
        </w:rPr>
      </w:pPr>
      <w:r>
        <w:rPr>
          <w:rFonts w:hint="eastAsia" w:ascii="仿宋" w:hAnsi="仿宋" w:eastAsia="仿宋" w:cs="仿宋"/>
          <w:sz w:val="28"/>
          <w:szCs w:val="28"/>
        </w:rPr>
        <w:t>落实乡镇国土空间规划确定的目标定位、重要控制线、要素配置等规划内容。合理下达各村的耕地保有量、永久基本农田保护面积、生态保护红线控制面积、林地保有量及村庄建设用地等约束性指标。</w:t>
      </w:r>
    </w:p>
    <w:p>
      <w:pPr>
        <w:spacing w:line="480" w:lineRule="exact"/>
        <w:jc w:val="center"/>
        <w:rPr>
          <w:rFonts w:ascii="仿宋" w:hAnsi="仿宋" w:eastAsia="仿宋" w:cs="仿宋"/>
          <w:b/>
          <w:bCs/>
          <w:sz w:val="28"/>
          <w:szCs w:val="28"/>
        </w:rPr>
      </w:pPr>
      <w:r>
        <w:rPr>
          <w:rFonts w:hint="eastAsia" w:ascii="仿宋" w:hAnsi="仿宋" w:eastAsia="仿宋" w:cs="仿宋"/>
          <w:b/>
          <w:bCs/>
          <w:sz w:val="28"/>
          <w:szCs w:val="28"/>
        </w:rPr>
        <w:t>乡镇规划指标分解表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1377"/>
        <w:gridCol w:w="1500"/>
        <w:gridCol w:w="2319"/>
        <w:gridCol w:w="2018"/>
        <w:gridCol w:w="1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75" w:type="dxa"/>
            <w:vAlign w:val="center"/>
          </w:tcPr>
          <w:p>
            <w:pPr>
              <w:pStyle w:val="14"/>
              <w:spacing w:line="360" w:lineRule="exact"/>
              <w:jc w:val="center"/>
              <w:rPr>
                <w:rFonts w:ascii="仿宋" w:hAnsi="仿宋" w:eastAsia="仿宋" w:cs="仿宋"/>
                <w:b/>
                <w:bCs/>
                <w:sz w:val="21"/>
                <w:szCs w:val="21"/>
              </w:rPr>
            </w:pPr>
            <w:r>
              <w:rPr>
                <w:rFonts w:hint="eastAsia" w:ascii="仿宋" w:hAnsi="仿宋" w:eastAsia="仿宋" w:cs="仿宋"/>
                <w:b/>
                <w:bCs/>
                <w:sz w:val="21"/>
                <w:szCs w:val="21"/>
              </w:rPr>
              <w:t>序号</w:t>
            </w:r>
          </w:p>
        </w:tc>
        <w:tc>
          <w:tcPr>
            <w:tcW w:w="1377" w:type="dxa"/>
            <w:vAlign w:val="center"/>
          </w:tcPr>
          <w:p>
            <w:pPr>
              <w:pStyle w:val="14"/>
              <w:spacing w:line="360" w:lineRule="exact"/>
              <w:jc w:val="center"/>
              <w:rPr>
                <w:rFonts w:ascii="仿宋" w:hAnsi="仿宋" w:eastAsia="仿宋" w:cs="仿宋"/>
                <w:b/>
                <w:bCs/>
                <w:sz w:val="21"/>
                <w:szCs w:val="21"/>
              </w:rPr>
            </w:pPr>
            <w:r>
              <w:rPr>
                <w:rFonts w:hint="eastAsia" w:ascii="仿宋" w:hAnsi="仿宋" w:eastAsia="仿宋" w:cs="仿宋"/>
                <w:b/>
                <w:bCs/>
                <w:sz w:val="21"/>
                <w:szCs w:val="21"/>
              </w:rPr>
              <w:t>行政村</w:t>
            </w:r>
          </w:p>
        </w:tc>
        <w:tc>
          <w:tcPr>
            <w:tcW w:w="1500" w:type="dxa"/>
            <w:vAlign w:val="center"/>
          </w:tcPr>
          <w:p>
            <w:pPr>
              <w:pStyle w:val="14"/>
              <w:jc w:val="center"/>
              <w:rPr>
                <w:rFonts w:ascii="仿宋" w:hAnsi="仿宋" w:eastAsia="仿宋" w:cs="仿宋"/>
                <w:b/>
                <w:bCs/>
                <w:sz w:val="21"/>
                <w:szCs w:val="21"/>
              </w:rPr>
            </w:pPr>
            <w:r>
              <w:rPr>
                <w:rFonts w:hint="eastAsia" w:ascii="仿宋" w:hAnsi="仿宋" w:eastAsia="仿宋" w:cs="仿宋"/>
                <w:b/>
                <w:bCs/>
                <w:sz w:val="21"/>
                <w:szCs w:val="21"/>
              </w:rPr>
              <w:t>耕地保有量（公顷）</w:t>
            </w:r>
          </w:p>
        </w:tc>
        <w:tc>
          <w:tcPr>
            <w:tcW w:w="2319" w:type="dxa"/>
            <w:vAlign w:val="center"/>
          </w:tcPr>
          <w:p>
            <w:pPr>
              <w:pStyle w:val="14"/>
              <w:spacing w:line="360" w:lineRule="exact"/>
              <w:jc w:val="center"/>
              <w:rPr>
                <w:rFonts w:ascii="仿宋" w:hAnsi="仿宋" w:eastAsia="仿宋" w:cs="仿宋"/>
                <w:b/>
                <w:bCs/>
                <w:sz w:val="21"/>
                <w:szCs w:val="21"/>
              </w:rPr>
            </w:pPr>
            <w:r>
              <w:rPr>
                <w:rFonts w:hint="eastAsia" w:ascii="仿宋" w:hAnsi="仿宋" w:eastAsia="仿宋" w:cs="仿宋"/>
                <w:b/>
                <w:bCs/>
                <w:sz w:val="21"/>
                <w:szCs w:val="21"/>
              </w:rPr>
              <w:t>永久基本农田保护面积（公顷）</w:t>
            </w:r>
          </w:p>
        </w:tc>
        <w:tc>
          <w:tcPr>
            <w:tcW w:w="2018" w:type="dxa"/>
            <w:vAlign w:val="center"/>
          </w:tcPr>
          <w:p>
            <w:pPr>
              <w:pStyle w:val="14"/>
              <w:spacing w:line="360" w:lineRule="exact"/>
              <w:jc w:val="center"/>
              <w:rPr>
                <w:rFonts w:ascii="仿宋" w:hAnsi="仿宋" w:eastAsia="仿宋" w:cs="仿宋"/>
                <w:b/>
                <w:bCs/>
                <w:sz w:val="21"/>
                <w:szCs w:val="21"/>
              </w:rPr>
            </w:pPr>
            <w:r>
              <w:rPr>
                <w:rFonts w:hint="eastAsia" w:ascii="仿宋" w:hAnsi="仿宋" w:eastAsia="仿宋" w:cs="仿宋"/>
                <w:b/>
                <w:bCs/>
                <w:sz w:val="21"/>
                <w:szCs w:val="21"/>
              </w:rPr>
              <w:t>生态保护红线控制面积（公顷）</w:t>
            </w:r>
          </w:p>
        </w:tc>
        <w:tc>
          <w:tcPr>
            <w:tcW w:w="1973" w:type="dxa"/>
            <w:vAlign w:val="center"/>
          </w:tcPr>
          <w:p>
            <w:pPr>
              <w:pStyle w:val="14"/>
              <w:spacing w:line="360" w:lineRule="exact"/>
              <w:jc w:val="center"/>
              <w:rPr>
                <w:rFonts w:ascii="仿宋" w:hAnsi="仿宋" w:eastAsia="仿宋" w:cs="仿宋"/>
                <w:b/>
                <w:bCs/>
                <w:sz w:val="21"/>
                <w:szCs w:val="21"/>
              </w:rPr>
            </w:pPr>
            <w:r>
              <w:rPr>
                <w:rFonts w:hint="eastAsia" w:ascii="仿宋" w:hAnsi="仿宋" w:eastAsia="仿宋" w:cs="仿宋"/>
                <w:b/>
                <w:bCs/>
                <w:sz w:val="21"/>
                <w:szCs w:val="21"/>
              </w:rPr>
              <w:t>村庄建设用地面积（公顷）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1</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大龙村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197.07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124.08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110.89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2</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戴公桥村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330.08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299.66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144.28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3</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静慎村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261.67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229.87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99.07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4</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洪开桥村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298.31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262.17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116.61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5</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九峰山村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141.73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114.97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431.67 </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50.26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6</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梅花岭社区</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223.62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187.65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137.89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7</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泉丰村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210.52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186.49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83.87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8</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狮子岭村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337.92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306.86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126.33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9</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苏蓼村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216.77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208.55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80.93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10</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谭家园村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166.81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137.29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498.00 </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83.66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11</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望群村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179.94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159.80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62.98 </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71.80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12</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西湖寺村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289.34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272.36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114.52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75"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13</w:t>
            </w:r>
          </w:p>
        </w:tc>
        <w:tc>
          <w:tcPr>
            <w:tcW w:w="1377"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杨家坪村</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155.23 </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148.80 </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0</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64.20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152" w:type="dxa"/>
            <w:gridSpan w:val="2"/>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合计</w:t>
            </w:r>
          </w:p>
        </w:tc>
        <w:tc>
          <w:tcPr>
            <w:tcW w:w="1500"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3009.01</w:t>
            </w:r>
          </w:p>
        </w:tc>
        <w:tc>
          <w:tcPr>
            <w:tcW w:w="2319"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2638.55</w:t>
            </w:r>
          </w:p>
        </w:tc>
        <w:tc>
          <w:tcPr>
            <w:tcW w:w="2018" w:type="dxa"/>
            <w:vAlign w:val="center"/>
          </w:tcPr>
          <w:p>
            <w:pPr>
              <w:pStyle w:val="14"/>
              <w:spacing w:line="360" w:lineRule="exact"/>
              <w:jc w:val="center"/>
              <w:rPr>
                <w:rFonts w:ascii="仿宋" w:hAnsi="仿宋" w:eastAsia="仿宋" w:cs="仿宋"/>
                <w:sz w:val="21"/>
                <w:szCs w:val="21"/>
              </w:rPr>
            </w:pPr>
            <w:r>
              <w:rPr>
                <w:rFonts w:hint="eastAsia" w:ascii="仿宋" w:hAnsi="仿宋" w:eastAsia="仿宋" w:cs="仿宋"/>
                <w:sz w:val="21"/>
                <w:szCs w:val="21"/>
              </w:rPr>
              <w:t xml:space="preserve">992.65 </w:t>
            </w:r>
          </w:p>
        </w:tc>
        <w:tc>
          <w:tcPr>
            <w:tcW w:w="1973" w:type="dxa"/>
            <w:vAlign w:val="center"/>
          </w:tcPr>
          <w:p>
            <w:pPr>
              <w:pStyle w:val="14"/>
              <w:spacing w:line="36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 xml:space="preserve">1284.32 </w:t>
            </w:r>
          </w:p>
        </w:tc>
      </w:tr>
    </w:tbl>
    <w:p>
      <w:pPr>
        <w:pStyle w:val="39"/>
        <w:rPr>
          <w:color w:val="auto"/>
        </w:rPr>
      </w:pPr>
    </w:p>
    <w:p>
      <w:pPr>
        <w:pStyle w:val="4"/>
        <w:numPr>
          <w:ilvl w:val="1"/>
          <w:numId w:val="7"/>
        </w:numPr>
        <w:spacing w:line="480" w:lineRule="exact"/>
        <w:rPr>
          <w:rFonts w:ascii="仿宋" w:hAnsi="仿宋" w:eastAsia="仿宋" w:cs="仿宋"/>
          <w:szCs w:val="28"/>
        </w:rPr>
      </w:pPr>
      <w:r>
        <w:rPr>
          <w:rFonts w:hint="eastAsia" w:ascii="仿宋" w:hAnsi="仿宋" w:eastAsia="仿宋" w:cs="仿宋"/>
          <w:szCs w:val="28"/>
        </w:rPr>
        <w:t>村庄建设引导</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规划根据望城区村庄分类和布局成果确定村庄类型，按照村庄发展类型及村庄发展状况，明确村庄类型、人口规模、发展方向、基础设施和公共服务设施项目配置要求。</w:t>
      </w:r>
    </w:p>
    <w:p>
      <w:pPr>
        <w:pStyle w:val="3"/>
        <w:spacing w:line="480" w:lineRule="exact"/>
        <w:rPr>
          <w:rFonts w:ascii="黑体" w:hAnsi="黑体" w:eastAsia="黑体" w:cs="黑体"/>
        </w:rPr>
      </w:pPr>
      <w:r>
        <w:rPr>
          <w:rFonts w:hint="eastAsia" w:ascii="黑体" w:hAnsi="黑体" w:eastAsia="黑体" w:cs="黑体"/>
        </w:rPr>
        <w:t>开发边界内规划</w:t>
      </w:r>
    </w:p>
    <w:p>
      <w:pPr>
        <w:pStyle w:val="4"/>
        <w:numPr>
          <w:ilvl w:val="1"/>
          <w:numId w:val="8"/>
        </w:numPr>
        <w:spacing w:line="480" w:lineRule="exact"/>
        <w:rPr>
          <w:rFonts w:ascii="仿宋" w:hAnsi="仿宋" w:eastAsia="仿宋" w:cs="仿宋"/>
          <w:szCs w:val="28"/>
        </w:rPr>
      </w:pPr>
      <w:r>
        <w:rPr>
          <w:rFonts w:hint="eastAsia" w:ascii="仿宋" w:hAnsi="仿宋" w:eastAsia="仿宋" w:cs="仿宋"/>
          <w:szCs w:val="28"/>
        </w:rPr>
        <w:t>规划范围与规模</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根据省厅下发数据，茶亭镇城镇开发边界主要集中于望城高新区、梅花岭社区和静慎村，城镇开发边界总面积为256.95公顷。其中：望城高新区集中建设区用地规模为54.51公顷，全部为城镇建设用地；梅花岭镇区集中建设区用地规模134.58公顷，其中城镇建设用地91.22公顷，非城镇建设用地43.36公顷；慎家桥集镇集中建设区用地规模37公顷，全部为城镇建设用地。</w:t>
      </w:r>
    </w:p>
    <w:p>
      <w:pPr>
        <w:pStyle w:val="4"/>
        <w:numPr>
          <w:ilvl w:val="1"/>
          <w:numId w:val="8"/>
        </w:numPr>
        <w:spacing w:line="480" w:lineRule="exact"/>
        <w:rPr>
          <w:rFonts w:ascii="仿宋" w:hAnsi="仿宋" w:eastAsia="仿宋" w:cs="仿宋"/>
          <w:szCs w:val="28"/>
        </w:rPr>
      </w:pPr>
      <w:r>
        <w:rPr>
          <w:rFonts w:hint="eastAsia" w:ascii="仿宋" w:hAnsi="仿宋" w:eastAsia="仿宋" w:cs="仿宋"/>
          <w:szCs w:val="28"/>
        </w:rPr>
        <w:t>用地布局</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梅花岭镇区现状城镇建设用地为50.4公顷，规划城镇建设用地为91.22公顷。新增城镇建设用地主要为居住用地和仓储用地。</w:t>
      </w:r>
    </w:p>
    <w:p>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慎家桥集镇现状城镇建设用地为35.09公顷，规划城镇建设用地为37公顷。新增城镇建设用地主要为绿地与开敞空间用地。</w:t>
      </w:r>
    </w:p>
    <w:p>
      <w:pPr>
        <w:pStyle w:val="2"/>
        <w:ind w:firstLine="0" w:firstLineChars="0"/>
      </w:pPr>
      <w:r>
        <w:rPr>
          <w:rFonts w:hint="eastAsia"/>
        </w:rPr>
        <w:drawing>
          <wp:inline distT="0" distB="0" distL="114300" distR="114300">
            <wp:extent cx="3068320" cy="2171700"/>
            <wp:effectExtent l="0" t="0" r="17780" b="0"/>
            <wp:docPr id="1" name="图片 1" descr="梅花岭规划图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梅花岭规划图5.9"/>
                    <pic:cNvPicPr>
                      <a:picLocks noChangeAspect="1"/>
                    </pic:cNvPicPr>
                  </pic:nvPicPr>
                  <pic:blipFill>
                    <a:blip r:embed="rId6"/>
                    <a:stretch>
                      <a:fillRect/>
                    </a:stretch>
                  </pic:blipFill>
                  <pic:spPr>
                    <a:xfrm>
                      <a:off x="0" y="0"/>
                      <a:ext cx="3068320" cy="2171700"/>
                    </a:xfrm>
                    <a:prstGeom prst="rect">
                      <a:avLst/>
                    </a:prstGeom>
                  </pic:spPr>
                </pic:pic>
              </a:graphicData>
            </a:graphic>
          </wp:inline>
        </w:drawing>
      </w:r>
      <w:r>
        <w:rPr>
          <w:rFonts w:hint="eastAsia"/>
        </w:rPr>
        <w:drawing>
          <wp:inline distT="0" distB="0" distL="114300" distR="114300">
            <wp:extent cx="3074670" cy="2176145"/>
            <wp:effectExtent l="0" t="0" r="11430" b="14605"/>
            <wp:docPr id="11" name="图片 11" descr="18静慎集镇开发边界内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8静慎集镇开发边界内规划图"/>
                    <pic:cNvPicPr>
                      <a:picLocks noChangeAspect="1"/>
                    </pic:cNvPicPr>
                  </pic:nvPicPr>
                  <pic:blipFill>
                    <a:blip r:embed="rId7"/>
                    <a:stretch>
                      <a:fillRect/>
                    </a:stretch>
                  </pic:blipFill>
                  <pic:spPr>
                    <a:xfrm>
                      <a:off x="0" y="0"/>
                      <a:ext cx="3074670" cy="2176145"/>
                    </a:xfrm>
                    <a:prstGeom prst="rect">
                      <a:avLst/>
                    </a:prstGeom>
                  </pic:spPr>
                </pic:pic>
              </a:graphicData>
            </a:graphic>
          </wp:inline>
        </w:drawing>
      </w:r>
    </w:p>
    <w:p>
      <w:pPr>
        <w:widowControl/>
        <w:spacing w:line="480" w:lineRule="exact"/>
        <w:ind w:firstLine="560" w:firstLineChars="200"/>
        <w:jc w:val="left"/>
        <w:rPr>
          <w:rFonts w:ascii="仿宋" w:hAnsi="仿宋" w:eastAsia="仿宋" w:cs="仿宋"/>
        </w:rPr>
      </w:pPr>
      <w:r>
        <w:rPr>
          <w:rFonts w:hint="eastAsia" w:ascii="仿宋" w:hAnsi="仿宋" w:eastAsia="仿宋" w:cs="仿宋"/>
          <w:sz w:val="28"/>
          <w:szCs w:val="28"/>
        </w:rPr>
        <w:t>梅花岭镇区用地规划图                    慎家桥集镇用地规划图</w:t>
      </w:r>
    </w:p>
    <w:p>
      <w:pPr>
        <w:pStyle w:val="4"/>
        <w:numPr>
          <w:ilvl w:val="0"/>
          <w:numId w:val="0"/>
        </w:numPr>
        <w:spacing w:line="480" w:lineRule="exact"/>
        <w:ind w:left="987" w:hanging="567"/>
        <w:rPr>
          <w:rFonts w:ascii="仿宋" w:hAnsi="仿宋" w:eastAsia="仿宋" w:cs="仿宋"/>
        </w:rPr>
      </w:pPr>
      <w:r>
        <w:rPr>
          <w:rFonts w:hint="eastAsia" w:ascii="仿宋" w:hAnsi="仿宋" w:eastAsia="仿宋" w:cs="仿宋"/>
        </w:rPr>
        <w:t>图纸数量：共2张</w:t>
      </w:r>
    </w:p>
    <w:p>
      <w:pPr>
        <w:pStyle w:val="4"/>
        <w:numPr>
          <w:ilvl w:val="0"/>
          <w:numId w:val="0"/>
        </w:numPr>
        <w:spacing w:line="480" w:lineRule="exact"/>
        <w:ind w:left="987" w:hanging="567"/>
        <w:rPr>
          <w:rFonts w:ascii="仿宋" w:hAnsi="仿宋" w:eastAsia="仿宋" w:cs="仿宋"/>
        </w:rPr>
      </w:pPr>
      <w:r>
        <w:rPr>
          <w:rFonts w:hint="eastAsia" w:ascii="仿宋" w:hAnsi="仿宋" w:eastAsia="仿宋" w:cs="仿宋"/>
        </w:rPr>
        <w:t>附图名称：</w:t>
      </w:r>
    </w:p>
    <w:p>
      <w:pPr>
        <w:pStyle w:val="4"/>
        <w:numPr>
          <w:ilvl w:val="0"/>
          <w:numId w:val="0"/>
        </w:numPr>
        <w:spacing w:line="480" w:lineRule="exact"/>
        <w:ind w:left="987" w:hanging="567"/>
        <w:rPr>
          <w:rFonts w:ascii="仿宋" w:hAnsi="仿宋" w:eastAsia="仿宋" w:cs="仿宋"/>
        </w:rPr>
      </w:pPr>
      <w:r>
        <w:rPr>
          <w:rFonts w:hint="eastAsia" w:ascii="仿宋" w:hAnsi="仿宋" w:eastAsia="仿宋" w:cs="仿宋"/>
        </w:rPr>
        <w:t>图1 国土空间规划图</w:t>
      </w:r>
    </w:p>
    <w:p>
      <w:pPr>
        <w:pStyle w:val="4"/>
        <w:numPr>
          <w:ilvl w:val="0"/>
          <w:numId w:val="0"/>
        </w:numPr>
        <w:spacing w:line="480" w:lineRule="exact"/>
        <w:ind w:left="987" w:hanging="567"/>
        <w:rPr>
          <w:rFonts w:ascii="仿宋" w:hAnsi="仿宋" w:eastAsia="仿宋" w:cs="仿宋"/>
        </w:rPr>
      </w:pPr>
      <w:r>
        <w:rPr>
          <w:rFonts w:hint="eastAsia" w:ascii="仿宋" w:hAnsi="仿宋" w:eastAsia="仿宋" w:cs="仿宋"/>
        </w:rPr>
        <w:t>图2 总体格局图</w:t>
      </w:r>
    </w:p>
    <w:p>
      <w:pPr>
        <w:pStyle w:val="4"/>
        <w:numPr>
          <w:ilvl w:val="0"/>
          <w:numId w:val="0"/>
        </w:numPr>
        <w:spacing w:line="480" w:lineRule="exact"/>
        <w:ind w:left="987" w:hanging="567"/>
        <w:rPr>
          <w:rFonts w:ascii="仿宋" w:hAnsi="仿宋" w:eastAsia="仿宋" w:cs="仿宋"/>
        </w:rPr>
      </w:pPr>
      <w:r>
        <w:rPr>
          <w:rFonts w:hint="eastAsia" w:ascii="仿宋" w:hAnsi="仿宋" w:eastAsia="仿宋" w:cs="仿宋"/>
        </w:rPr>
        <w:t>图3 耕地保护图</w:t>
      </w:r>
    </w:p>
    <w:p>
      <w:pPr>
        <w:widowControl/>
        <w:spacing w:line="480" w:lineRule="exact"/>
        <w:ind w:firstLine="480"/>
        <w:jc w:val="left"/>
        <w:rPr>
          <w:rFonts w:ascii="仿宋" w:hAnsi="仿宋" w:eastAsia="仿宋" w:cs="仿宋"/>
          <w:sz w:val="28"/>
          <w:szCs w:val="28"/>
        </w:rPr>
      </w:pPr>
      <w:r>
        <w:rPr>
          <w:rFonts w:hint="eastAsia" w:ascii="仿宋" w:hAnsi="仿宋" w:eastAsia="仿宋" w:cs="仿宋"/>
          <w:sz w:val="28"/>
          <w:szCs w:val="28"/>
        </w:rPr>
        <w:t>本公示期限从2023年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日至2023年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根据《湖南省实施&lt;中华人民共和国城乡规划法&gt;办法》第二十条的规定，利害关系人有权提出意见。如有意见与建议，请在公示期内以署名书面形式告知长沙市自然资源和规划局望城分局或茶亭镇人民政府。申请听证的，应在公示期满5个工作日内以书面形式向批后管理责任单位提出听证申请，逾期未提出的，视为放弃听证权利。</w:t>
      </w:r>
    </w:p>
    <w:p>
      <w:pPr>
        <w:widowControl/>
        <w:spacing w:line="480" w:lineRule="exact"/>
        <w:ind w:firstLine="480"/>
        <w:jc w:val="left"/>
        <w:rPr>
          <w:rFonts w:ascii="仿宋" w:hAnsi="仿宋" w:eastAsia="仿宋" w:cs="仿宋"/>
          <w:sz w:val="28"/>
          <w:szCs w:val="28"/>
        </w:rPr>
      </w:pPr>
      <w:r>
        <w:rPr>
          <w:rFonts w:hint="eastAsia" w:ascii="仿宋" w:hAnsi="仿宋" w:eastAsia="仿宋" w:cs="仿宋"/>
          <w:b/>
          <w:bCs/>
          <w:sz w:val="28"/>
          <w:szCs w:val="28"/>
        </w:rPr>
        <w:t>公示单位：</w:t>
      </w:r>
      <w:r>
        <w:rPr>
          <w:rFonts w:hint="eastAsia" w:ascii="仿宋" w:hAnsi="仿宋" w:eastAsia="仿宋" w:cs="仿宋"/>
          <w:sz w:val="28"/>
          <w:szCs w:val="28"/>
        </w:rPr>
        <w:t>长沙市自然资源和规划局望城分局  茶亭镇人民政府</w:t>
      </w:r>
    </w:p>
    <w:p>
      <w:pPr>
        <w:widowControl/>
        <w:spacing w:line="480" w:lineRule="exact"/>
        <w:ind w:firstLine="480"/>
        <w:jc w:val="left"/>
        <w:rPr>
          <w:rFonts w:ascii="仿宋" w:hAnsi="仿宋" w:eastAsia="仿宋" w:cs="仿宋"/>
          <w:sz w:val="28"/>
          <w:szCs w:val="28"/>
        </w:rPr>
      </w:pPr>
      <w:r>
        <w:rPr>
          <w:rFonts w:hint="eastAsia" w:ascii="仿宋" w:hAnsi="仿宋" w:eastAsia="仿宋" w:cs="仿宋"/>
          <w:b/>
          <w:bCs/>
          <w:sz w:val="28"/>
          <w:szCs w:val="28"/>
        </w:rPr>
        <w:t>公示意见收集途径：</w:t>
      </w:r>
    </w:p>
    <w:p>
      <w:pPr>
        <w:widowControl/>
        <w:spacing w:line="480" w:lineRule="exact"/>
        <w:ind w:firstLine="840" w:firstLineChars="300"/>
        <w:jc w:val="left"/>
        <w:rPr>
          <w:rFonts w:ascii="仿宋" w:hAnsi="仿宋" w:eastAsia="仿宋" w:cs="仿宋"/>
          <w:sz w:val="28"/>
          <w:szCs w:val="28"/>
        </w:rPr>
      </w:pPr>
      <w:r>
        <w:rPr>
          <w:rFonts w:hint="eastAsia" w:ascii="仿宋" w:hAnsi="仿宋" w:eastAsia="仿宋" w:cs="仿宋"/>
          <w:sz w:val="28"/>
          <w:szCs w:val="28"/>
        </w:rPr>
        <w:t xml:space="preserve">长沙市自然资源和规划局望城分局: </w:t>
      </w:r>
    </w:p>
    <w:p>
      <w:pPr>
        <w:widowControl/>
        <w:spacing w:line="480" w:lineRule="exact"/>
        <w:ind w:firstLine="840" w:firstLineChars="300"/>
        <w:jc w:val="left"/>
        <w:rPr>
          <w:rFonts w:ascii="仿宋" w:hAnsi="仿宋" w:eastAsia="仿宋" w:cs="仿宋"/>
          <w:sz w:val="28"/>
          <w:szCs w:val="28"/>
        </w:rPr>
      </w:pPr>
      <w:r>
        <w:rPr>
          <w:rFonts w:hint="eastAsia" w:ascii="仿宋" w:hAnsi="仿宋" w:eastAsia="仿宋" w:cs="仿宋"/>
          <w:sz w:val="28"/>
          <w:szCs w:val="28"/>
          <w:lang w:val="en-US" w:eastAsia="zh-CN"/>
        </w:rPr>
        <w:t>15273335953</w:t>
      </w:r>
      <w:r>
        <w:rPr>
          <w:rFonts w:hint="eastAsia" w:ascii="仿宋" w:hAnsi="仿宋" w:eastAsia="仿宋" w:cs="仿宋"/>
          <w:sz w:val="28"/>
          <w:szCs w:val="28"/>
        </w:rPr>
        <w:t>（</w:t>
      </w:r>
      <w:r>
        <w:rPr>
          <w:rFonts w:hint="eastAsia" w:ascii="仿宋" w:hAnsi="仿宋" w:eastAsia="仿宋" w:cs="仿宋"/>
          <w:sz w:val="28"/>
          <w:szCs w:val="28"/>
          <w:lang w:eastAsia="zh-CN"/>
        </w:rPr>
        <w:t>邹女士</w:t>
      </w:r>
      <w:r>
        <w:rPr>
          <w:rFonts w:hint="eastAsia" w:ascii="仿宋" w:hAnsi="仿宋" w:eastAsia="仿宋" w:cs="仿宋"/>
          <w:sz w:val="28"/>
          <w:szCs w:val="28"/>
        </w:rPr>
        <w:t>），13874839932（杨先生）</w:t>
      </w:r>
    </w:p>
    <w:p>
      <w:pPr>
        <w:widowControl/>
        <w:spacing w:line="480" w:lineRule="exact"/>
        <w:ind w:firstLine="840" w:firstLineChars="300"/>
        <w:jc w:val="left"/>
        <w:rPr>
          <w:rFonts w:ascii="仿宋" w:hAnsi="仿宋" w:eastAsia="仿宋" w:cs="仿宋"/>
          <w:sz w:val="28"/>
          <w:szCs w:val="28"/>
        </w:rPr>
      </w:pPr>
      <w:r>
        <w:rPr>
          <w:rFonts w:hint="eastAsia" w:ascii="仿宋" w:hAnsi="仿宋" w:eastAsia="仿宋" w:cs="仿宋"/>
          <w:sz w:val="28"/>
          <w:szCs w:val="28"/>
        </w:rPr>
        <w:t>茶亭镇人民政府：18711062287（周先生）</w:t>
      </w:r>
    </w:p>
    <w:p>
      <w:pPr>
        <w:widowControl/>
        <w:spacing w:line="480" w:lineRule="exact"/>
        <w:ind w:firstLine="840" w:firstLineChars="300"/>
        <w:jc w:val="left"/>
        <w:rPr>
          <w:rFonts w:ascii="仿宋" w:hAnsi="仿宋" w:eastAsia="仿宋" w:cs="仿宋"/>
          <w:sz w:val="28"/>
          <w:szCs w:val="28"/>
        </w:rPr>
      </w:pPr>
      <w:r>
        <w:rPr>
          <w:rFonts w:hint="eastAsia" w:ascii="仿宋" w:hAnsi="仿宋" w:eastAsia="仿宋" w:cs="仿宋"/>
          <w:sz w:val="28"/>
          <w:szCs w:val="28"/>
        </w:rPr>
        <w:t>邮箱：</w:t>
      </w:r>
      <w:r>
        <w:fldChar w:fldCharType="begin"/>
      </w:r>
      <w:r>
        <w:instrText xml:space="preserve"> HYPERLINK "mailto:957023075@qq.com" </w:instrText>
      </w:r>
      <w:r>
        <w:fldChar w:fldCharType="separate"/>
      </w:r>
      <w:r>
        <w:rPr>
          <w:rStyle w:val="19"/>
          <w:rFonts w:hint="eastAsia" w:ascii="仿宋" w:hAnsi="仿宋" w:eastAsia="仿宋" w:cs="仿宋"/>
          <w:color w:val="auto"/>
          <w:sz w:val="28"/>
          <w:szCs w:val="28"/>
        </w:rPr>
        <w:t>957023075@qq.com</w:t>
      </w:r>
      <w:r>
        <w:rPr>
          <w:rStyle w:val="19"/>
          <w:rFonts w:hint="eastAsia" w:ascii="仿宋" w:hAnsi="仿宋" w:eastAsia="仿宋" w:cs="仿宋"/>
          <w:color w:val="auto"/>
          <w:sz w:val="28"/>
          <w:szCs w:val="28"/>
        </w:rPr>
        <w:fldChar w:fldCharType="end"/>
      </w:r>
    </w:p>
    <w:p>
      <w:pPr>
        <w:spacing w:line="480" w:lineRule="exact"/>
        <w:rPr>
          <w:rFonts w:ascii="仿宋" w:hAnsi="仿宋" w:eastAsia="仿宋" w:cs="仿宋"/>
          <w:sz w:val="28"/>
          <w:szCs w:val="28"/>
        </w:rPr>
      </w:pPr>
    </w:p>
    <w:p>
      <w:pPr>
        <w:spacing w:line="480" w:lineRule="exact"/>
        <w:jc w:val="right"/>
        <w:rPr>
          <w:rFonts w:ascii="仿宋" w:hAnsi="仿宋" w:eastAsia="仿宋" w:cs="仿宋"/>
          <w:sz w:val="28"/>
          <w:szCs w:val="28"/>
        </w:rPr>
      </w:pPr>
      <w:r>
        <w:rPr>
          <w:rFonts w:hint="eastAsia" w:ascii="仿宋" w:hAnsi="仿宋" w:eastAsia="仿宋" w:cs="仿宋"/>
          <w:sz w:val="28"/>
          <w:szCs w:val="28"/>
        </w:rPr>
        <w:t>长沙市自然资源和规划局望城分局</w:t>
      </w:r>
    </w:p>
    <w:p>
      <w:pPr>
        <w:spacing w:line="480" w:lineRule="exact"/>
        <w:jc w:val="right"/>
        <w:rPr>
          <w:rFonts w:ascii="仿宋" w:hAnsi="仿宋" w:eastAsia="仿宋" w:cs="仿宋"/>
          <w:sz w:val="28"/>
          <w:szCs w:val="28"/>
        </w:rPr>
      </w:pPr>
      <w:r>
        <w:rPr>
          <w:rFonts w:hint="eastAsia" w:ascii="仿宋" w:hAnsi="仿宋" w:eastAsia="仿宋" w:cs="仿宋"/>
          <w:sz w:val="28"/>
          <w:szCs w:val="28"/>
        </w:rPr>
        <w:t>2023年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p>
    <w:p>
      <w:pPr>
        <w:spacing w:line="480" w:lineRule="exact"/>
        <w:jc w:val="right"/>
        <w:rPr>
          <w:rFonts w:ascii="仿宋" w:hAnsi="仿宋" w:eastAsia="仿宋" w:cs="仿宋"/>
          <w:sz w:val="28"/>
          <w:szCs w:val="28"/>
        </w:rPr>
      </w:pPr>
    </w:p>
    <w:p>
      <w:pPr>
        <w:widowControl/>
        <w:spacing w:line="480" w:lineRule="exact"/>
        <w:jc w:val="left"/>
        <w:rPr>
          <w:rFonts w:ascii="仿宋" w:hAnsi="仿宋" w:eastAsia="仿宋" w:cs="仿宋"/>
          <w:sz w:val="28"/>
          <w:szCs w:val="28"/>
        </w:rPr>
      </w:pPr>
      <w:r>
        <w:rPr>
          <w:rFonts w:hint="eastAsia" w:ascii="仿宋" w:hAnsi="仿宋" w:eastAsia="仿宋" w:cs="仿宋"/>
          <w:sz w:val="28"/>
          <w:szCs w:val="28"/>
        </w:rPr>
        <w:t>欢迎访问长沙市自然资源和规划局望城分局、茶亭镇人民政府网查看公示项目详细信息</w:t>
      </w:r>
    </w:p>
    <w:p>
      <w:pPr>
        <w:widowControl/>
        <w:spacing w:line="480" w:lineRule="exact"/>
        <w:jc w:val="left"/>
        <w:rPr>
          <w:rFonts w:ascii="仿宋" w:hAnsi="仿宋" w:eastAsia="仿宋" w:cs="仿宋"/>
          <w:sz w:val="28"/>
          <w:szCs w:val="28"/>
        </w:rPr>
      </w:pPr>
      <w:r>
        <w:rPr>
          <w:rFonts w:hint="eastAsia" w:ascii="仿宋" w:hAnsi="仿宋" w:eastAsia="仿宋" w:cs="仿宋"/>
          <w:sz w:val="28"/>
          <w:szCs w:val="28"/>
        </w:rPr>
        <w:t>网址：</w:t>
      </w:r>
    </w:p>
    <w:p>
      <w:pPr>
        <w:widowControl/>
        <w:spacing w:line="480" w:lineRule="exact"/>
        <w:jc w:val="left"/>
        <w:rPr>
          <w:rStyle w:val="19"/>
          <w:color w:val="4472C4" w:themeColor="accent1"/>
          <w14:textFill>
            <w14:solidFill>
              <w14:schemeClr w14:val="accent1"/>
            </w14:solidFill>
          </w14:textFill>
        </w:rPr>
      </w:pPr>
      <w:r>
        <w:fldChar w:fldCharType="begin"/>
      </w:r>
      <w:r>
        <w:instrText xml:space="preserve"> HYPERLINK "http://www.wangcheng.gov.cn/xxgk_343/gdwxxgk/bmxxgk/qzfgzbmhbmgljg/qgtj/csgh/pqgs/" </w:instrText>
      </w:r>
      <w:r>
        <w:fldChar w:fldCharType="separate"/>
      </w:r>
      <w:r>
        <w:rPr>
          <w:rStyle w:val="18"/>
          <w:rFonts w:hint="eastAsia" w:ascii="仿宋" w:hAnsi="仿宋" w:eastAsia="仿宋" w:cs="仿宋"/>
          <w:color w:val="4472C4" w:themeColor="accent1"/>
          <w:sz w:val="28"/>
          <w:szCs w:val="28"/>
          <w14:textFill>
            <w14:solidFill>
              <w14:schemeClr w14:val="accent1"/>
            </w14:solidFill>
          </w14:textFill>
        </w:rPr>
        <w:t>http://www.wangcheng.gov.cn/xxgk_343/gdwxxgk/bmxxgk/qzfgzbmhbmgljg/qgtj/csgh/pqgs/</w:t>
      </w:r>
      <w:r>
        <w:rPr>
          <w:rStyle w:val="19"/>
          <w:rFonts w:hint="eastAsia" w:ascii="仿宋" w:hAnsi="仿宋" w:eastAsia="仿宋" w:cs="仿宋"/>
          <w:color w:val="4472C4" w:themeColor="accent1"/>
          <w:sz w:val="28"/>
          <w:szCs w:val="28"/>
          <w14:textFill>
            <w14:solidFill>
              <w14:schemeClr w14:val="accent1"/>
            </w14:solidFill>
          </w14:textFill>
        </w:rPr>
        <w:fldChar w:fldCharType="end"/>
      </w:r>
    </w:p>
    <w:p>
      <w:pPr>
        <w:widowControl/>
        <w:spacing w:line="480" w:lineRule="exact"/>
        <w:jc w:val="left"/>
        <w:rPr>
          <w:rStyle w:val="19"/>
          <w:color w:val="4472C4" w:themeColor="accent1"/>
          <w14:textFill>
            <w14:solidFill>
              <w14:schemeClr w14:val="accent1"/>
            </w14:solidFill>
          </w14:textFill>
        </w:rPr>
      </w:pPr>
    </w:p>
    <w:p>
      <w:pPr>
        <w:widowControl/>
        <w:spacing w:line="480" w:lineRule="exact"/>
        <w:jc w:val="left"/>
        <w:rPr>
          <w:rFonts w:hint="eastAsia" w:ascii="仿宋" w:hAnsi="仿宋" w:eastAsia="仿宋" w:cs="仿宋"/>
          <w:color w:val="4472C4"/>
          <w:sz w:val="28"/>
          <w:szCs w:val="28"/>
          <w:u w:val="single"/>
        </w:rPr>
      </w:pPr>
      <w:r>
        <w:rPr>
          <w:rFonts w:hint="eastAsia" w:ascii="仿宋" w:hAnsi="仿宋" w:eastAsia="仿宋" w:cs="仿宋"/>
          <w:color w:val="4472C4"/>
          <w:sz w:val="28"/>
          <w:szCs w:val="28"/>
          <w:u w:val="single"/>
        </w:rPr>
        <w:fldChar w:fldCharType="begin"/>
      </w:r>
      <w:r>
        <w:rPr>
          <w:rFonts w:hint="eastAsia" w:ascii="仿宋" w:hAnsi="仿宋" w:eastAsia="仿宋" w:cs="仿宋"/>
          <w:color w:val="4472C4"/>
          <w:sz w:val="28"/>
          <w:szCs w:val="28"/>
          <w:u w:val="single"/>
        </w:rPr>
        <w:instrText xml:space="preserve"> HYPERLINK "http://www.wangcheng.gov.cn/xxgk_343/gdwxxgk/jzxxgk/xz/ctz/bm.html" </w:instrText>
      </w:r>
      <w:r>
        <w:rPr>
          <w:rFonts w:hint="eastAsia" w:ascii="仿宋" w:hAnsi="仿宋" w:eastAsia="仿宋" w:cs="仿宋"/>
          <w:color w:val="4472C4"/>
          <w:sz w:val="28"/>
          <w:szCs w:val="28"/>
          <w:u w:val="single"/>
        </w:rPr>
        <w:fldChar w:fldCharType="separate"/>
      </w:r>
      <w:r>
        <w:rPr>
          <w:rFonts w:hint="eastAsia" w:ascii="仿宋" w:hAnsi="仿宋" w:eastAsia="仿宋" w:cs="仿宋"/>
          <w:color w:val="4472C4"/>
          <w:sz w:val="28"/>
          <w:szCs w:val="28"/>
          <w:u w:val="single"/>
        </w:rPr>
        <w:t>http://www.wangcheng.gov.cn/xxgk_343/gdwxxgk/jzxxgk/xz/ctz/bm.html</w:t>
      </w:r>
      <w:r>
        <w:rPr>
          <w:rFonts w:hint="eastAsia" w:ascii="仿宋" w:hAnsi="仿宋" w:eastAsia="仿宋" w:cs="仿宋"/>
          <w:color w:val="4472C4"/>
          <w:sz w:val="28"/>
          <w:szCs w:val="28"/>
          <w:u w:val="single"/>
        </w:rPr>
        <w:fldChar w:fldCharType="end"/>
      </w:r>
    </w:p>
    <w:p>
      <w:pPr>
        <w:pStyle w:val="2"/>
        <w:ind w:firstLine="640"/>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4</w:t>
                    </w:r>
                    <w:r>
                      <w:fldChar w:fldCharType="end"/>
                    </w: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E7E61A"/>
    <w:multiLevelType w:val="singleLevel"/>
    <w:tmpl w:val="C3E7E61A"/>
    <w:lvl w:ilvl="0" w:tentative="0">
      <w:start w:val="1"/>
      <w:numFmt w:val="chineseCounting"/>
      <w:pStyle w:val="3"/>
      <w:suff w:val="nothing"/>
      <w:lvlText w:val="%1、"/>
      <w:lvlJc w:val="left"/>
      <w:pPr>
        <w:ind w:left="0" w:firstLine="420"/>
      </w:pPr>
      <w:rPr>
        <w:rFonts w:hint="eastAsia"/>
      </w:rPr>
    </w:lvl>
  </w:abstractNum>
  <w:abstractNum w:abstractNumId="1">
    <w:nsid w:val="01CE5D7C"/>
    <w:multiLevelType w:val="multilevel"/>
    <w:tmpl w:val="01CE5D7C"/>
    <w:lvl w:ilvl="0" w:tentative="0">
      <w:start w:val="1"/>
      <w:numFmt w:val="chineseCountingThousand"/>
      <w:lvlText w:val="第%1章"/>
      <w:lvlJc w:val="left"/>
      <w:pPr>
        <w:ind w:left="425" w:hanging="425"/>
      </w:pPr>
      <w:rPr>
        <w:rFonts w:hint="eastAsia"/>
        <w:b/>
        <w:bCs/>
      </w:rPr>
    </w:lvl>
    <w:lvl w:ilvl="1" w:tentative="0">
      <w:start w:val="1"/>
      <w:numFmt w:val="decimal"/>
      <w:pStyle w:val="4"/>
      <w:lvlText w:val="%2、"/>
      <w:lvlJc w:val="left"/>
      <w:pPr>
        <w:tabs>
          <w:tab w:val="left" w:pos="851"/>
        </w:tabs>
        <w:ind w:left="1197" w:hanging="567"/>
      </w:pPr>
      <w:rPr>
        <w:rFonts w:hint="default"/>
        <w:color w:val="auto"/>
      </w:rPr>
    </w:lvl>
    <w:lvl w:ilvl="2" w:tentative="0">
      <w:start w:val="1"/>
      <w:numFmt w:val="decimal"/>
      <w:pStyle w:val="5"/>
      <w:lvlText w:val="（%3）"/>
      <w:lvlJc w:val="left"/>
      <w:pPr>
        <w:ind w:left="1442" w:hanging="738"/>
      </w:pPr>
      <w:rPr>
        <w:rFonts w:hint="eastAsia" w:ascii="宋体" w:hAnsi="宋体" w:eastAsia="宋体"/>
      </w:rPr>
    </w:lvl>
    <w:lvl w:ilvl="3" w:tentative="0">
      <w:start w:val="1"/>
      <w:numFmt w:val="none"/>
      <w:lvlText w:val=""/>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348A78A"/>
    <w:multiLevelType w:val="singleLevel"/>
    <w:tmpl w:val="7348A78A"/>
    <w:lvl w:ilvl="0" w:tentative="0">
      <w:start w:val="1"/>
      <w:numFmt w:val="decimalEnclosedCircleChinese"/>
      <w:pStyle w:val="6"/>
      <w:suff w:val="nothing"/>
      <w:lvlText w:val="%1　"/>
      <w:lvlJc w:val="left"/>
      <w:pPr>
        <w:ind w:left="0" w:firstLine="397"/>
      </w:pPr>
      <w:rPr>
        <w:rFonts w:hint="eastAsia"/>
      </w:rPr>
    </w:lvl>
  </w:abstractNum>
  <w:num w:numId="1">
    <w:abstractNumId w:val="0"/>
  </w:num>
  <w:num w:numId="2">
    <w:abstractNumId w:val="1"/>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0NmYzMjA2N2YwNjYwYTdmNWRhMDVhN2Y2NWE0MTUifQ=="/>
  </w:docVars>
  <w:rsids>
    <w:rsidRoot w:val="00E61C21"/>
    <w:rsid w:val="000057E7"/>
    <w:rsid w:val="00013699"/>
    <w:rsid w:val="0001447F"/>
    <w:rsid w:val="00024533"/>
    <w:rsid w:val="000317CF"/>
    <w:rsid w:val="00033B6D"/>
    <w:rsid w:val="000457E1"/>
    <w:rsid w:val="00046402"/>
    <w:rsid w:val="0005171D"/>
    <w:rsid w:val="00061095"/>
    <w:rsid w:val="00067AE4"/>
    <w:rsid w:val="00067CA1"/>
    <w:rsid w:val="00071F78"/>
    <w:rsid w:val="00072B87"/>
    <w:rsid w:val="00083326"/>
    <w:rsid w:val="0008521F"/>
    <w:rsid w:val="00085E9F"/>
    <w:rsid w:val="000A2D10"/>
    <w:rsid w:val="000A6392"/>
    <w:rsid w:val="000B770D"/>
    <w:rsid w:val="000C0363"/>
    <w:rsid w:val="000C4CD4"/>
    <w:rsid w:val="000C6785"/>
    <w:rsid w:val="000C6FC2"/>
    <w:rsid w:val="000D26F0"/>
    <w:rsid w:val="000E44FC"/>
    <w:rsid w:val="001100A9"/>
    <w:rsid w:val="001178AF"/>
    <w:rsid w:val="00121FF6"/>
    <w:rsid w:val="00124030"/>
    <w:rsid w:val="00127A69"/>
    <w:rsid w:val="00130813"/>
    <w:rsid w:val="00132FF4"/>
    <w:rsid w:val="00137A26"/>
    <w:rsid w:val="001409E2"/>
    <w:rsid w:val="001639A1"/>
    <w:rsid w:val="00167AEB"/>
    <w:rsid w:val="0017450B"/>
    <w:rsid w:val="0018595D"/>
    <w:rsid w:val="0018799A"/>
    <w:rsid w:val="001A0505"/>
    <w:rsid w:val="001A2009"/>
    <w:rsid w:val="001B640F"/>
    <w:rsid w:val="001C481B"/>
    <w:rsid w:val="001D4D66"/>
    <w:rsid w:val="001E2F11"/>
    <w:rsid w:val="001E7851"/>
    <w:rsid w:val="00204620"/>
    <w:rsid w:val="00206372"/>
    <w:rsid w:val="00213ACC"/>
    <w:rsid w:val="00215023"/>
    <w:rsid w:val="00235D50"/>
    <w:rsid w:val="0025274C"/>
    <w:rsid w:val="00253D86"/>
    <w:rsid w:val="00260DA5"/>
    <w:rsid w:val="002612E4"/>
    <w:rsid w:val="002671F6"/>
    <w:rsid w:val="00291A02"/>
    <w:rsid w:val="00294E1D"/>
    <w:rsid w:val="002A1BFE"/>
    <w:rsid w:val="002C01D5"/>
    <w:rsid w:val="002C37B8"/>
    <w:rsid w:val="002C5034"/>
    <w:rsid w:val="002E0BB2"/>
    <w:rsid w:val="002E79F2"/>
    <w:rsid w:val="002F2613"/>
    <w:rsid w:val="00302B48"/>
    <w:rsid w:val="003044DC"/>
    <w:rsid w:val="00305143"/>
    <w:rsid w:val="0031455D"/>
    <w:rsid w:val="003224B5"/>
    <w:rsid w:val="00326BAF"/>
    <w:rsid w:val="00326F48"/>
    <w:rsid w:val="0033111B"/>
    <w:rsid w:val="00336202"/>
    <w:rsid w:val="0033640D"/>
    <w:rsid w:val="003521A8"/>
    <w:rsid w:val="003569AD"/>
    <w:rsid w:val="003613A9"/>
    <w:rsid w:val="00371653"/>
    <w:rsid w:val="0038434B"/>
    <w:rsid w:val="003924E1"/>
    <w:rsid w:val="003B12EC"/>
    <w:rsid w:val="003B22A7"/>
    <w:rsid w:val="003B529D"/>
    <w:rsid w:val="003B640A"/>
    <w:rsid w:val="003C2F94"/>
    <w:rsid w:val="003C6B70"/>
    <w:rsid w:val="003D2BE5"/>
    <w:rsid w:val="003D3C5B"/>
    <w:rsid w:val="003D5A18"/>
    <w:rsid w:val="003E1BE3"/>
    <w:rsid w:val="003E1BFC"/>
    <w:rsid w:val="004104CA"/>
    <w:rsid w:val="004116BF"/>
    <w:rsid w:val="00412188"/>
    <w:rsid w:val="004137A1"/>
    <w:rsid w:val="004146C5"/>
    <w:rsid w:val="004148B6"/>
    <w:rsid w:val="00432229"/>
    <w:rsid w:val="004408DB"/>
    <w:rsid w:val="00440EAB"/>
    <w:rsid w:val="00447DDD"/>
    <w:rsid w:val="00472FEC"/>
    <w:rsid w:val="00475B23"/>
    <w:rsid w:val="004855B7"/>
    <w:rsid w:val="0049562D"/>
    <w:rsid w:val="004A0187"/>
    <w:rsid w:val="004B5389"/>
    <w:rsid w:val="004E24F6"/>
    <w:rsid w:val="004E6FDF"/>
    <w:rsid w:val="004F0F32"/>
    <w:rsid w:val="004F1B4C"/>
    <w:rsid w:val="004F2D8B"/>
    <w:rsid w:val="004F5145"/>
    <w:rsid w:val="004F7747"/>
    <w:rsid w:val="00504A37"/>
    <w:rsid w:val="005076EA"/>
    <w:rsid w:val="00520F44"/>
    <w:rsid w:val="00530D25"/>
    <w:rsid w:val="00531CC7"/>
    <w:rsid w:val="00543AFB"/>
    <w:rsid w:val="00547F36"/>
    <w:rsid w:val="005521D5"/>
    <w:rsid w:val="0055550F"/>
    <w:rsid w:val="00562F3C"/>
    <w:rsid w:val="005656D0"/>
    <w:rsid w:val="00566B1E"/>
    <w:rsid w:val="0057136C"/>
    <w:rsid w:val="00572935"/>
    <w:rsid w:val="0058732E"/>
    <w:rsid w:val="005A4EDE"/>
    <w:rsid w:val="005B0B41"/>
    <w:rsid w:val="005B29CA"/>
    <w:rsid w:val="005B2A34"/>
    <w:rsid w:val="005B3385"/>
    <w:rsid w:val="005B4493"/>
    <w:rsid w:val="005D21B8"/>
    <w:rsid w:val="005D4967"/>
    <w:rsid w:val="005E1092"/>
    <w:rsid w:val="005E20B1"/>
    <w:rsid w:val="005E224D"/>
    <w:rsid w:val="005E4F32"/>
    <w:rsid w:val="005F5AC2"/>
    <w:rsid w:val="006112A9"/>
    <w:rsid w:val="006133EF"/>
    <w:rsid w:val="006231A2"/>
    <w:rsid w:val="00625922"/>
    <w:rsid w:val="006353FE"/>
    <w:rsid w:val="006744F1"/>
    <w:rsid w:val="00674FF1"/>
    <w:rsid w:val="00676621"/>
    <w:rsid w:val="00676D9B"/>
    <w:rsid w:val="0068354F"/>
    <w:rsid w:val="00683D57"/>
    <w:rsid w:val="006842E2"/>
    <w:rsid w:val="00685B83"/>
    <w:rsid w:val="0068702F"/>
    <w:rsid w:val="006922EE"/>
    <w:rsid w:val="00697BA9"/>
    <w:rsid w:val="006A1BE3"/>
    <w:rsid w:val="006A6E34"/>
    <w:rsid w:val="006B01BA"/>
    <w:rsid w:val="006D3942"/>
    <w:rsid w:val="006F1698"/>
    <w:rsid w:val="00702120"/>
    <w:rsid w:val="0071033A"/>
    <w:rsid w:val="00711200"/>
    <w:rsid w:val="0072761F"/>
    <w:rsid w:val="0074085D"/>
    <w:rsid w:val="007453BA"/>
    <w:rsid w:val="00750151"/>
    <w:rsid w:val="00751685"/>
    <w:rsid w:val="00762B10"/>
    <w:rsid w:val="00764109"/>
    <w:rsid w:val="00784CFA"/>
    <w:rsid w:val="00785A44"/>
    <w:rsid w:val="00793FA4"/>
    <w:rsid w:val="007A5B02"/>
    <w:rsid w:val="007B3E91"/>
    <w:rsid w:val="007E5C5B"/>
    <w:rsid w:val="007F4976"/>
    <w:rsid w:val="007F50D4"/>
    <w:rsid w:val="00811C7D"/>
    <w:rsid w:val="00813E23"/>
    <w:rsid w:val="0081751B"/>
    <w:rsid w:val="00830281"/>
    <w:rsid w:val="00845D8A"/>
    <w:rsid w:val="00846331"/>
    <w:rsid w:val="008502D9"/>
    <w:rsid w:val="0085046F"/>
    <w:rsid w:val="00851FDB"/>
    <w:rsid w:val="00860479"/>
    <w:rsid w:val="00862947"/>
    <w:rsid w:val="00862E33"/>
    <w:rsid w:val="0086692C"/>
    <w:rsid w:val="00870A77"/>
    <w:rsid w:val="008732DA"/>
    <w:rsid w:val="00875D5F"/>
    <w:rsid w:val="008947D7"/>
    <w:rsid w:val="00897494"/>
    <w:rsid w:val="008C2A1E"/>
    <w:rsid w:val="008C33BC"/>
    <w:rsid w:val="008D34CD"/>
    <w:rsid w:val="008D6673"/>
    <w:rsid w:val="008E070F"/>
    <w:rsid w:val="008E3185"/>
    <w:rsid w:val="008F38F8"/>
    <w:rsid w:val="00902782"/>
    <w:rsid w:val="00934E9C"/>
    <w:rsid w:val="00954F26"/>
    <w:rsid w:val="0096661A"/>
    <w:rsid w:val="00967EC4"/>
    <w:rsid w:val="009709CA"/>
    <w:rsid w:val="00986F39"/>
    <w:rsid w:val="009903E6"/>
    <w:rsid w:val="0099225E"/>
    <w:rsid w:val="009A6D09"/>
    <w:rsid w:val="009A7E35"/>
    <w:rsid w:val="009B4163"/>
    <w:rsid w:val="009B577B"/>
    <w:rsid w:val="009D009F"/>
    <w:rsid w:val="009D6906"/>
    <w:rsid w:val="009F3D24"/>
    <w:rsid w:val="009F3F6A"/>
    <w:rsid w:val="009F4AE5"/>
    <w:rsid w:val="009F5DF9"/>
    <w:rsid w:val="00A113BB"/>
    <w:rsid w:val="00A1239E"/>
    <w:rsid w:val="00A16D2A"/>
    <w:rsid w:val="00A20145"/>
    <w:rsid w:val="00A20390"/>
    <w:rsid w:val="00A21C56"/>
    <w:rsid w:val="00A22F76"/>
    <w:rsid w:val="00A268ED"/>
    <w:rsid w:val="00A50B29"/>
    <w:rsid w:val="00A551AD"/>
    <w:rsid w:val="00A677CD"/>
    <w:rsid w:val="00A86244"/>
    <w:rsid w:val="00A91FA3"/>
    <w:rsid w:val="00A92722"/>
    <w:rsid w:val="00A95693"/>
    <w:rsid w:val="00AB776A"/>
    <w:rsid w:val="00AC2D31"/>
    <w:rsid w:val="00AC6BCB"/>
    <w:rsid w:val="00AC6D42"/>
    <w:rsid w:val="00AD02C7"/>
    <w:rsid w:val="00AD4A1F"/>
    <w:rsid w:val="00B058F7"/>
    <w:rsid w:val="00B2127D"/>
    <w:rsid w:val="00B2209A"/>
    <w:rsid w:val="00B25E0D"/>
    <w:rsid w:val="00B270CF"/>
    <w:rsid w:val="00B3708A"/>
    <w:rsid w:val="00B43F36"/>
    <w:rsid w:val="00B504B4"/>
    <w:rsid w:val="00B53E82"/>
    <w:rsid w:val="00B553BE"/>
    <w:rsid w:val="00B55FAB"/>
    <w:rsid w:val="00B62020"/>
    <w:rsid w:val="00B6547E"/>
    <w:rsid w:val="00B71D82"/>
    <w:rsid w:val="00B7205E"/>
    <w:rsid w:val="00B74F10"/>
    <w:rsid w:val="00B87EBE"/>
    <w:rsid w:val="00B91901"/>
    <w:rsid w:val="00BA39A7"/>
    <w:rsid w:val="00BA79CA"/>
    <w:rsid w:val="00BB12A5"/>
    <w:rsid w:val="00BB7460"/>
    <w:rsid w:val="00BD343A"/>
    <w:rsid w:val="00C00BC5"/>
    <w:rsid w:val="00C0154F"/>
    <w:rsid w:val="00C12AB7"/>
    <w:rsid w:val="00C1685A"/>
    <w:rsid w:val="00C4386A"/>
    <w:rsid w:val="00C51022"/>
    <w:rsid w:val="00C52E60"/>
    <w:rsid w:val="00C561E6"/>
    <w:rsid w:val="00C60477"/>
    <w:rsid w:val="00C652E5"/>
    <w:rsid w:val="00C65A16"/>
    <w:rsid w:val="00C96FB5"/>
    <w:rsid w:val="00CA23D0"/>
    <w:rsid w:val="00CA5E16"/>
    <w:rsid w:val="00CA643A"/>
    <w:rsid w:val="00CB0034"/>
    <w:rsid w:val="00CB520A"/>
    <w:rsid w:val="00CC115C"/>
    <w:rsid w:val="00CC4F6C"/>
    <w:rsid w:val="00CD76FD"/>
    <w:rsid w:val="00CE7BCC"/>
    <w:rsid w:val="00CF6EDD"/>
    <w:rsid w:val="00CF72E3"/>
    <w:rsid w:val="00CF7354"/>
    <w:rsid w:val="00D10927"/>
    <w:rsid w:val="00D10CC6"/>
    <w:rsid w:val="00D23967"/>
    <w:rsid w:val="00D33287"/>
    <w:rsid w:val="00D355F9"/>
    <w:rsid w:val="00D367C1"/>
    <w:rsid w:val="00D36DC2"/>
    <w:rsid w:val="00D46F95"/>
    <w:rsid w:val="00D5436D"/>
    <w:rsid w:val="00D57B1D"/>
    <w:rsid w:val="00D60E17"/>
    <w:rsid w:val="00D679A7"/>
    <w:rsid w:val="00D805E4"/>
    <w:rsid w:val="00D85BC4"/>
    <w:rsid w:val="00DB6B24"/>
    <w:rsid w:val="00DC099D"/>
    <w:rsid w:val="00DC44F6"/>
    <w:rsid w:val="00DE00BA"/>
    <w:rsid w:val="00DE0705"/>
    <w:rsid w:val="00DE3A9B"/>
    <w:rsid w:val="00E01514"/>
    <w:rsid w:val="00E02B60"/>
    <w:rsid w:val="00E10E9F"/>
    <w:rsid w:val="00E31D6B"/>
    <w:rsid w:val="00E37B0F"/>
    <w:rsid w:val="00E46B2C"/>
    <w:rsid w:val="00E61C21"/>
    <w:rsid w:val="00E63D7A"/>
    <w:rsid w:val="00E70978"/>
    <w:rsid w:val="00E70CFD"/>
    <w:rsid w:val="00E71017"/>
    <w:rsid w:val="00E90EAC"/>
    <w:rsid w:val="00EA513A"/>
    <w:rsid w:val="00EB6787"/>
    <w:rsid w:val="00EC5785"/>
    <w:rsid w:val="00ED4917"/>
    <w:rsid w:val="00EF495F"/>
    <w:rsid w:val="00EF5ECE"/>
    <w:rsid w:val="00F051D3"/>
    <w:rsid w:val="00F12BA1"/>
    <w:rsid w:val="00F45116"/>
    <w:rsid w:val="00F462D9"/>
    <w:rsid w:val="00F47A72"/>
    <w:rsid w:val="00F54579"/>
    <w:rsid w:val="00F56E2A"/>
    <w:rsid w:val="00F61EF2"/>
    <w:rsid w:val="00F631BC"/>
    <w:rsid w:val="00F63771"/>
    <w:rsid w:val="00F767E9"/>
    <w:rsid w:val="00F77649"/>
    <w:rsid w:val="00F83FFB"/>
    <w:rsid w:val="00F91BD9"/>
    <w:rsid w:val="00F95015"/>
    <w:rsid w:val="00FA2096"/>
    <w:rsid w:val="00FA66DE"/>
    <w:rsid w:val="00FD56C8"/>
    <w:rsid w:val="00FD602E"/>
    <w:rsid w:val="00FF1DA5"/>
    <w:rsid w:val="018E3800"/>
    <w:rsid w:val="020D4E0C"/>
    <w:rsid w:val="02E4100B"/>
    <w:rsid w:val="031663D1"/>
    <w:rsid w:val="054C6880"/>
    <w:rsid w:val="05F06A74"/>
    <w:rsid w:val="072F0EA9"/>
    <w:rsid w:val="07BD796A"/>
    <w:rsid w:val="0B495750"/>
    <w:rsid w:val="0B7E024F"/>
    <w:rsid w:val="0CB003EB"/>
    <w:rsid w:val="0D29243C"/>
    <w:rsid w:val="0E9C2EA2"/>
    <w:rsid w:val="0F0B1951"/>
    <w:rsid w:val="0FD04DF1"/>
    <w:rsid w:val="134A0798"/>
    <w:rsid w:val="13DF5603"/>
    <w:rsid w:val="14FF6F60"/>
    <w:rsid w:val="1578304A"/>
    <w:rsid w:val="15A26776"/>
    <w:rsid w:val="163F0AFC"/>
    <w:rsid w:val="17306175"/>
    <w:rsid w:val="18FF22A3"/>
    <w:rsid w:val="194B578A"/>
    <w:rsid w:val="1AED298C"/>
    <w:rsid w:val="1BCD0437"/>
    <w:rsid w:val="1C4E1577"/>
    <w:rsid w:val="1D507571"/>
    <w:rsid w:val="1DF403E7"/>
    <w:rsid w:val="1FD34B3B"/>
    <w:rsid w:val="2111679C"/>
    <w:rsid w:val="21610451"/>
    <w:rsid w:val="21676C37"/>
    <w:rsid w:val="21CA6E09"/>
    <w:rsid w:val="21F45C84"/>
    <w:rsid w:val="2228286B"/>
    <w:rsid w:val="22333DC5"/>
    <w:rsid w:val="233D2E3E"/>
    <w:rsid w:val="24CE114E"/>
    <w:rsid w:val="2686132E"/>
    <w:rsid w:val="275D1973"/>
    <w:rsid w:val="27990518"/>
    <w:rsid w:val="27AA4271"/>
    <w:rsid w:val="28260F8B"/>
    <w:rsid w:val="2A530FD3"/>
    <w:rsid w:val="2BCC1A9E"/>
    <w:rsid w:val="2D416E3C"/>
    <w:rsid w:val="2F95384D"/>
    <w:rsid w:val="30025B5E"/>
    <w:rsid w:val="30662EDC"/>
    <w:rsid w:val="30961246"/>
    <w:rsid w:val="33F84107"/>
    <w:rsid w:val="34986762"/>
    <w:rsid w:val="36FE5DC8"/>
    <w:rsid w:val="388008B3"/>
    <w:rsid w:val="3A377D9B"/>
    <w:rsid w:val="3B55323B"/>
    <w:rsid w:val="3C355759"/>
    <w:rsid w:val="3C9F32D2"/>
    <w:rsid w:val="3D2008B6"/>
    <w:rsid w:val="3D3305EA"/>
    <w:rsid w:val="3EBA1ACD"/>
    <w:rsid w:val="3F4C087D"/>
    <w:rsid w:val="432D6F66"/>
    <w:rsid w:val="45DC10F2"/>
    <w:rsid w:val="46280D06"/>
    <w:rsid w:val="47B960BD"/>
    <w:rsid w:val="47C23AB2"/>
    <w:rsid w:val="47E4274D"/>
    <w:rsid w:val="4AB80380"/>
    <w:rsid w:val="4AEE78FE"/>
    <w:rsid w:val="4B607345"/>
    <w:rsid w:val="4D6A018D"/>
    <w:rsid w:val="4DED20EF"/>
    <w:rsid w:val="4EF456BB"/>
    <w:rsid w:val="4F1930C4"/>
    <w:rsid w:val="4F4D188C"/>
    <w:rsid w:val="50555832"/>
    <w:rsid w:val="5081026F"/>
    <w:rsid w:val="51C8534D"/>
    <w:rsid w:val="52C8312A"/>
    <w:rsid w:val="533B38FC"/>
    <w:rsid w:val="53B81F1E"/>
    <w:rsid w:val="54695ECD"/>
    <w:rsid w:val="54EC24E5"/>
    <w:rsid w:val="555678B3"/>
    <w:rsid w:val="56255EBF"/>
    <w:rsid w:val="588E44CE"/>
    <w:rsid w:val="58BA3146"/>
    <w:rsid w:val="58C918E6"/>
    <w:rsid w:val="59617E35"/>
    <w:rsid w:val="5F9A19AB"/>
    <w:rsid w:val="5FC66F30"/>
    <w:rsid w:val="61564BDF"/>
    <w:rsid w:val="621D089A"/>
    <w:rsid w:val="652F1547"/>
    <w:rsid w:val="66BC66AA"/>
    <w:rsid w:val="683F7593"/>
    <w:rsid w:val="6944560D"/>
    <w:rsid w:val="69A23398"/>
    <w:rsid w:val="69EB4946"/>
    <w:rsid w:val="6A2A2F5E"/>
    <w:rsid w:val="6A4239E4"/>
    <w:rsid w:val="6A5F5235"/>
    <w:rsid w:val="6B60619E"/>
    <w:rsid w:val="6D004404"/>
    <w:rsid w:val="6D340420"/>
    <w:rsid w:val="6DA65785"/>
    <w:rsid w:val="6DB95EB5"/>
    <w:rsid w:val="6EC30706"/>
    <w:rsid w:val="6F6A729D"/>
    <w:rsid w:val="702C664F"/>
    <w:rsid w:val="705C59DC"/>
    <w:rsid w:val="70FD70AB"/>
    <w:rsid w:val="73020984"/>
    <w:rsid w:val="7318735E"/>
    <w:rsid w:val="737F67D4"/>
    <w:rsid w:val="73972B06"/>
    <w:rsid w:val="73B96042"/>
    <w:rsid w:val="73CA68AB"/>
    <w:rsid w:val="74B44E65"/>
    <w:rsid w:val="74BE7B16"/>
    <w:rsid w:val="76C84476"/>
    <w:rsid w:val="77D86FD0"/>
    <w:rsid w:val="782354D1"/>
    <w:rsid w:val="79AB26FF"/>
    <w:rsid w:val="79C124FE"/>
    <w:rsid w:val="7ACB471E"/>
    <w:rsid w:val="7B4F7695"/>
    <w:rsid w:val="7D7632AD"/>
    <w:rsid w:val="7FA55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qFormat/>
    <w:uiPriority w:val="0"/>
    <w:pPr>
      <w:keepNext/>
      <w:keepLines/>
      <w:numPr>
        <w:ilvl w:val="0"/>
        <w:numId w:val="1"/>
      </w:numPr>
      <w:spacing w:before="100" w:after="100" w:line="360" w:lineRule="auto"/>
      <w:jc w:val="left"/>
      <w:outlineLvl w:val="0"/>
    </w:pPr>
    <w:rPr>
      <w:rFonts w:ascii="Times New Roman" w:hAnsi="Times New Roman" w:eastAsia="宋体"/>
      <w:b/>
      <w:bCs/>
      <w:kern w:val="44"/>
      <w:sz w:val="32"/>
      <w:szCs w:val="44"/>
    </w:rPr>
  </w:style>
  <w:style w:type="paragraph" w:styleId="4">
    <w:name w:val="heading 2"/>
    <w:basedOn w:val="1"/>
    <w:next w:val="1"/>
    <w:link w:val="22"/>
    <w:unhideWhenUsed/>
    <w:qFormat/>
    <w:uiPriority w:val="9"/>
    <w:pPr>
      <w:keepNext/>
      <w:keepLines/>
      <w:numPr>
        <w:ilvl w:val="1"/>
        <w:numId w:val="2"/>
      </w:numPr>
      <w:spacing w:before="60" w:after="60" w:line="360" w:lineRule="auto"/>
      <w:outlineLvl w:val="1"/>
    </w:pPr>
    <w:rPr>
      <w:rFonts w:ascii="Times New Roman" w:hAnsi="Times New Roman" w:eastAsia="宋体" w:cstheme="majorBidi"/>
      <w:b/>
      <w:bCs/>
      <w:sz w:val="28"/>
      <w:szCs w:val="32"/>
    </w:rPr>
  </w:style>
  <w:style w:type="paragraph" w:styleId="5">
    <w:name w:val="heading 3"/>
    <w:basedOn w:val="1"/>
    <w:next w:val="1"/>
    <w:link w:val="23"/>
    <w:unhideWhenUsed/>
    <w:qFormat/>
    <w:uiPriority w:val="9"/>
    <w:pPr>
      <w:keepNext/>
      <w:keepLines/>
      <w:numPr>
        <w:ilvl w:val="2"/>
        <w:numId w:val="2"/>
      </w:numPr>
      <w:spacing w:before="60" w:after="60" w:line="360" w:lineRule="auto"/>
      <w:outlineLvl w:val="2"/>
    </w:pPr>
    <w:rPr>
      <w:rFonts w:eastAsia="宋体"/>
      <w:b/>
      <w:bCs/>
      <w:sz w:val="24"/>
      <w:szCs w:val="32"/>
    </w:rPr>
  </w:style>
  <w:style w:type="paragraph" w:styleId="6">
    <w:name w:val="heading 4"/>
    <w:basedOn w:val="1"/>
    <w:next w:val="1"/>
    <w:link w:val="24"/>
    <w:unhideWhenUsed/>
    <w:qFormat/>
    <w:uiPriority w:val="9"/>
    <w:pPr>
      <w:keepNext/>
      <w:keepLines/>
      <w:numPr>
        <w:ilvl w:val="0"/>
        <w:numId w:val="3"/>
      </w:numPr>
      <w:spacing w:line="377" w:lineRule="auto"/>
      <w:ind w:left="525" w:leftChars="250"/>
      <w:outlineLvl w:val="3"/>
    </w:pPr>
    <w:rPr>
      <w:rFonts w:eastAsia="宋体" w:asciiTheme="majorHAnsi" w:hAnsiTheme="majorHAnsi" w:cstheme="majorBidi"/>
      <w:b/>
      <w:bCs/>
      <w:sz w:val="24"/>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spacing w:line="360" w:lineRule="auto"/>
      <w:ind w:firstLine="420" w:firstLineChars="200"/>
    </w:pPr>
    <w:rPr>
      <w:rFonts w:ascii="Calibri" w:hAnsi="Calibri" w:eastAsia="仿宋"/>
      <w:sz w:val="32"/>
      <w:szCs w:val="32"/>
    </w:rPr>
  </w:style>
  <w:style w:type="paragraph" w:styleId="7">
    <w:name w:val="toa heading"/>
    <w:basedOn w:val="1"/>
    <w:next w:val="1"/>
    <w:semiHidden/>
    <w:unhideWhenUsed/>
    <w:qFormat/>
    <w:uiPriority w:val="99"/>
    <w:pPr>
      <w:spacing w:before="120" w:after="100" w:afterAutospacing="1" w:line="360" w:lineRule="auto"/>
      <w:ind w:firstLine="200" w:firstLineChars="200"/>
    </w:pPr>
    <w:rPr>
      <w:rFonts w:ascii="Arial" w:hAnsi="Arial" w:eastAsia="宋体" w:cs="Arial"/>
      <w:sz w:val="24"/>
      <w:szCs w:val="24"/>
    </w:rPr>
  </w:style>
  <w:style w:type="paragraph" w:styleId="8">
    <w:name w:val="annotation text"/>
    <w:basedOn w:val="1"/>
    <w:semiHidden/>
    <w:unhideWhenUsed/>
    <w:qFormat/>
    <w:uiPriority w:val="99"/>
    <w:pPr>
      <w:jc w:val="left"/>
    </w:pPr>
  </w:style>
  <w:style w:type="paragraph" w:styleId="9">
    <w:name w:val="Body Text"/>
    <w:basedOn w:val="1"/>
    <w:link w:val="25"/>
    <w:qFormat/>
    <w:uiPriority w:val="1"/>
    <w:pPr>
      <w:autoSpaceDE w:val="0"/>
      <w:autoSpaceDN w:val="0"/>
      <w:adjustRightInd w:val="0"/>
      <w:spacing w:before="36"/>
      <w:ind w:left="120" w:firstLine="477"/>
      <w:jc w:val="left"/>
    </w:pPr>
    <w:rPr>
      <w:rFonts w:ascii="宋体" w:hAnsi="Times New Roman" w:eastAsia="宋体" w:cs="宋体"/>
      <w:kern w:val="0"/>
      <w:sz w:val="24"/>
      <w:szCs w:val="24"/>
    </w:rPr>
  </w:style>
  <w:style w:type="paragraph" w:styleId="10">
    <w:name w:val="Date"/>
    <w:basedOn w:val="1"/>
    <w:next w:val="1"/>
    <w:link w:val="26"/>
    <w:semiHidden/>
    <w:unhideWhenUsed/>
    <w:qFormat/>
    <w:uiPriority w:val="99"/>
    <w:pPr>
      <w:ind w:left="100" w:leftChars="2500"/>
    </w:pPr>
  </w:style>
  <w:style w:type="paragraph" w:styleId="11">
    <w:name w:val="Balloon Text"/>
    <w:basedOn w:val="1"/>
    <w:link w:val="35"/>
    <w:semiHidden/>
    <w:unhideWhenUsed/>
    <w:qFormat/>
    <w:uiPriority w:val="99"/>
    <w:rPr>
      <w:sz w:val="18"/>
      <w:szCs w:val="18"/>
    </w:rPr>
  </w:style>
  <w:style w:type="paragraph" w:styleId="12">
    <w:name w:val="footer"/>
    <w:basedOn w:val="1"/>
    <w:link w:val="27"/>
    <w:unhideWhenUsed/>
    <w:qFormat/>
    <w:uiPriority w:val="99"/>
    <w:pPr>
      <w:tabs>
        <w:tab w:val="center" w:pos="4153"/>
        <w:tab w:val="right" w:pos="8306"/>
      </w:tabs>
      <w:snapToGrid w:val="0"/>
      <w:jc w:val="left"/>
    </w:pPr>
    <w:rPr>
      <w:sz w:val="18"/>
      <w:szCs w:val="18"/>
    </w:rPr>
  </w:style>
  <w:style w:type="paragraph" w:styleId="13">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FollowedHyperlink"/>
    <w:basedOn w:val="17"/>
    <w:unhideWhenUsed/>
    <w:qFormat/>
    <w:uiPriority w:val="99"/>
    <w:rPr>
      <w:color w:val="954F72" w:themeColor="followedHyperlink"/>
      <w:u w:val="single"/>
      <w14:textFill>
        <w14:solidFill>
          <w14:schemeClr w14:val="folHlink"/>
        </w14:solidFill>
      </w14:textFill>
    </w:rPr>
  </w:style>
  <w:style w:type="character" w:styleId="19">
    <w:name w:val="Hyperlink"/>
    <w:basedOn w:val="17"/>
    <w:unhideWhenUsed/>
    <w:qFormat/>
    <w:uiPriority w:val="99"/>
    <w:rPr>
      <w:color w:val="0000FF"/>
      <w:u w:val="single"/>
    </w:rPr>
  </w:style>
  <w:style w:type="character" w:styleId="20">
    <w:name w:val="annotation reference"/>
    <w:basedOn w:val="17"/>
    <w:semiHidden/>
    <w:unhideWhenUsed/>
    <w:qFormat/>
    <w:uiPriority w:val="99"/>
    <w:rPr>
      <w:sz w:val="21"/>
      <w:szCs w:val="21"/>
    </w:rPr>
  </w:style>
  <w:style w:type="character" w:customStyle="1" w:styleId="21">
    <w:name w:val="标题 1 Char"/>
    <w:basedOn w:val="17"/>
    <w:link w:val="3"/>
    <w:qFormat/>
    <w:uiPriority w:val="0"/>
    <w:rPr>
      <w:rFonts w:ascii="Times New Roman" w:hAnsi="Times New Roman" w:eastAsia="宋体"/>
      <w:b/>
      <w:bCs/>
      <w:kern w:val="44"/>
      <w:sz w:val="32"/>
      <w:szCs w:val="44"/>
    </w:rPr>
  </w:style>
  <w:style w:type="character" w:customStyle="1" w:styleId="22">
    <w:name w:val="标题 2 Char"/>
    <w:basedOn w:val="17"/>
    <w:link w:val="4"/>
    <w:qFormat/>
    <w:uiPriority w:val="9"/>
    <w:rPr>
      <w:rFonts w:ascii="Times New Roman" w:hAnsi="Times New Roman" w:eastAsia="宋体" w:cstheme="majorBidi"/>
      <w:b/>
      <w:bCs/>
      <w:kern w:val="2"/>
      <w:sz w:val="28"/>
      <w:szCs w:val="32"/>
    </w:rPr>
  </w:style>
  <w:style w:type="character" w:customStyle="1" w:styleId="23">
    <w:name w:val="标题 3 Char"/>
    <w:basedOn w:val="17"/>
    <w:link w:val="5"/>
    <w:qFormat/>
    <w:uiPriority w:val="9"/>
    <w:rPr>
      <w:rFonts w:eastAsia="宋体"/>
      <w:b/>
      <w:bCs/>
      <w:kern w:val="2"/>
      <w:sz w:val="24"/>
      <w:szCs w:val="32"/>
    </w:rPr>
  </w:style>
  <w:style w:type="character" w:customStyle="1" w:styleId="24">
    <w:name w:val="标题 4 Char"/>
    <w:basedOn w:val="17"/>
    <w:link w:val="6"/>
    <w:qFormat/>
    <w:uiPriority w:val="9"/>
    <w:rPr>
      <w:rFonts w:eastAsia="宋体" w:asciiTheme="majorHAnsi" w:hAnsiTheme="majorHAnsi" w:cstheme="majorBidi"/>
      <w:b/>
      <w:bCs/>
      <w:kern w:val="2"/>
      <w:sz w:val="24"/>
      <w:szCs w:val="28"/>
    </w:rPr>
  </w:style>
  <w:style w:type="character" w:customStyle="1" w:styleId="25">
    <w:name w:val="正文文本 Char"/>
    <w:basedOn w:val="17"/>
    <w:link w:val="9"/>
    <w:qFormat/>
    <w:uiPriority w:val="99"/>
    <w:rPr>
      <w:rFonts w:ascii="宋体" w:hAnsi="Times New Roman" w:eastAsia="宋体" w:cs="宋体"/>
      <w:sz w:val="24"/>
      <w:szCs w:val="24"/>
    </w:rPr>
  </w:style>
  <w:style w:type="character" w:customStyle="1" w:styleId="26">
    <w:name w:val="日期 Char"/>
    <w:basedOn w:val="17"/>
    <w:link w:val="10"/>
    <w:semiHidden/>
    <w:qFormat/>
    <w:uiPriority w:val="99"/>
    <w:rPr>
      <w:kern w:val="2"/>
      <w:sz w:val="21"/>
      <w:szCs w:val="22"/>
    </w:rPr>
  </w:style>
  <w:style w:type="character" w:customStyle="1" w:styleId="27">
    <w:name w:val="页脚 Char"/>
    <w:basedOn w:val="17"/>
    <w:link w:val="12"/>
    <w:qFormat/>
    <w:uiPriority w:val="99"/>
    <w:rPr>
      <w:sz w:val="18"/>
      <w:szCs w:val="18"/>
    </w:rPr>
  </w:style>
  <w:style w:type="character" w:customStyle="1" w:styleId="28">
    <w:name w:val="页眉 Char"/>
    <w:basedOn w:val="17"/>
    <w:link w:val="13"/>
    <w:qFormat/>
    <w:uiPriority w:val="99"/>
    <w:rPr>
      <w:sz w:val="18"/>
      <w:szCs w:val="18"/>
    </w:rPr>
  </w:style>
  <w:style w:type="paragraph" w:styleId="29">
    <w:name w:val="List Paragraph"/>
    <w:basedOn w:val="1"/>
    <w:link w:val="30"/>
    <w:qFormat/>
    <w:uiPriority w:val="34"/>
    <w:pPr>
      <w:ind w:firstLine="420" w:firstLineChars="200"/>
    </w:pPr>
  </w:style>
  <w:style w:type="character" w:customStyle="1" w:styleId="30">
    <w:name w:val="列出段落 Char"/>
    <w:link w:val="29"/>
    <w:qFormat/>
    <w:uiPriority w:val="34"/>
    <w:rPr>
      <w:kern w:val="2"/>
      <w:sz w:val="21"/>
      <w:szCs w:val="22"/>
    </w:rPr>
  </w:style>
  <w:style w:type="paragraph" w:customStyle="1" w:styleId="31">
    <w:name w:val="样式1"/>
    <w:basedOn w:val="32"/>
    <w:link w:val="33"/>
    <w:qFormat/>
    <w:uiPriority w:val="0"/>
    <w:pPr>
      <w:spacing w:before="163" w:beforeLines="50" w:after="163" w:afterLines="50" w:line="360" w:lineRule="auto"/>
      <w:ind w:left="1625" w:hanging="915"/>
    </w:pPr>
    <w:rPr>
      <w:rFonts w:ascii="仿宋" w:hAnsi="仿宋" w:eastAsia="仿宋"/>
      <w:b/>
      <w:bCs/>
      <w:sz w:val="32"/>
      <w:szCs w:val="24"/>
    </w:rPr>
  </w:style>
  <w:style w:type="paragraph" w:customStyle="1" w:styleId="32">
    <w:name w:val="三级(1)"/>
    <w:basedOn w:val="1"/>
    <w:qFormat/>
    <w:uiPriority w:val="0"/>
    <w:pPr>
      <w:adjustRightInd w:val="0"/>
      <w:snapToGrid w:val="0"/>
      <w:spacing w:line="360" w:lineRule="exact"/>
      <w:ind w:firstLine="200" w:firstLineChars="200"/>
      <w:textAlignment w:val="baseline"/>
    </w:pPr>
    <w:rPr>
      <w:rFonts w:ascii="Times New Roman" w:hAnsi="Times New Roman" w:eastAsia="宋体" w:cs="Times New Roman"/>
      <w:kern w:val="0"/>
      <w:sz w:val="24"/>
      <w:szCs w:val="20"/>
    </w:rPr>
  </w:style>
  <w:style w:type="character" w:customStyle="1" w:styleId="33">
    <w:name w:val="样式1 字符"/>
    <w:link w:val="31"/>
    <w:qFormat/>
    <w:uiPriority w:val="0"/>
    <w:rPr>
      <w:rFonts w:ascii="仿宋" w:hAnsi="仿宋" w:eastAsia="仿宋" w:cs="Times New Roman"/>
      <w:b/>
      <w:bCs/>
      <w:sz w:val="32"/>
      <w:szCs w:val="24"/>
    </w:rPr>
  </w:style>
  <w:style w:type="paragraph" w:customStyle="1" w:styleId="34">
    <w:name w:val="样式2"/>
    <w:basedOn w:val="31"/>
    <w:qFormat/>
    <w:uiPriority w:val="0"/>
    <w:pPr>
      <w:tabs>
        <w:tab w:val="left" w:pos="360"/>
      </w:tabs>
    </w:pPr>
  </w:style>
  <w:style w:type="character" w:customStyle="1" w:styleId="35">
    <w:name w:val="批注框文本 Char"/>
    <w:basedOn w:val="17"/>
    <w:link w:val="11"/>
    <w:semiHidden/>
    <w:qFormat/>
    <w:uiPriority w:val="99"/>
    <w:rPr>
      <w:kern w:val="2"/>
      <w:sz w:val="18"/>
      <w:szCs w:val="18"/>
    </w:rPr>
  </w:style>
  <w:style w:type="table" w:customStyle="1" w:styleId="36">
    <w:name w:val="网格型3"/>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7">
    <w:name w:val="网格型4"/>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8">
    <w:name w:val="网格型5"/>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A04157-0602-4524-8050-0856F96758E8}">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2444</Words>
  <Characters>3183</Characters>
  <Lines>27</Lines>
  <Paragraphs>7</Paragraphs>
  <TotalTime>8</TotalTime>
  <ScaleCrop>false</ScaleCrop>
  <LinksUpToDate>false</LinksUpToDate>
  <CharactersWithSpaces>3274</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2023-04-04T13:29:00Z</dcterms:created>
  <dc:creator>Administrator</dc:creator>
  <cp:lastModifiedBy>张瑞</cp:lastModifiedBy>
  <cp:lastPrinted>2023-06-29T03:42:00Z</cp:lastPrinted>
  <dcterms:modified xsi:type="dcterms:W3CDTF">2023-06-30T06:00:17Z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7D769AC91D40424EBA7205F386A22DFA_13</vt:lpwstr>
  </property>
</Properties>
</file>