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3A6D4F9A">
      <w:pPr>
        <w:pStyle w:val="style1"/>
        <w:keepNext w:val="false"/>
        <w:keepLines w:val="false"/>
        <w:widowControl/>
        <w:suppressLineNumbers w:val="false"/>
        <w:pBdr>
          <w:left w:val="none" w:sz="0" w:space="0" w:color="auto"/>
          <w:right w:val="none" w:sz="0" w:space="0" w:color="auto"/>
          <w:top w:val="none" w:sz="0" w:space="0" w:color="auto"/>
          <w:bottom w:val="none" w:sz="0" w:space="0" w:color="auto"/>
        </w:pBdr>
        <w:shd w:val="clear" w:color="auto" w:fill="ffffff"/>
        <w:spacing w:before="0" w:beforeAutospacing="false" w:after="0" w:afterAutospacing="false" w:lineRule="atLeast" w:line="309"/>
        <w:ind w:left="0" w:right="0" w:firstLine="883" w:firstLineChars="200"/>
        <w:jc w:val="center"/>
        <w:rPr>
          <w:rFonts w:ascii="方正小标宋简体" w:cs="方正小标宋简体" w:eastAsia="方正小标宋简体" w:hAnsi="方正小标宋简体" w:hint="eastAsia"/>
          <w:b/>
          <w:bCs/>
          <w:i w:val="false"/>
          <w:iCs w:val="false"/>
          <w:caps w:val="false"/>
          <w:color w:val="333333"/>
          <w:spacing w:val="0"/>
          <w:sz w:val="44"/>
          <w:szCs w:val="44"/>
          <w:shd w:val="clear" w:color="auto" w:fill="ffffff"/>
        </w:rPr>
      </w:pPr>
      <w:r>
        <w:rPr>
          <w:rFonts w:ascii="方正小标宋简体" w:cs="方正小标宋简体" w:eastAsia="方正小标宋简体" w:hAnsi="方正小标宋简体" w:hint="eastAsia"/>
          <w:b/>
          <w:bCs/>
          <w:i w:val="false"/>
          <w:iCs w:val="false"/>
          <w:caps w:val="false"/>
          <w:color w:val="333333"/>
          <w:spacing w:val="0"/>
          <w:sz w:val="44"/>
          <w:szCs w:val="44"/>
          <w:shd w:val="clear" w:color="auto" w:fill="ffffff"/>
        </w:rPr>
        <w:t>靖港镇202</w:t>
      </w:r>
      <w:r>
        <w:rPr>
          <w:rFonts w:ascii="方正小标宋简体" w:cs="方正小标宋简体" w:eastAsia="方正小标宋简体" w:hAnsi="方正小标宋简体" w:hint="eastAsia"/>
          <w:b/>
          <w:bCs/>
          <w:i w:val="false"/>
          <w:iCs w:val="false"/>
          <w:caps w:val="false"/>
          <w:color w:val="333333"/>
          <w:spacing w:val="0"/>
          <w:sz w:val="44"/>
          <w:szCs w:val="44"/>
          <w:shd w:val="clear" w:color="auto" w:fill="ffffff"/>
          <w:lang w:val="en-US" w:eastAsia="zh-CN"/>
        </w:rPr>
        <w:t>4</w:t>
      </w:r>
      <w:r>
        <w:rPr>
          <w:rFonts w:ascii="方正小标宋简体" w:cs="方正小标宋简体" w:eastAsia="方正小标宋简体" w:hAnsi="方正小标宋简体" w:hint="eastAsia"/>
          <w:b/>
          <w:bCs/>
          <w:i w:val="false"/>
          <w:iCs w:val="false"/>
          <w:caps w:val="false"/>
          <w:color w:val="333333"/>
          <w:spacing w:val="0"/>
          <w:sz w:val="44"/>
          <w:szCs w:val="44"/>
          <w:shd w:val="clear" w:color="auto" w:fill="ffffff"/>
        </w:rPr>
        <w:t>年法治政府建设年度报告</w:t>
      </w:r>
    </w:p>
    <w:p w14:paraId="5053C950">
      <w:pPr>
        <w:pStyle w:val="style0"/>
        <w:rPr>
          <w:rFonts w:hint="eastAsia"/>
        </w:rPr>
      </w:pPr>
    </w:p>
    <w:p w14:paraId="5E43DD6A">
      <w:pPr>
        <w:pStyle w:val="style0"/>
        <w:ind w:firstLine="600" w:firstLineChars="200"/>
        <w:rPr>
          <w:rFonts w:ascii="仿宋_GB2312" w:cs="仿宋_GB2312" w:eastAsia="仿宋_GB2312" w:hAnsi="仿宋_GB2312" w:hint="eastAsia"/>
          <w:i w:val="false"/>
          <w:iCs w:val="false"/>
          <w:caps w:val="false"/>
          <w:color w:val="333333"/>
          <w:spacing w:val="0"/>
          <w:sz w:val="30"/>
          <w:szCs w:val="30"/>
          <w:shd w:val="clear" w:color="auto" w:fill="ffffff"/>
        </w:rPr>
      </w:pPr>
      <w:r>
        <w:rPr>
          <w:rFonts w:ascii="仿宋_GB2312" w:cs="仿宋_GB2312" w:eastAsia="仿宋_GB2312" w:hAnsi="仿宋_GB2312" w:hint="eastAsia"/>
          <w:i w:val="false"/>
          <w:iCs w:val="false"/>
          <w:caps w:val="false"/>
          <w:color w:val="333333"/>
          <w:spacing w:val="0"/>
          <w:sz w:val="30"/>
          <w:szCs w:val="30"/>
          <w:shd w:val="clear" w:color="auto" w:fill="ffffff"/>
        </w:rPr>
        <w:t>2024年，在</w:t>
      </w:r>
      <w:r>
        <w:rPr>
          <w:rFonts w:ascii="仿宋_GB2312" w:cs="仿宋_GB2312" w:eastAsia="仿宋_GB2312" w:hAnsi="仿宋_GB2312" w:hint="eastAsia"/>
          <w:i w:val="false"/>
          <w:iCs w:val="false"/>
          <w:caps w:val="false"/>
          <w:color w:val="333333"/>
          <w:spacing w:val="0"/>
          <w:sz w:val="30"/>
          <w:szCs w:val="30"/>
          <w:shd w:val="clear" w:color="auto" w:fill="ffffff"/>
          <w:lang w:eastAsia="zh-CN"/>
        </w:rPr>
        <w:t>区</w:t>
      </w:r>
      <w:r>
        <w:rPr>
          <w:rFonts w:ascii="仿宋_GB2312" w:cs="仿宋_GB2312" w:eastAsia="仿宋_GB2312" w:hAnsi="仿宋_GB2312" w:hint="eastAsia"/>
          <w:i w:val="false"/>
          <w:iCs w:val="false"/>
          <w:caps w:val="false"/>
          <w:color w:val="333333"/>
          <w:spacing w:val="0"/>
          <w:sz w:val="30"/>
          <w:szCs w:val="30"/>
          <w:shd w:val="clear" w:color="auto" w:fill="ffffff"/>
        </w:rPr>
        <w:t>委、</w:t>
      </w:r>
      <w:r>
        <w:rPr>
          <w:rFonts w:ascii="仿宋_GB2312" w:cs="仿宋_GB2312" w:eastAsia="仿宋_GB2312" w:hAnsi="仿宋_GB2312" w:hint="eastAsia"/>
          <w:i w:val="false"/>
          <w:iCs w:val="false"/>
          <w:caps w:val="false"/>
          <w:color w:val="333333"/>
          <w:spacing w:val="0"/>
          <w:sz w:val="30"/>
          <w:szCs w:val="30"/>
          <w:shd w:val="clear" w:color="auto" w:fill="ffffff"/>
          <w:lang w:eastAsia="zh-CN"/>
        </w:rPr>
        <w:t>区</w:t>
      </w:r>
      <w:r>
        <w:rPr>
          <w:rFonts w:ascii="仿宋_GB2312" w:cs="仿宋_GB2312" w:eastAsia="仿宋_GB2312" w:hAnsi="仿宋_GB2312" w:hint="eastAsia"/>
          <w:i w:val="false"/>
          <w:iCs w:val="false"/>
          <w:caps w:val="false"/>
          <w:color w:val="333333"/>
          <w:spacing w:val="0"/>
          <w:sz w:val="30"/>
          <w:szCs w:val="30"/>
          <w:shd w:val="clear" w:color="auto" w:fill="ffffff"/>
        </w:rPr>
        <w:t>政府的坚强领导下，</w:t>
      </w:r>
      <w:r>
        <w:rPr>
          <w:rFonts w:ascii="仿宋_GB2312" w:cs="仿宋_GB2312" w:eastAsia="仿宋_GB2312" w:hAnsi="仿宋_GB2312" w:hint="eastAsia"/>
          <w:i w:val="false"/>
          <w:iCs w:val="false"/>
          <w:caps w:val="false"/>
          <w:color w:val="333333"/>
          <w:spacing w:val="0"/>
          <w:sz w:val="30"/>
          <w:szCs w:val="30"/>
          <w:shd w:val="clear" w:color="auto" w:fill="ffffff"/>
          <w:lang w:eastAsia="zh-CN"/>
        </w:rPr>
        <w:t>靖港</w:t>
      </w:r>
      <w:r>
        <w:rPr>
          <w:rFonts w:ascii="仿宋_GB2312" w:cs="仿宋_GB2312" w:eastAsia="仿宋_GB2312" w:hAnsi="仿宋_GB2312" w:hint="eastAsia"/>
          <w:i w:val="false"/>
          <w:iCs w:val="false"/>
          <w:caps w:val="false"/>
          <w:color w:val="333333"/>
          <w:spacing w:val="0"/>
          <w:sz w:val="30"/>
          <w:szCs w:val="30"/>
          <w:shd w:val="clear" w:color="auto" w:fill="ffffff"/>
        </w:rPr>
        <w:t>镇坚持以习近平新时代中国特色社会主义思想为指导，深入学习贯彻习近平法治思想，全面贯彻落实党的二十大和二十届三中全会关于法治政府建设的部署决策，聚焦推进法治政府建设、规范行政执法行为、提升法治保障水平等重点任务，切实推动依法治镇取得积极成效。现将有关情况汇报如下：</w:t>
      </w:r>
    </w:p>
    <w:p w14:paraId="3ED20918">
      <w:pPr>
        <w:pStyle w:val="style0"/>
        <w:ind w:firstLine="602" w:firstLineChars="200"/>
        <w:rPr>
          <w:rFonts w:ascii="黑体" w:cs="黑体" w:eastAsia="黑体" w:hAnsi="黑体" w:hint="eastAsia"/>
          <w:b/>
          <w:bCs/>
          <w:i w:val="false"/>
          <w:iCs w:val="false"/>
          <w:caps w:val="false"/>
          <w:color w:val="333333"/>
          <w:spacing w:val="0"/>
          <w:sz w:val="30"/>
          <w:szCs w:val="30"/>
          <w:shd w:val="clear" w:color="auto" w:fill="ffffff"/>
        </w:rPr>
      </w:pPr>
      <w:r>
        <w:rPr>
          <w:rFonts w:ascii="黑体" w:cs="黑体" w:eastAsia="黑体" w:hAnsi="黑体" w:hint="eastAsia"/>
          <w:b/>
          <w:bCs/>
          <w:i w:val="false"/>
          <w:iCs w:val="false"/>
          <w:caps w:val="false"/>
          <w:color w:val="333333"/>
          <w:spacing w:val="0"/>
          <w:sz w:val="30"/>
          <w:szCs w:val="30"/>
          <w:shd w:val="clear" w:color="auto" w:fill="ffffff"/>
        </w:rPr>
        <w:t>一、202</w:t>
      </w:r>
      <w:r>
        <w:rPr>
          <w:rFonts w:ascii="黑体" w:cs="黑体" w:eastAsia="黑体" w:hAnsi="黑体" w:hint="eastAsia"/>
          <w:b/>
          <w:bCs/>
          <w:i w:val="false"/>
          <w:iCs w:val="false"/>
          <w:caps w:val="false"/>
          <w:color w:val="333333"/>
          <w:spacing w:val="0"/>
          <w:sz w:val="30"/>
          <w:szCs w:val="30"/>
          <w:shd w:val="clear" w:color="auto" w:fill="ffffff"/>
          <w:lang w:val="en-US" w:eastAsia="zh-CN"/>
        </w:rPr>
        <w:t>4</w:t>
      </w:r>
      <w:r>
        <w:rPr>
          <w:rFonts w:ascii="黑体" w:cs="黑体" w:eastAsia="黑体" w:hAnsi="黑体" w:hint="eastAsia"/>
          <w:b/>
          <w:bCs/>
          <w:i w:val="false"/>
          <w:iCs w:val="false"/>
          <w:caps w:val="false"/>
          <w:color w:val="333333"/>
          <w:spacing w:val="0"/>
          <w:sz w:val="30"/>
          <w:szCs w:val="30"/>
          <w:shd w:val="clear" w:color="auto" w:fill="ffffff"/>
        </w:rPr>
        <w:t>年度法治政府建设工作情况</w:t>
      </w:r>
    </w:p>
    <w:p w14:paraId="035A2CA1">
      <w:pPr>
        <w:pStyle w:val="style0"/>
        <w:numPr>
          <w:ilvl w:val="0"/>
          <w:numId w:val="1"/>
        </w:numPr>
        <w:ind w:firstLine="600" w:firstLineChars="200"/>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pPr>
      <w:r>
        <w:rPr>
          <w:rFonts w:ascii="黑体" w:cs="黑体" w:eastAsia="黑体" w:hAnsi="黑体" w:hint="eastAsia"/>
          <w:i w:val="false"/>
          <w:iCs w:val="false"/>
          <w:caps w:val="false"/>
          <w:color w:val="333333"/>
          <w:spacing w:val="0"/>
          <w:kern w:val="2"/>
          <w:sz w:val="30"/>
          <w:szCs w:val="30"/>
          <w:shd w:val="clear" w:color="auto" w:fill="ffffff"/>
          <w:lang w:val="en-US" w:bidi="ar-SA" w:eastAsia="zh-CN"/>
        </w:rPr>
        <w:t>强化组织领导，落实法治责任。</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制定靖港镇2024年度法治政府建设工作计划，分领域、分环节、分阶段细化工作任务，以“八五”普法教育为契机，切实加强对法治政府建设工作的组织领导，成立以镇党委书记为组长，镇长为副</w:t>
      </w:r>
      <w:bookmarkStart w:id="0" w:name="_GoBack"/>
      <w:bookmarkEnd w:id="0"/>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组长，镇党委委员、政法委员为常务副组长，其他分管领导为成员的法治政府建设工作领导小组，负责组织、协调、推进法治政府建设工作，确定工作目标、措施，组织召开普法依法治理和综治工作会议，安排部署普法依法治理和综治阶段性工作，研究解决工作中遇到的问题。形成了“主要领导亲自抓、分管领导具体抓、各业务办线分工协作”的全体干部职工共同参与的格局，努力把普法依法治理工作真正落到了实处。</w:t>
      </w:r>
    </w:p>
    <w:p w14:paraId="46CD12DD">
      <w:pPr>
        <w:pStyle w:val="style0"/>
        <w:numPr>
          <w:ilvl w:val="0"/>
          <w:numId w:val="1"/>
        </w:numPr>
        <w:ind w:left="0" w:leftChars="0" w:firstLine="600" w:firstLineChars="200"/>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pPr>
      <w:r>
        <w:rPr>
          <w:rFonts w:ascii="黑体" w:cs="黑体" w:eastAsia="黑体" w:hAnsi="黑体" w:hint="eastAsia"/>
          <w:i w:val="false"/>
          <w:iCs w:val="false"/>
          <w:caps w:val="false"/>
          <w:color w:val="333333"/>
          <w:spacing w:val="0"/>
          <w:kern w:val="2"/>
          <w:sz w:val="30"/>
          <w:szCs w:val="30"/>
          <w:shd w:val="clear" w:color="auto" w:fill="ffffff"/>
          <w:lang w:val="en-US" w:bidi="ar-SA" w:eastAsia="zh-CN"/>
        </w:rPr>
        <w:t>深化宣传教育，增进法治意识。</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深入学习贯彻习近平法治思想，全面引导法治宣传教育，牢固树立法治意识，扎实开展宣传教育工作。</w:t>
      </w:r>
      <w:r>
        <w:rPr>
          <w:rFonts w:ascii="仿宋_GB2312" w:cs="仿宋_GB2312" w:eastAsia="仿宋_GB2312" w:hAnsi="仿宋_GB2312" w:hint="eastAsia"/>
          <w:b/>
          <w:bCs/>
          <w:i w:val="false"/>
          <w:iCs w:val="false"/>
          <w:caps w:val="false"/>
          <w:color w:val="333333"/>
          <w:spacing w:val="0"/>
          <w:kern w:val="2"/>
          <w:sz w:val="30"/>
          <w:szCs w:val="30"/>
          <w:shd w:val="clear" w:color="auto" w:fill="ffffff"/>
          <w:lang w:val="en-US" w:bidi="ar-SA" w:eastAsia="zh-CN"/>
        </w:rPr>
        <w:t>一是认真组织开展法治宣传活动。</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根据靖港镇实际情况，有计划、有步骤地组织开展了一系列学法普法活动，着力提升干部知法、用法水平和尊法、守法观念，为开展依法治理工作打下良好的基础。建立健全了普法、学法制度，机关每年开展一次法律知识考试，定期通过专题培训、理论讲授等形式进行法治宣传活动，利用“3·15”“6·26”“12·4”等重要时间节点围绕社会治安、婚姻家庭、土地管理等与群众生产、生活密切相关的法律知识进行法律法规宣传，今年以来，共集中主题宣传78次，受众7899余人次，张贴海报452余份，线上线下发放普法宣传资料万余份，在全镇掀起学法用法的热潮，有力地提高了干部群众的懂法用法水平。</w:t>
      </w:r>
      <w:r>
        <w:rPr>
          <w:rFonts w:ascii="仿宋_GB2312" w:cs="仿宋_GB2312" w:eastAsia="仿宋_GB2312" w:hAnsi="仿宋_GB2312" w:hint="eastAsia"/>
          <w:b/>
          <w:bCs/>
          <w:i w:val="false"/>
          <w:iCs w:val="false"/>
          <w:caps w:val="false"/>
          <w:color w:val="333333"/>
          <w:spacing w:val="0"/>
          <w:kern w:val="2"/>
          <w:sz w:val="30"/>
          <w:szCs w:val="30"/>
          <w:shd w:val="clear" w:color="auto" w:fill="ffffff"/>
          <w:lang w:val="en-US" w:bidi="ar-SA" w:eastAsia="zh-CN"/>
        </w:rPr>
        <w:t>二是重视自身学习培训。</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将法治思想列入理论学习中心组重要学习内容和培训内容，利用三会一课、“一月一课一片一实践”、学法考试等线上+线下方式，常态化开展集中学习和自主学习活动，推进领导干部学法用法经常化、制度化，提高依法决策能力，推动全体干部职工法治政府建设意识和能力不断提升。今年以来，全体机</w:t>
      </w:r>
      <w:r>
        <w:rPr>
          <w:rFonts w:ascii="仿宋_GB2312" w:cs="仿宋_GB2312" w:eastAsia="仿宋_GB2312" w:hAnsi="仿宋_GB2312" w:hint="eastAsia"/>
          <w:i w:val="false"/>
          <w:iCs w:val="false"/>
          <w:caps w:val="false"/>
          <w:color w:val="333333"/>
          <w:spacing w:val="0"/>
          <w:kern w:val="2"/>
          <w:sz w:val="30"/>
          <w:szCs w:val="30"/>
          <w:highlight w:val="none"/>
          <w:shd w:val="clear" w:color="auto" w:fill="ffffff"/>
          <w:lang w:val="en-US" w:bidi="ar-SA" w:eastAsia="zh-CN"/>
        </w:rPr>
        <w:t>关干部共123人参与</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并通过在线专题学习，组织党委理论中心组学习了习近平法治思想与其他重要讲话及相关法律法规6次。坚持系统内普法与社会普法并重，推动普法工作与法治实践相结合，把法治宣传教育融入到工作的各个环节和全过程，</w:t>
      </w:r>
      <w:r>
        <w:rPr>
          <w:rFonts w:ascii="仿宋_GB2312" w:cs="仿宋_GB2312" w:eastAsia="仿宋_GB2312" w:hAnsi="仿宋_GB2312" w:hint="eastAsia"/>
          <w:i w:val="false"/>
          <w:iCs w:val="false"/>
          <w:caps w:val="false"/>
          <w:color w:val="333333"/>
          <w:spacing w:val="0"/>
          <w:sz w:val="30"/>
          <w:szCs w:val="30"/>
          <w:shd w:val="clear" w:color="auto" w:fill="ffffff"/>
        </w:rPr>
        <w:t>在原有的法治宣传教育月、青少年法治宣传教育周、宪法宣传日等法治宣传活动基础上，</w:t>
      </w:r>
      <w:r>
        <w:rPr>
          <w:rFonts w:ascii="仿宋_GB2312" w:cs="仿宋_GB2312" w:eastAsia="仿宋_GB2312" w:hAnsi="仿宋_GB2312" w:hint="eastAsia"/>
          <w:i w:val="false"/>
          <w:iCs w:val="false"/>
          <w:caps w:val="false"/>
          <w:color w:val="333333"/>
          <w:spacing w:val="0"/>
          <w:sz w:val="30"/>
          <w:szCs w:val="30"/>
          <w:shd w:val="clear" w:color="auto" w:fill="ffffff"/>
          <w:lang w:eastAsia="zh-CN"/>
        </w:rPr>
        <w:t>将</w:t>
      </w:r>
      <w:r>
        <w:rPr>
          <w:rFonts w:ascii="仿宋_GB2312" w:cs="仿宋_GB2312" w:eastAsia="仿宋_GB2312" w:hAnsi="仿宋_GB2312" w:hint="eastAsia"/>
          <w:i w:val="false"/>
          <w:iCs w:val="false"/>
          <w:caps w:val="false"/>
          <w:color w:val="333333"/>
          <w:spacing w:val="0"/>
          <w:sz w:val="30"/>
          <w:szCs w:val="30"/>
          <w:shd w:val="clear" w:color="auto" w:fill="ffffff"/>
        </w:rPr>
        <w:t>平安建设、</w:t>
      </w:r>
      <w:r>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t>安全生产、</w:t>
      </w:r>
      <w:r>
        <w:rPr>
          <w:rFonts w:ascii="仿宋_GB2312" w:cs="仿宋_GB2312" w:eastAsia="仿宋_GB2312" w:hAnsi="仿宋_GB2312" w:hint="eastAsia"/>
          <w:i w:val="false"/>
          <w:iCs w:val="false"/>
          <w:caps w:val="false"/>
          <w:color w:val="333333"/>
          <w:spacing w:val="0"/>
          <w:sz w:val="30"/>
          <w:szCs w:val="30"/>
          <w:shd w:val="clear" w:color="auto" w:fill="ffffff"/>
        </w:rPr>
        <w:t>“</w:t>
      </w:r>
      <w:r>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t>利剑护蕾</w:t>
      </w:r>
      <w:r>
        <w:rPr>
          <w:rFonts w:ascii="仿宋_GB2312" w:cs="仿宋_GB2312" w:eastAsia="仿宋_GB2312" w:hAnsi="仿宋_GB2312" w:hint="eastAsia"/>
          <w:i w:val="false"/>
          <w:iCs w:val="false"/>
          <w:caps w:val="false"/>
          <w:color w:val="333333"/>
          <w:spacing w:val="0"/>
          <w:sz w:val="30"/>
          <w:szCs w:val="30"/>
          <w:shd w:val="clear" w:color="auto" w:fill="ffffff"/>
        </w:rPr>
        <w:t>”</w:t>
      </w:r>
      <w:r>
        <w:rPr>
          <w:rFonts w:ascii="仿宋_GB2312" w:cs="仿宋_GB2312" w:eastAsia="仿宋_GB2312" w:hAnsi="仿宋_GB2312" w:hint="eastAsia"/>
          <w:i w:val="false"/>
          <w:iCs w:val="false"/>
          <w:caps w:val="false"/>
          <w:color w:val="333333"/>
          <w:spacing w:val="0"/>
          <w:sz w:val="30"/>
          <w:szCs w:val="30"/>
          <w:shd w:val="clear" w:color="auto" w:fill="ffffff"/>
          <w:lang w:eastAsia="zh-CN"/>
        </w:rPr>
        <w:t>、防范金融诈骗</w:t>
      </w:r>
      <w:r>
        <w:rPr>
          <w:rFonts w:ascii="仿宋_GB2312" w:cs="仿宋_GB2312" w:eastAsia="仿宋_GB2312" w:hAnsi="仿宋_GB2312" w:hint="eastAsia"/>
          <w:i w:val="false"/>
          <w:iCs w:val="false"/>
          <w:caps w:val="false"/>
          <w:color w:val="333333"/>
          <w:spacing w:val="0"/>
          <w:sz w:val="30"/>
          <w:szCs w:val="30"/>
          <w:shd w:val="clear" w:color="auto" w:fill="ffffff"/>
        </w:rPr>
        <w:t>等</w:t>
      </w:r>
      <w:r>
        <w:rPr>
          <w:rFonts w:ascii="仿宋_GB2312" w:cs="仿宋_GB2312" w:eastAsia="仿宋_GB2312" w:hAnsi="仿宋_GB2312" w:hint="eastAsia"/>
          <w:i w:val="false"/>
          <w:iCs w:val="false"/>
          <w:caps w:val="false"/>
          <w:color w:val="333333"/>
          <w:spacing w:val="0"/>
          <w:sz w:val="30"/>
          <w:szCs w:val="30"/>
          <w:shd w:val="clear" w:color="auto" w:fill="ffffff"/>
          <w:lang w:eastAsia="zh-CN"/>
        </w:rPr>
        <w:t>活动</w:t>
      </w:r>
      <w:r>
        <w:rPr>
          <w:rFonts w:ascii="仿宋_GB2312" w:cs="仿宋_GB2312" w:eastAsia="仿宋_GB2312" w:hAnsi="仿宋_GB2312" w:hint="eastAsia"/>
          <w:i w:val="false"/>
          <w:iCs w:val="false"/>
          <w:caps w:val="false"/>
          <w:color w:val="333333"/>
          <w:spacing w:val="0"/>
          <w:sz w:val="30"/>
          <w:szCs w:val="30"/>
          <w:shd w:val="clear" w:color="auto" w:fill="ffffff"/>
        </w:rPr>
        <w:t>相结合，开展</w:t>
      </w:r>
      <w:r>
        <w:rPr>
          <w:rFonts w:ascii="仿宋_GB2312" w:cs="仿宋_GB2312" w:eastAsia="仿宋_GB2312" w:hAnsi="仿宋_GB2312" w:hint="eastAsia"/>
          <w:i w:val="false"/>
          <w:iCs w:val="false"/>
          <w:caps w:val="false"/>
          <w:color w:val="333333"/>
          <w:spacing w:val="0"/>
          <w:sz w:val="30"/>
          <w:szCs w:val="30"/>
          <w:shd w:val="clear" w:color="auto" w:fill="ffffff"/>
          <w:lang w:eastAsia="zh-CN"/>
        </w:rPr>
        <w:t>多样化、深入化</w:t>
      </w:r>
      <w:r>
        <w:rPr>
          <w:rFonts w:ascii="仿宋_GB2312" w:cs="仿宋_GB2312" w:eastAsia="仿宋_GB2312" w:hAnsi="仿宋_GB2312" w:hint="eastAsia"/>
          <w:i w:val="false"/>
          <w:iCs w:val="false"/>
          <w:caps w:val="false"/>
          <w:color w:val="333333"/>
          <w:spacing w:val="0"/>
          <w:sz w:val="30"/>
          <w:szCs w:val="30"/>
          <w:shd w:val="clear" w:color="auto" w:fill="ffffff"/>
        </w:rPr>
        <w:t>的群众性法治宣传活动，让法治思想深入人心</w:t>
      </w:r>
      <w:r>
        <w:rPr>
          <w:rFonts w:ascii="仿宋_GB2312" w:cs="仿宋_GB2312" w:eastAsia="仿宋_GB2312" w:hAnsi="仿宋_GB2312" w:hint="eastAsia"/>
          <w:i w:val="false"/>
          <w:iCs w:val="false"/>
          <w:caps w:val="false"/>
          <w:color w:val="333333"/>
          <w:spacing w:val="0"/>
          <w:sz w:val="30"/>
          <w:szCs w:val="30"/>
          <w:shd w:val="clear" w:color="auto" w:fill="ffffff"/>
          <w:lang w:eastAsia="zh-CN"/>
        </w:rPr>
        <w:t>，</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增强社会公众法律意识推动全民守法。</w:t>
      </w:r>
    </w:p>
    <w:p w14:paraId="E32B5825">
      <w:pPr>
        <w:pStyle w:val="style0"/>
        <w:numPr>
          <w:ilvl w:val="0"/>
          <w:numId w:val="1"/>
        </w:numPr>
        <w:ind w:left="0" w:leftChars="0" w:firstLine="600" w:firstLineChars="200"/>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pPr>
      <w:r>
        <w:rPr>
          <w:rFonts w:ascii="黑体" w:cs="黑体" w:eastAsia="黑体" w:hAnsi="黑体" w:hint="eastAsia"/>
          <w:i w:val="false"/>
          <w:iCs w:val="false"/>
          <w:caps w:val="false"/>
          <w:color w:val="333333"/>
          <w:spacing w:val="0"/>
          <w:kern w:val="2"/>
          <w:sz w:val="30"/>
          <w:szCs w:val="30"/>
          <w:shd w:val="clear" w:color="auto" w:fill="ffffff"/>
          <w:lang w:val="en-US" w:bidi="ar-SA" w:eastAsia="zh-CN"/>
        </w:rPr>
        <w:t>推进依法行政，筑牢法治保障。</w:t>
      </w:r>
      <w:r>
        <w:rPr>
          <w:rFonts w:ascii="仿宋_GB2312" w:cs="仿宋_GB2312" w:eastAsia="仿宋_GB2312" w:hAnsi="仿宋_GB2312" w:hint="eastAsia"/>
          <w:b/>
          <w:bCs/>
          <w:i w:val="false"/>
          <w:iCs w:val="false"/>
          <w:caps w:val="false"/>
          <w:color w:val="333333"/>
          <w:spacing w:val="0"/>
          <w:kern w:val="2"/>
          <w:sz w:val="30"/>
          <w:szCs w:val="30"/>
          <w:shd w:val="clear" w:color="auto" w:fill="ffffff"/>
          <w:lang w:val="en-US" w:bidi="ar-SA" w:eastAsia="zh-CN"/>
        </w:rPr>
        <w:t>一是严格管理行政执法队伍</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，定期对全镇执法人员信息进行更新整理，及时做好行政执法证件培训、申领、换证、注销等工作，组织全镇符合要求的</w:t>
      </w:r>
      <w:r>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t>9名人员通过应急管理、城市管理等执法资格考试，进一步健全基层执法力量</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w:t>
      </w:r>
      <w:r>
        <w:rPr>
          <w:rFonts w:ascii="仿宋_GB2312" w:cs="仿宋_GB2312" w:eastAsia="仿宋_GB2312" w:hAnsi="仿宋_GB2312" w:hint="eastAsia"/>
          <w:b/>
          <w:bCs/>
          <w:i w:val="false"/>
          <w:iCs w:val="false"/>
          <w:caps w:val="false"/>
          <w:color w:val="333333"/>
          <w:spacing w:val="0"/>
          <w:kern w:val="2"/>
          <w:sz w:val="30"/>
          <w:szCs w:val="30"/>
          <w:shd w:val="clear" w:color="auto" w:fill="ffffff"/>
          <w:lang w:val="en-US" w:bidi="ar-SA" w:eastAsia="zh-CN"/>
        </w:rPr>
        <w:t>二是健全完善行政执法“三项制度”及配套制度，</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聚焦行政执法源头、过程、结果三个关键环节，清理制定安全生产、消防安全、城市管理、环境卫生等领域的行政执法事项清单，将行政执法职权分解到执法办线和执法岗位，规范行政许可、行政处罚、行政检查等执法行为，提升人民群众对行政执法的知晓率和满意度。</w:t>
      </w:r>
      <w:r>
        <w:rPr>
          <w:rFonts w:ascii="仿宋_GB2312" w:cs="仿宋_GB2312" w:eastAsia="仿宋_GB2312" w:hAnsi="仿宋_GB2312" w:hint="eastAsia"/>
          <w:b/>
          <w:bCs/>
          <w:i w:val="false"/>
          <w:iCs w:val="false"/>
          <w:caps w:val="false"/>
          <w:color w:val="333333"/>
          <w:spacing w:val="0"/>
          <w:kern w:val="2"/>
          <w:sz w:val="30"/>
          <w:szCs w:val="30"/>
          <w:shd w:val="clear" w:color="auto" w:fill="ffffff"/>
          <w:lang w:val="en-US" w:bidi="ar-SA" w:eastAsia="zh-CN"/>
        </w:rPr>
        <w:t>三是严格执行行政执法全过程记录制度，</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对执法过程中启动调查取证、审核、送整改清单等全部过程进行详细记录，全面系统归档保存，定期开展案卷自查自评，确保行政执法工作规范化。截至目前，镇综合行政执法大队共处理案</w:t>
      </w:r>
      <w:r>
        <w:rPr>
          <w:rFonts w:ascii="仿宋_GB2312" w:cs="仿宋_GB2312" w:eastAsia="仿宋_GB2312" w:hAnsi="仿宋_GB2312" w:hint="eastAsia"/>
          <w:i w:val="false"/>
          <w:iCs w:val="false"/>
          <w:caps w:val="false"/>
          <w:color w:val="333333"/>
          <w:spacing w:val="0"/>
          <w:kern w:val="2"/>
          <w:sz w:val="30"/>
          <w:szCs w:val="30"/>
          <w:highlight w:val="none"/>
          <w:shd w:val="clear" w:color="auto" w:fill="ffffff"/>
          <w:lang w:val="en-US" w:bidi="ar-SA" w:eastAsia="zh-CN"/>
        </w:rPr>
        <w:t>件57件，应急办共处理案件5件，已全</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部做好归档保存。</w:t>
      </w:r>
      <w:r>
        <w:rPr>
          <w:rFonts w:ascii="仿宋_GB2312" w:cs="仿宋_GB2312" w:eastAsia="仿宋_GB2312" w:hAnsi="仿宋_GB2312" w:hint="eastAsia"/>
          <w:b/>
          <w:bCs/>
          <w:i w:val="false"/>
          <w:iCs w:val="false"/>
          <w:caps w:val="false"/>
          <w:color w:val="333333"/>
          <w:spacing w:val="0"/>
          <w:kern w:val="2"/>
          <w:sz w:val="30"/>
          <w:szCs w:val="30"/>
          <w:shd w:val="clear" w:color="auto" w:fill="ffffff"/>
          <w:lang w:val="en-US" w:bidi="ar-SA" w:eastAsia="zh-CN"/>
        </w:rPr>
        <w:t>四是加强行政规范文件管理工作，</w:t>
      </w:r>
      <w:r>
        <w:rPr>
          <w:rFonts w:ascii="仿宋_GB2312" w:cs="仿宋_GB2312" w:eastAsia="仿宋_GB2312" w:hAnsi="仿宋_GB2312" w:hint="eastAsia"/>
          <w:i w:val="false"/>
          <w:iCs w:val="false"/>
          <w:caps w:val="false"/>
          <w:color w:val="333333"/>
          <w:spacing w:val="0"/>
          <w:kern w:val="2"/>
          <w:sz w:val="30"/>
          <w:szCs w:val="30"/>
          <w:shd w:val="clear" w:color="auto" w:fill="ffffff"/>
          <w:lang w:val="en-US" w:bidi="ar-SA" w:eastAsia="zh-CN"/>
        </w:rPr>
        <w:t>制定规范性文件审批流程，开展行政规范性文件全面清理，严格落实规范性文件备案审查制度，强力确保行政规范文件的有效监督管理。</w:t>
      </w:r>
    </w:p>
    <w:p w14:paraId="1D8DF5B1">
      <w:pPr>
        <w:pStyle w:val="style0"/>
        <w:numPr>
          <w:ilvl w:val="0"/>
          <w:numId w:val="1"/>
        </w:numPr>
        <w:ind w:left="0" w:leftChars="0" w:firstLine="600" w:firstLineChars="200"/>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pPr>
      <w:r>
        <w:rPr>
          <w:rFonts w:ascii="黑体" w:cs="黑体" w:eastAsia="黑体" w:hAnsi="黑体" w:hint="eastAsia"/>
          <w:i w:val="false"/>
          <w:iCs w:val="false"/>
          <w:caps w:val="false"/>
          <w:color w:val="333333"/>
          <w:spacing w:val="0"/>
          <w:kern w:val="2"/>
          <w:sz w:val="30"/>
          <w:szCs w:val="30"/>
          <w:shd w:val="clear" w:color="auto" w:fill="ffffff"/>
          <w:lang w:val="en-US" w:bidi="ar-SA" w:eastAsia="zh-CN"/>
        </w:rPr>
        <w:t>优化政务举措，夯实法治成效。</w:t>
      </w:r>
      <w:r>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t>组织开展乡村“法律明白人”培训活动，帮助基层干部和群众学习法律知识，</w:t>
      </w:r>
      <w:r>
        <w:rPr>
          <w:rFonts w:ascii="仿宋_GB2312" w:cs="仿宋_GB2312" w:eastAsia="仿宋_GB2312" w:hAnsi="仿宋_GB2312" w:hint="eastAsia"/>
          <w:i w:val="false"/>
          <w:iCs w:val="false"/>
          <w:caps w:val="false"/>
          <w:color w:val="333333"/>
          <w:spacing w:val="0"/>
          <w:sz w:val="30"/>
          <w:szCs w:val="30"/>
          <w:shd w:val="clear" w:color="auto" w:fill="ffffff"/>
        </w:rPr>
        <w:t>聘请</w:t>
      </w:r>
      <w:r>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t>镇、村（</w:t>
      </w:r>
      <w:r>
        <w:rPr>
          <w:rFonts w:ascii="仿宋_GB2312" w:cs="仿宋_GB2312" w:eastAsia="仿宋_GB2312" w:hAnsi="仿宋_GB2312" w:hint="eastAsia"/>
          <w:i w:val="false"/>
          <w:iCs w:val="false"/>
          <w:caps w:val="false"/>
          <w:color w:val="333333"/>
          <w:spacing w:val="0"/>
          <w:sz w:val="30"/>
          <w:szCs w:val="30"/>
          <w:shd w:val="clear" w:color="auto" w:fill="ffffff"/>
        </w:rPr>
        <w:t>社</w:t>
      </w:r>
      <w:r>
        <w:rPr>
          <w:rFonts w:ascii="仿宋_GB2312" w:cs="仿宋_GB2312" w:eastAsia="仿宋_GB2312" w:hAnsi="仿宋_GB2312" w:hint="eastAsia"/>
          <w:i w:val="false"/>
          <w:iCs w:val="false"/>
          <w:caps w:val="false"/>
          <w:color w:val="333333"/>
          <w:spacing w:val="0"/>
          <w:sz w:val="30"/>
          <w:szCs w:val="30"/>
          <w:highlight w:val="none"/>
          <w:shd w:val="clear" w:color="auto" w:fill="ffffff"/>
        </w:rPr>
        <w:t>区</w:t>
      </w:r>
      <w:r>
        <w:rPr>
          <w:rFonts w:ascii="仿宋_GB2312" w:cs="仿宋_GB2312" w:eastAsia="仿宋_GB2312" w:hAnsi="仿宋_GB2312" w:hint="eastAsia"/>
          <w:i w:val="false"/>
          <w:iCs w:val="false"/>
          <w:caps w:val="false"/>
          <w:color w:val="333333"/>
          <w:spacing w:val="0"/>
          <w:sz w:val="30"/>
          <w:szCs w:val="30"/>
          <w:highlight w:val="none"/>
          <w:shd w:val="clear" w:color="auto" w:fill="ffffff"/>
          <w:lang w:val="en-US" w:eastAsia="zh-CN"/>
        </w:rPr>
        <w:t>）</w:t>
      </w:r>
      <w:r>
        <w:rPr>
          <w:rFonts w:ascii="仿宋_GB2312" w:cs="仿宋_GB2312" w:eastAsia="仿宋_GB2312" w:hAnsi="仿宋_GB2312" w:hint="eastAsia"/>
          <w:i w:val="false"/>
          <w:iCs w:val="false"/>
          <w:caps w:val="false"/>
          <w:color w:val="333333"/>
          <w:spacing w:val="0"/>
          <w:sz w:val="30"/>
          <w:szCs w:val="30"/>
          <w:highlight w:val="none"/>
          <w:shd w:val="clear" w:color="auto" w:fill="ffffff"/>
          <w:lang w:eastAsia="zh-CN"/>
        </w:rPr>
        <w:t>共计</w:t>
      </w:r>
      <w:r>
        <w:rPr>
          <w:rFonts w:ascii="仿宋_GB2312" w:cs="仿宋_GB2312" w:eastAsia="仿宋_GB2312" w:hAnsi="仿宋_GB2312" w:hint="eastAsia"/>
          <w:i w:val="false"/>
          <w:iCs w:val="false"/>
          <w:caps w:val="false"/>
          <w:color w:val="333333"/>
          <w:spacing w:val="0"/>
          <w:sz w:val="30"/>
          <w:szCs w:val="30"/>
          <w:highlight w:val="none"/>
          <w:shd w:val="clear" w:color="auto" w:fill="ffffff"/>
          <w:lang w:val="en-US" w:eastAsia="zh-CN"/>
        </w:rPr>
        <w:t>7名</w:t>
      </w:r>
      <w:r>
        <w:rPr>
          <w:rFonts w:ascii="仿宋_GB2312" w:cs="仿宋_GB2312" w:eastAsia="仿宋_GB2312" w:hAnsi="仿宋_GB2312" w:hint="eastAsia"/>
          <w:i w:val="false"/>
          <w:iCs w:val="false"/>
          <w:caps w:val="false"/>
          <w:color w:val="333333"/>
          <w:spacing w:val="0"/>
          <w:sz w:val="30"/>
          <w:szCs w:val="30"/>
          <w:highlight w:val="none"/>
          <w:shd w:val="clear" w:color="auto" w:fill="ffffff"/>
        </w:rPr>
        <w:t>法律顾问，</w:t>
      </w:r>
      <w:r>
        <w:rPr>
          <w:rFonts w:ascii="仿宋_GB2312" w:cs="仿宋_GB2312" w:eastAsia="仿宋_GB2312" w:hAnsi="仿宋_GB2312" w:hint="eastAsia"/>
          <w:i w:val="false"/>
          <w:iCs w:val="false"/>
          <w:caps w:val="false"/>
          <w:color w:val="333333"/>
          <w:spacing w:val="0"/>
          <w:sz w:val="30"/>
          <w:szCs w:val="30"/>
          <w:highlight w:val="none"/>
          <w:shd w:val="clear" w:color="auto" w:fill="ffffff"/>
          <w:lang w:val="en-US" w:eastAsia="zh-CN"/>
        </w:rPr>
        <w:t>切实提升基</w:t>
      </w:r>
      <w:r>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t>层重大行政决策研究、重要涉法事务处理、重大执法活动分析研判等方面事务的法理性、科学性。坚持发展新时代“枫桥经验”，深入开展矛盾纠纷排查调处专项行动，建立健全日常排查化解、分析研判、重大矛盾纠纷统筹处理机制，全年书面调解成功197次，口头调解成功533次。认真做好12345政务服务热线、上级转办案件以及本级案件的受理、查处，推动压力传导到位、责任落实到位，确保群众各方面“急难愁盼”事事有回音、件件有着落。2024年，全年</w:t>
      </w:r>
      <w:r>
        <w:rPr>
          <w:rFonts w:ascii="仿宋_GB2312" w:cs="仿宋_GB2312" w:eastAsia="仿宋_GB2312" w:hAnsi="仿宋_GB2312" w:hint="eastAsia"/>
          <w:i w:val="false"/>
          <w:iCs w:val="false"/>
          <w:caps w:val="false"/>
          <w:color w:val="333333"/>
          <w:spacing w:val="0"/>
          <w:sz w:val="30"/>
          <w:szCs w:val="30"/>
          <w:highlight w:val="none"/>
          <w:shd w:val="clear" w:color="auto" w:fill="ffffff"/>
          <w:lang w:val="en-US" w:eastAsia="zh-CN"/>
        </w:rPr>
        <w:t>受理热线问题648件，雷锋哨及随手拍833件，需区直部门处置的哨单95件，满意率96.21%，多次在全区月排名第一。健全政</w:t>
      </w:r>
      <w:r>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t>府信息公开制度，按照“公开是常态，不公开是例外”的原则充实政府信息公开内容，畅通政府信息公开渠道，及时准确地向社会公开政府信息，让权利在阳光下运行，依法保障公民的知情权。</w:t>
      </w:r>
    </w:p>
    <w:p w14:paraId="4F140ADC">
      <w:pPr>
        <w:pStyle w:val="style0"/>
        <w:ind w:firstLine="602" w:firstLineChars="200"/>
        <w:rPr>
          <w:rFonts w:ascii="黑体" w:cs="黑体" w:eastAsia="黑体" w:hAnsi="黑体" w:hint="eastAsia"/>
          <w:b/>
          <w:bCs/>
          <w:i w:val="false"/>
          <w:iCs w:val="false"/>
          <w:caps w:val="false"/>
          <w:color w:val="333333"/>
          <w:spacing w:val="0"/>
          <w:sz w:val="30"/>
          <w:szCs w:val="30"/>
          <w:shd w:val="clear" w:color="auto" w:fill="ffffff"/>
          <w:lang w:val="en-US" w:eastAsia="zh-CN"/>
        </w:rPr>
      </w:pPr>
      <w:r>
        <w:rPr>
          <w:rFonts w:ascii="黑体" w:cs="黑体" w:eastAsia="黑体" w:hAnsi="黑体" w:hint="eastAsia"/>
          <w:b/>
          <w:bCs/>
          <w:i w:val="false"/>
          <w:iCs w:val="false"/>
          <w:caps w:val="false"/>
          <w:color w:val="333333"/>
          <w:spacing w:val="0"/>
          <w:sz w:val="30"/>
          <w:szCs w:val="30"/>
          <w:shd w:val="clear" w:color="auto" w:fill="ffffff"/>
          <w:lang w:val="en-US" w:eastAsia="zh-CN"/>
        </w:rPr>
        <w:t>二、存在的不足</w:t>
      </w:r>
    </w:p>
    <w:p w14:paraId="59E1B9C8">
      <w:pPr>
        <w:pStyle w:val="style0"/>
        <w:ind w:firstLine="600" w:firstLineChars="200"/>
        <w:rPr>
          <w:rFonts w:ascii="宋体" w:cs="宋体" w:eastAsia="宋体" w:hAnsi="宋体" w:hint="eastAsia"/>
          <w:i w:val="false"/>
          <w:iCs w:val="false"/>
          <w:caps w:val="false"/>
          <w:color w:val="333333"/>
          <w:spacing w:val="0"/>
          <w:sz w:val="31"/>
          <w:szCs w:val="31"/>
          <w:shd w:val="clear" w:color="auto" w:fill="ffffff"/>
        </w:rPr>
      </w:pPr>
      <w:r>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t>2024年我镇在法治建设工作中取得一定成效，但也仍然存在一些问题和薄弱环节：一是基层法治工作能力和水平有待进一步提升，持证执法人员大多身兼数职，执法力量不足，基层执法队伍建设仍需不断加强，各项基础工作还需进一步夯实。二是法治意识仍然有偏差，少数干部对法治建设、依法治理的意识不到位，村（社区）民主法治建设距离上级要求仍有差距，群众法律素质有待提高。三是基层政务服务领域广泛，涉及法律知识较多，工作人员对法律法规的学习仍需加强</w:t>
      </w:r>
      <w:r>
        <w:rPr>
          <w:rFonts w:ascii="宋体" w:cs="宋体" w:eastAsia="宋体" w:hAnsi="宋体" w:hint="eastAsia"/>
          <w:i w:val="false"/>
          <w:iCs w:val="false"/>
          <w:caps w:val="false"/>
          <w:color w:val="333333"/>
          <w:spacing w:val="0"/>
          <w:sz w:val="31"/>
          <w:szCs w:val="31"/>
          <w:shd w:val="clear" w:color="auto" w:fill="ffffff"/>
        </w:rPr>
        <w:t>。</w:t>
      </w:r>
    </w:p>
    <w:p w14:paraId="5D3A2EB4">
      <w:pPr>
        <w:pStyle w:val="style0"/>
        <w:numPr>
          <w:ilvl w:val="0"/>
          <w:numId w:val="2"/>
        </w:numPr>
        <w:ind w:firstLine="643" w:firstLineChars="200"/>
        <w:rPr>
          <w:rFonts w:ascii="黑体" w:cs="黑体" w:eastAsia="黑体" w:hAnsi="黑体" w:hint="eastAsia"/>
          <w:b/>
          <w:bCs/>
          <w:i w:val="false"/>
          <w:iCs w:val="false"/>
          <w:caps w:val="false"/>
          <w:color w:val="333333"/>
          <w:spacing w:val="0"/>
          <w:sz w:val="32"/>
          <w:szCs w:val="32"/>
          <w:shd w:val="clear" w:color="auto" w:fill="ffffff"/>
          <w:lang w:val="en-US" w:eastAsia="zh-CN"/>
        </w:rPr>
      </w:pPr>
      <w:r>
        <w:rPr>
          <w:rFonts w:ascii="黑体" w:cs="黑体" w:eastAsia="黑体" w:hAnsi="黑体" w:hint="eastAsia"/>
          <w:b/>
          <w:bCs/>
          <w:i w:val="false"/>
          <w:iCs w:val="false"/>
          <w:caps w:val="false"/>
          <w:color w:val="333333"/>
          <w:spacing w:val="0"/>
          <w:sz w:val="32"/>
          <w:szCs w:val="32"/>
          <w:shd w:val="clear" w:color="auto" w:fill="ffffff"/>
          <w:lang w:val="en-US" w:eastAsia="zh-CN"/>
        </w:rPr>
        <w:t>下一步工作安排</w:t>
      </w:r>
    </w:p>
    <w:p w14:paraId="7701F942">
      <w:pPr>
        <w:pStyle w:val="style0"/>
        <w:numPr>
          <w:ilvl w:val="0"/>
          <w:numId w:val="3"/>
        </w:numPr>
        <w:ind w:firstLine="600" w:firstLineChars="200"/>
        <w:rPr>
          <w:rFonts w:ascii="黑体" w:cs="黑体" w:eastAsia="黑体" w:hAnsi="黑体" w:hint="eastAsia"/>
          <w:i w:val="false"/>
          <w:iCs w:val="false"/>
          <w:caps w:val="false"/>
          <w:color w:val="333333"/>
          <w:spacing w:val="0"/>
          <w:sz w:val="30"/>
          <w:szCs w:val="30"/>
          <w:shd w:val="clear" w:color="auto" w:fill="ffffff"/>
          <w:lang w:val="en-US" w:eastAsia="zh-CN"/>
        </w:rPr>
      </w:pPr>
      <w:r>
        <w:rPr>
          <w:rFonts w:ascii="黑体" w:cs="黑体" w:eastAsia="黑体" w:hAnsi="黑体" w:hint="eastAsia"/>
          <w:i w:val="false"/>
          <w:iCs w:val="false"/>
          <w:caps w:val="false"/>
          <w:color w:val="333333"/>
          <w:spacing w:val="0"/>
          <w:sz w:val="30"/>
          <w:szCs w:val="30"/>
          <w:shd w:val="clear" w:color="auto" w:fill="ffffff"/>
          <w:lang w:val="en-US" w:eastAsia="zh-CN"/>
        </w:rPr>
        <w:t>提高政治站位，推动法治政府建设</w:t>
      </w:r>
    </w:p>
    <w:p w14:paraId="0B61B224">
      <w:pPr>
        <w:pStyle w:val="style0"/>
        <w:numPr>
          <w:ilvl w:val="0"/>
          <w:numId w:val="0"/>
        </w:numPr>
        <w:ind w:firstLine="600" w:firstLineChars="200"/>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pPr>
      <w:r>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t>紧紧围绕“职能科学、权责法定、执法严明、公开公正、廉洁高效、守法诚信”法治政府的总体建设目标，深化行政审批制度改革，完善政务服务系统，健全政府法律顾问制度，健全依法决策机制。加强规范性文件监管，加强行政执法监督检查，优化行政执法。完善政府内部监督，强化重点领域监督，强化对行政权力的制约和监督，全面推进政务公开，推进政府的廉洁廉政建设。</w:t>
      </w:r>
    </w:p>
    <w:p w14:paraId="59726B12">
      <w:pPr>
        <w:pStyle w:val="style0"/>
        <w:numPr>
          <w:ilvl w:val="0"/>
          <w:numId w:val="3"/>
        </w:numPr>
        <w:ind w:firstLine="600" w:firstLineChars="200"/>
        <w:rPr>
          <w:rFonts w:ascii="黑体" w:cs="黑体" w:eastAsia="黑体" w:hAnsi="黑体" w:hint="eastAsia"/>
          <w:i w:val="false"/>
          <w:iCs w:val="false"/>
          <w:caps w:val="false"/>
          <w:color w:val="333333"/>
          <w:spacing w:val="0"/>
          <w:sz w:val="30"/>
          <w:szCs w:val="30"/>
          <w:shd w:val="clear" w:color="auto" w:fill="ffffff"/>
          <w:lang w:val="en-US" w:eastAsia="zh-CN"/>
        </w:rPr>
      </w:pPr>
      <w:r>
        <w:rPr>
          <w:rFonts w:ascii="黑体" w:cs="黑体" w:eastAsia="黑体" w:hAnsi="黑体" w:hint="eastAsia"/>
          <w:i w:val="false"/>
          <w:iCs w:val="false"/>
          <w:caps w:val="false"/>
          <w:color w:val="333333"/>
          <w:spacing w:val="0"/>
          <w:sz w:val="30"/>
          <w:szCs w:val="30"/>
          <w:shd w:val="clear" w:color="auto" w:fill="ffffff"/>
          <w:lang w:val="en-US" w:eastAsia="zh-CN"/>
        </w:rPr>
        <w:t>弘扬法治精神，做实做细普法工作</w:t>
      </w:r>
    </w:p>
    <w:p w14:paraId="6B8EFC77">
      <w:pPr>
        <w:pStyle w:val="style0"/>
        <w:numPr>
          <w:ilvl w:val="0"/>
          <w:numId w:val="0"/>
        </w:numPr>
        <w:ind w:firstLine="600" w:firstLineChars="200"/>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pPr>
      <w:r>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t>继续加强法制培训、加强普法教育，全面提高依法行政意识。深入抓好领导干部学法用法，不断提高依法执政能力，切实加强法律培训，努力提高全镇干部职工法律素质和依法办事能力。增强领导干部自身的法治教育和学习，牢固树立法律权威至上、法律大于权力、权力服从法律的观念，在发展经济社会事务、协调处理矛盾纠纷时，善于运用法律手段解决问题。紧紧抓住农村法制宣传教育“死角”，利用灵活多样的宣传形式，持续深入开展好“八五”普法、“送法下乡”、法治讲座等活动,大力宣传法律知识、依法行政，让群众知法、学法，增强利用法律武器保护自己合法权益的意识。</w:t>
      </w:r>
    </w:p>
    <w:p w14:paraId="22AD0030">
      <w:pPr>
        <w:pStyle w:val="style0"/>
        <w:numPr>
          <w:ilvl w:val="0"/>
          <w:numId w:val="3"/>
        </w:numPr>
        <w:ind w:firstLine="600" w:firstLineChars="200"/>
        <w:rPr>
          <w:rFonts w:ascii="黑体" w:cs="黑体" w:eastAsia="黑体" w:hAnsi="黑体" w:hint="eastAsia"/>
          <w:i w:val="false"/>
          <w:iCs w:val="false"/>
          <w:caps w:val="false"/>
          <w:color w:val="333333"/>
          <w:spacing w:val="0"/>
          <w:sz w:val="30"/>
          <w:szCs w:val="30"/>
          <w:shd w:val="clear" w:color="auto" w:fill="ffffff"/>
          <w:lang w:val="en-US" w:eastAsia="zh-CN"/>
        </w:rPr>
      </w:pPr>
      <w:r>
        <w:rPr>
          <w:rFonts w:ascii="黑体" w:cs="黑体" w:eastAsia="黑体" w:hAnsi="黑体" w:hint="eastAsia"/>
          <w:i w:val="false"/>
          <w:iCs w:val="false"/>
          <w:caps w:val="false"/>
          <w:color w:val="333333"/>
          <w:spacing w:val="0"/>
          <w:sz w:val="30"/>
          <w:szCs w:val="30"/>
          <w:shd w:val="clear" w:color="auto" w:fill="ffffff"/>
          <w:lang w:val="en-US" w:eastAsia="zh-CN"/>
        </w:rPr>
        <w:t>坚持人本思维，提高行政服务效率</w:t>
      </w:r>
    </w:p>
    <w:p w14:paraId="189B6006">
      <w:pPr>
        <w:pStyle w:val="style0"/>
        <w:numPr>
          <w:ilvl w:val="0"/>
          <w:numId w:val="0"/>
        </w:numPr>
        <w:ind w:firstLine="600" w:firstLineChars="200"/>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pPr>
      <w:r>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t>围绕“以人民为中心”的执政理念和落实“依法全面履职”的行政要求，进一步厘清社会管理、公共服务等职责权责清单，主动与上级业务部门进行沟通，以改革推动政府职能转变、促进服务效能提升，规范行政权力运行，推进审批服务高效化、便利化，为全镇各项社会事业健康发展提供强有力的行政服务保障。</w:t>
      </w:r>
    </w:p>
    <w:p w14:paraId="0515C487">
      <w:pPr>
        <w:pStyle w:val="style0"/>
        <w:numPr>
          <w:ilvl w:val="0"/>
          <w:numId w:val="0"/>
        </w:numPr>
        <w:ind w:leftChars="200"/>
        <w:rPr>
          <w:rFonts w:ascii="仿宋_GB2312" w:cs="仿宋_GB2312" w:eastAsia="仿宋_GB2312" w:hAnsi="仿宋_GB2312" w:hint="eastAsia"/>
          <w:i w:val="false"/>
          <w:iCs w:val="false"/>
          <w:caps w:val="false"/>
          <w:color w:val="333333"/>
          <w:spacing w:val="0"/>
          <w:sz w:val="30"/>
          <w:szCs w:val="30"/>
          <w:shd w:val="clear" w:color="auto" w:fill="ffffff"/>
          <w:lang w:val="en-US" w:eastAsia="zh-CN"/>
        </w:rPr>
      </w:pP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00"/>
    <w:family w:val="roman"/>
    <w:pitch w:val="variable"/>
    <w:sig w:usb0="20007A87" w:usb1="80000000" w:usb2="00000008" w:usb3="00000000" w:csb0="000001FF" w:csb1="00000000"/>
  </w:font>
  <w:font w:name="宋体">
    <w:altName w:val="宋体"/>
    <w:panose1 w:val="02010600030001010101"/>
    <w:charset w:val="86"/>
    <w:family w:val="auto"/>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200247B" w:usb2="00000009" w:usb3="00000000" w:csb0="200001FF" w:csb1="00000000"/>
  </w:font>
  <w:font w:name="方正小标宋简体">
    <w:altName w:val="方正舒体"/>
    <w:panose1 w:val="02000000000000000000"/>
    <w:charset w:val="86"/>
    <w:family w:val="auto"/>
    <w:pitch w:val="default"/>
    <w:sig w:usb0="00000000" w:usb1="00000000" w:usb2="00000012" w:usb3="00000000" w:csb0="00040001" w:csb1="00000000"/>
  </w:font>
  <w:font w:name="方正舒体">
    <w:altName w:val="方正舒体"/>
    <w:panose1 w:val="02010601030001010101"/>
    <w:charset w:val="86"/>
    <w:family w:val="auto"/>
    <w:pitch w:val="default"/>
    <w:sig w:usb0="00000003" w:usb1="080E0000" w:usb2="00000000" w:usb3="00000000" w:csb0="00040000" w:csb1="00000000"/>
  </w:font>
  <w:font w:name="仿宋_GB2312">
    <w:altName w:val="仿宋"/>
    <w:panose1 w:val="02010609030001010101"/>
    <w:charset w:val="86"/>
    <w:family w:val="auto"/>
    <w:pitch w:val="default"/>
    <w:sig w:usb0="00000000" w:usb1="00000000" w:usb2="00000000" w:usb3="00000000" w:csb0="00040000" w:csb1="00000000"/>
  </w:font>
  <w:font w:name="仿宋">
    <w:altName w:val="仿宋"/>
    <w:panose1 w:val="020106090600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4177B2EF"/>
    <w:lvl w:ilvl="0">
      <w:start w:val="3"/>
      <w:numFmt w:val="chineseCounting"/>
      <w:suff w:val="nothing"/>
      <w:lvlText w:val="%1、"/>
      <w:lvlJc w:val="left"/>
      <w:pPr/>
      <w:rPr>
        <w:rFonts w:hint="eastAsia"/>
      </w:rPr>
    </w:lvl>
  </w:abstractNum>
  <w:abstractNum w:abstractNumId="1">
    <w:nsid w:val="00000001"/>
    <w:multiLevelType w:val="singleLevel"/>
    <w:tmpl w:val="621D7F13"/>
    <w:lvl w:ilvl="0">
      <w:start w:val="1"/>
      <w:numFmt w:val="chineseCounting"/>
      <w:suff w:val="nothing"/>
      <w:lvlText w:val="（%1）"/>
      <w:lvlJc w:val="left"/>
      <w:pPr/>
      <w:rPr>
        <w:rFonts w:hint="eastAsia"/>
      </w:rPr>
    </w:lvl>
  </w:abstractNum>
  <w:abstractNum w:abstractNumId="2">
    <w:nsid w:val="00000002"/>
    <w:multiLevelType w:val="singleLevel"/>
    <w:tmpl w:val="63B47FCD"/>
    <w:lvl w:ilvl="0">
      <w:start w:val="1"/>
      <w:numFmt w:val="chineseCounting"/>
      <w:suff w:val="nothing"/>
      <w:lvlText w:val="（%1）"/>
      <w:lvlJc w:val="left"/>
      <w:pPr/>
      <w:rPr>
        <w:rFonts w:hint="eastAsia"/>
      </w:rPr>
    </w:lvl>
  </w:abstractNum>
  <w:num w:numId="1">
    <w:abstractNumId w:val="1"/>
  </w:num>
  <w:num w:numId="2">
    <w:abstractNumId w:val="0"/>
  </w:num>
  <w:num w:numId="3">
    <w:abstractNumId w:val="2"/>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20"/>
  <w:embedSystemFonts/>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1"/>
  <w:displayVerticalDrawingGridEvery w:val="1"/>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0"/>
    <w:qFormat/>
    <w:uiPriority w:val="0"/>
    <w:pPr>
      <w:widowControl w:val="false"/>
      <w:jc w:val="both"/>
    </w:pPr>
    <w:rPr>
      <w:rFonts w:ascii="Calibri" w:cs="宋体" w:eastAsia="宋体" w:hAnsi="Calibri"/>
      <w:kern w:val="2"/>
      <w:sz w:val="21"/>
      <w:szCs w:val="24"/>
      <w:lang w:val="en-US" w:bidi="ar-SA" w:eastAsia="zh-CN"/>
    </w:rPr>
  </w:style>
  <w:style w:type="paragraph" w:styleId="style1">
    <w:name w:val="heading 1"/>
    <w:basedOn w:val="style0"/>
    <w:next w:val="style0"/>
    <w:qFormat/>
    <w:uiPriority w:val="0"/>
    <w:pPr>
      <w:spacing w:before="0" w:beforeAutospacing="true" w:after="0" w:afterAutospacing="true"/>
      <w:jc w:val="left"/>
    </w:pPr>
    <w:rPr>
      <w:rFonts w:ascii="宋体" w:cs="宋体" w:eastAsia="宋体" w:hAnsi="宋体" w:hint="eastAsia"/>
      <w:b/>
      <w:bCs/>
      <w:kern w:val="44"/>
      <w:sz w:val="48"/>
      <w:szCs w:val="48"/>
      <w:lang w:val="en-US"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94">
    <w:name w:val="Normal (Web)"/>
    <w:basedOn w:val="style0"/>
    <w:next w:val="style94"/>
    <w:qFormat/>
    <w:uiPriority w:val="0"/>
    <w:pPr>
      <w:spacing w:before="0" w:beforeAutospacing="true" w:after="0" w:afterAutospacing="true"/>
      <w:ind w:left="0" w:right="0"/>
      <w:jc w:val="left"/>
    </w:pPr>
    <w:rPr>
      <w:kern w:val="0"/>
      <w:sz w:val="24"/>
      <w:lang w:val="en-US" w:eastAsia="zh-CN"/>
    </w:rPr>
  </w:style>
  <w:style w:type="character" w:styleId="style87">
    <w:name w:val="Strong"/>
    <w:basedOn w:val="style65"/>
    <w:next w:val="style87"/>
    <w:qFormat/>
    <w:uiPriority w:val="0"/>
    <w:rPr>
      <w:b/>
    </w:rPr>
  </w:style>
  <w:style w:type="character" w:styleId="style85">
    <w:name w:val="Hyperlink"/>
    <w:basedOn w:val="style65"/>
    <w:next w:val="style85"/>
    <w:qFormat/>
    <w:uiPriority w:val="0"/>
    <w:rPr>
      <w:color w:val="0000ff"/>
      <w:u w:val="singl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Words>2875</Words>
  <Pages>6</Pages>
  <Characters>2923</Characters>
  <Application>WPS Office</Application>
  <DocSecurity>0</DocSecurity>
  <Paragraphs>18</Paragraphs>
  <ScaleCrop>false</ScaleCrop>
  <LinksUpToDate>false</LinksUpToDate>
  <CharactersWithSpaces>2923</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2024-12-04T01:19:00Z</dcterms:created>
  <dc:creator>illyasviel</dc:creator>
  <lastModifiedBy>SM-S9180</lastModifiedBy>
  <dcterms:modified xsi:type="dcterms:W3CDTF">2025-01-15T08:00:40Z</dcterms:modified>
  <revision>1</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14505fe3d96b4fec8e29894ccc8bfd99_23</vt:lpwstr>
  </property>
  <property fmtid="{D5CDD505-2E9C-101B-9397-08002B2CF9AE}" pid="4" name="KSOTemplateDocerSaveRecord">
    <vt:lpwstr>eyJoZGlkIjoiMWYyNGIzNTI3MzM1YmFkZWQ1ZGQ0NWQwYjNiODRjNTYiLCJ1c2VySWQiOiI3NDcyNDEyNjUifQ==</vt:lpwstr>
  </property>
</Properties>
</file>