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_GBK"/>
          <w:sz w:val="28"/>
          <w:szCs w:val="28"/>
        </w:rPr>
      </w:pPr>
    </w:p>
    <w:p>
      <w:pPr>
        <w:spacing w:line="1520" w:lineRule="exact"/>
        <w:rPr>
          <w:rFonts w:ascii="Times New Roman" w:hAnsi="Times New Roman" w:eastAsia="华文中宋"/>
          <w:spacing w:val="20"/>
          <w:sz w:val="52"/>
          <w:szCs w:val="52"/>
        </w:rPr>
      </w:pPr>
    </w:p>
    <w:p>
      <w:pPr>
        <w:spacing w:line="1200" w:lineRule="exact"/>
        <w:jc w:val="center"/>
        <w:rPr>
          <w:rFonts w:hint="default" w:ascii="仿宋" w:hAnsi="仿宋" w:eastAsia="仿宋" w:cs="仿宋"/>
          <w:b/>
          <w:bCs/>
          <w:spacing w:val="20"/>
          <w:sz w:val="72"/>
          <w:szCs w:val="72"/>
          <w:lang w:val="en-US" w:eastAsia="zh-CN"/>
        </w:rPr>
      </w:pPr>
      <w:r>
        <w:rPr>
          <w:rFonts w:hint="eastAsia" w:ascii="仿宋" w:hAnsi="仿宋" w:eastAsia="仿宋" w:cs="仿宋"/>
          <w:b/>
          <w:bCs/>
          <w:spacing w:val="20"/>
          <w:sz w:val="72"/>
          <w:szCs w:val="72"/>
          <w:lang w:val="en-US" w:eastAsia="zh-CN"/>
        </w:rPr>
        <w:t>望城区乔口镇</w:t>
      </w:r>
    </w:p>
    <w:p>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基层政务公开标准目录汇编</w:t>
      </w:r>
    </w:p>
    <w:p>
      <w:pPr>
        <w:spacing w:line="1520" w:lineRule="exact"/>
        <w:rPr>
          <w:rFonts w:ascii="Times New Roman" w:hAnsi="Times New Roman" w:eastAsia="华文中宋"/>
          <w:spacing w:val="20"/>
          <w:sz w:val="52"/>
          <w:szCs w:val="52"/>
        </w:rPr>
      </w:pPr>
    </w:p>
    <w:p>
      <w:pPr>
        <w:jc w:val="center"/>
        <w:rPr>
          <w:rFonts w:ascii="Times New Roman" w:hAnsi="Times New Roman" w:eastAsia="方正小标宋_GBK"/>
          <w:sz w:val="28"/>
          <w:szCs w:val="28"/>
        </w:rPr>
      </w:pPr>
    </w:p>
    <w:p>
      <w:pPr>
        <w:jc w:val="center"/>
        <w:rPr>
          <w:rFonts w:ascii="Times New Roman" w:hAnsi="Times New Roman" w:eastAsia="华文中宋"/>
          <w:sz w:val="48"/>
          <w:szCs w:val="48"/>
        </w:rPr>
      </w:pPr>
    </w:p>
    <w:p>
      <w:pPr>
        <w:jc w:val="center"/>
        <w:rPr>
          <w:rFonts w:ascii="Times New Roman" w:hAnsi="Times New Roman" w:eastAsia="华文中宋"/>
          <w:sz w:val="48"/>
          <w:szCs w:val="48"/>
        </w:rPr>
      </w:pPr>
    </w:p>
    <w:p>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bookmarkStart w:id="1" w:name="_GoBack"/>
      <w:bookmarkEnd w:id="1"/>
      <w:r>
        <w:rPr>
          <w:rFonts w:hint="eastAsia" w:ascii="Times New Roman" w:hAnsi="Times New Roman" w:eastAsia="华文中宋"/>
          <w:sz w:val="48"/>
          <w:szCs w:val="48"/>
        </w:rPr>
        <w:t>年</w:t>
      </w:r>
      <w:r>
        <w:rPr>
          <w:rFonts w:ascii="黑体" w:hAnsi="黑体" w:eastAsia="黑体" w:cs="黑体"/>
          <w:sz w:val="30"/>
          <w:szCs w:val="30"/>
        </w:rPr>
        <w:br w:type="page"/>
      </w:r>
    </w:p>
    <w:p>
      <w:pPr>
        <w:pStyle w:val="5"/>
        <w:ind w:left="31680" w:right="31680"/>
        <w:rPr>
          <w:rStyle w:val="8"/>
          <w:rFonts w:ascii="Times New Roman" w:hAnsi="Times New Roman" w:eastAsia="黑体"/>
          <w:color w:val="auto"/>
          <w:sz w:val="30"/>
          <w:szCs w:val="30"/>
        </w:rPr>
      </w:pPr>
      <w:r>
        <w:rPr>
          <w:rStyle w:val="8"/>
          <w:rFonts w:ascii="Times New Roman" w:hAnsi="Times New Roman" w:eastAsia="黑体"/>
          <w:color w:val="auto"/>
          <w:sz w:val="30"/>
          <w:szCs w:val="30"/>
        </w:rPr>
        <w:fldChar w:fldCharType="begin"/>
      </w:r>
      <w:r>
        <w:rPr>
          <w:rStyle w:val="8"/>
          <w:rFonts w:ascii="Times New Roman" w:hAnsi="Times New Roman" w:eastAsia="黑体"/>
          <w:color w:val="auto"/>
          <w:sz w:val="30"/>
          <w:szCs w:val="30"/>
        </w:rPr>
        <w:instrText xml:space="preserve"> TOC \o "1-3" \h \z \u </w:instrText>
      </w:r>
      <w:r>
        <w:rPr>
          <w:rStyle w:val="8"/>
          <w:rFonts w:ascii="Times New Roman" w:hAnsi="Times New Roman" w:eastAsia="黑体"/>
          <w:color w:val="auto"/>
          <w:sz w:val="30"/>
          <w:szCs w:val="30"/>
        </w:rPr>
        <w:fldChar w:fldCharType="separate"/>
      </w:r>
      <w:r>
        <w:fldChar w:fldCharType="begin"/>
      </w:r>
      <w:r>
        <w:instrText xml:space="preserve"> HYPERLINK \l "_Toc22496" </w:instrText>
      </w:r>
      <w:r>
        <w:fldChar w:fldCharType="separate"/>
      </w:r>
      <w:r>
        <w:rPr>
          <w:rStyle w:val="8"/>
          <w:rFonts w:hint="eastAsia" w:ascii="Times New Roman" w:hAnsi="Times New Roman" w:eastAsia="黑体"/>
          <w:color w:val="auto"/>
          <w:sz w:val="30"/>
          <w:szCs w:val="30"/>
        </w:rPr>
        <w:t>（一）义务教育领域基层政务公开标准目录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3</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"_Toc28722"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二</w:t>
      </w:r>
      <w:r>
        <w:rPr>
          <w:rStyle w:val="8"/>
          <w:rFonts w:hint="eastAsia" w:ascii="Times New Roman" w:hAnsi="Times New Roman" w:eastAsia="黑体"/>
          <w:color w:val="auto"/>
          <w:sz w:val="30"/>
          <w:szCs w:val="30"/>
        </w:rPr>
        <w:t>）社会救助领域基层政务公开标准目录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8</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"_Toc21169"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三</w:t>
      </w:r>
      <w:r>
        <w:rPr>
          <w:rStyle w:val="8"/>
          <w:rFonts w:hint="eastAsia" w:ascii="Times New Roman" w:hAnsi="Times New Roman" w:eastAsia="黑体"/>
          <w:color w:val="auto"/>
          <w:sz w:val="30"/>
          <w:szCs w:val="30"/>
        </w:rPr>
        <w:t>）养老服务领域基层政务公开标准目录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10</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"_Toc2976"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四</w:t>
      </w:r>
      <w:r>
        <w:rPr>
          <w:rStyle w:val="8"/>
          <w:rFonts w:hint="eastAsia" w:ascii="Times New Roman" w:hAnsi="Times New Roman" w:eastAsia="黑体"/>
          <w:color w:val="auto"/>
          <w:sz w:val="30"/>
          <w:szCs w:val="30"/>
        </w:rPr>
        <w:t>）公共法律服务领域基层政务公开标准目录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1</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"_Toc17968"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五</w:t>
      </w:r>
      <w:r>
        <w:rPr>
          <w:rStyle w:val="8"/>
          <w:rFonts w:hint="eastAsia" w:ascii="Times New Roman" w:hAnsi="Times New Roman" w:eastAsia="黑体"/>
          <w:color w:val="auto"/>
          <w:sz w:val="30"/>
          <w:szCs w:val="30"/>
        </w:rPr>
        <w:t>）就业领域基层政务公开标准目录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3</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"_Toc27704"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六</w:t>
      </w:r>
      <w:r>
        <w:rPr>
          <w:rStyle w:val="8"/>
          <w:rFonts w:hint="eastAsia" w:ascii="Times New Roman" w:hAnsi="Times New Roman" w:eastAsia="黑体"/>
          <w:color w:val="auto"/>
          <w:sz w:val="30"/>
          <w:szCs w:val="30"/>
        </w:rPr>
        <w:t>）社会保险领域基层政务公开标准目录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5</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"_Toc10437"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七</w:t>
      </w:r>
      <w:r>
        <w:rPr>
          <w:rStyle w:val="8"/>
          <w:rFonts w:hint="eastAsia" w:ascii="Times New Roman" w:hAnsi="Times New Roman" w:eastAsia="黑体"/>
          <w:color w:val="auto"/>
          <w:sz w:val="30"/>
          <w:szCs w:val="30"/>
        </w:rPr>
        <w:t>）旅游领域基层政务公开标准目录编制情况说明</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16</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"_Toc24697"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八</w:t>
      </w:r>
      <w:r>
        <w:rPr>
          <w:rStyle w:val="8"/>
          <w:rFonts w:hint="eastAsia" w:ascii="Times New Roman" w:hAnsi="Times New Roman" w:eastAsia="黑体"/>
          <w:color w:val="auto"/>
          <w:sz w:val="30"/>
          <w:szCs w:val="30"/>
        </w:rPr>
        <w:t>）安全生产领域基层政务公开标准目录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17</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"_Toc2518"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九</w:t>
      </w:r>
      <w:r>
        <w:rPr>
          <w:rStyle w:val="8"/>
          <w:rFonts w:hint="eastAsia" w:ascii="Times New Roman" w:hAnsi="Times New Roman" w:eastAsia="黑体"/>
          <w:color w:val="auto"/>
          <w:sz w:val="30"/>
          <w:szCs w:val="30"/>
        </w:rPr>
        <w:t>）救灾领域基层政务公开标准目录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20</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"_Toc17265" </w:instrText>
      </w:r>
      <w:r>
        <w:fldChar w:fldCharType="separate"/>
      </w:r>
      <w:r>
        <w:rPr>
          <w:rStyle w:val="8"/>
          <w:rFonts w:hint="eastAsia" w:ascii="Times New Roman" w:hAnsi="Times New Roman" w:eastAsia="黑体"/>
          <w:color w:val="auto"/>
          <w:sz w:val="30"/>
          <w:szCs w:val="30"/>
        </w:rPr>
        <w:t>（十）食品药品监管领域基层政务公开标准目录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2</w:t>
      </w:r>
      <w:r>
        <w:rPr>
          <w:rStyle w:val="8"/>
          <w:rFonts w:hint="eastAsia" w:ascii="Times New Roman" w:hAnsi="Times New Roman" w:eastAsia="黑体"/>
          <w:color w:val="auto"/>
          <w:sz w:val="30"/>
          <w:szCs w:val="30"/>
          <w:lang w:val="en-US" w:eastAsia="zh-CN"/>
        </w:rPr>
        <w:t>4</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"_Toc24724711" </w:instrText>
      </w:r>
      <w:r>
        <w:fldChar w:fldCharType="separate"/>
      </w: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eastAsia="zh-CN"/>
        </w:rPr>
        <w:t>一</w:t>
      </w:r>
      <w:r>
        <w:rPr>
          <w:rStyle w:val="8"/>
          <w:rFonts w:hint="eastAsia" w:ascii="Times New Roman" w:hAnsi="Times New Roman" w:eastAsia="黑体"/>
          <w:color w:val="auto"/>
          <w:sz w:val="30"/>
          <w:szCs w:val="30"/>
        </w:rPr>
        <w:t>）公共资源交易领域基层政务公开标准目录</w:t>
      </w:r>
      <w:r>
        <w:rPr>
          <w:rFonts w:ascii="Times New Roman" w:hAnsi="Times New Roman" w:eastAsia="黑体"/>
          <w:sz w:val="30"/>
          <w:szCs w:val="30"/>
        </w:rPr>
        <w:tab/>
      </w:r>
      <w:r>
        <w:rPr>
          <w:rFonts w:ascii="Times New Roman" w:hAnsi="Times New Roman" w:eastAsia="黑体"/>
          <w:sz w:val="30"/>
          <w:szCs w:val="30"/>
        </w:rPr>
        <w:fldChar w:fldCharType="end"/>
      </w:r>
      <w:r>
        <w:rPr>
          <w:rStyle w:val="8"/>
          <w:rFonts w:hint="eastAsia" w:ascii="Times New Roman" w:hAnsi="Times New Roman" w:eastAsia="黑体"/>
          <w:color w:val="auto"/>
          <w:sz w:val="30"/>
          <w:szCs w:val="30"/>
          <w:lang w:val="en-US" w:eastAsia="zh-CN"/>
        </w:rPr>
        <w:t>27</w:t>
      </w:r>
    </w:p>
    <w:p>
      <w:pPr>
        <w:spacing w:line="700" w:lineRule="exact"/>
        <w:ind w:firstLine="315" w:firstLineChars="150"/>
        <w:rPr>
          <w:rFonts w:hint="default" w:ascii="Times New Roman" w:hAnsi="Times New Roman" w:eastAsia="黑体"/>
          <w:sz w:val="30"/>
          <w:szCs w:val="30"/>
          <w:lang w:val="en-US" w:eastAsia="zh-CN"/>
        </w:r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eastAsia="zh-CN"/>
        </w:rPr>
        <w:t>二</w:t>
      </w:r>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财政预决算领域基层政务公开标准目录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30</w:t>
      </w:r>
    </w:p>
    <w:p>
      <w:pPr>
        <w:spacing w:line="700" w:lineRule="exact"/>
        <w:ind w:firstLine="300" w:firstLineChars="100"/>
        <w:rPr>
          <w:rFonts w:hint="eastAsia" w:ascii="Times New Roman" w:hAnsi="Times New Roman" w:eastAsia="黑体"/>
          <w:sz w:val="30"/>
          <w:szCs w:val="30"/>
          <w:u w:val="single"/>
          <w:lang w:val="en-US" w:eastAsia="zh-CN"/>
        </w:rPr>
      </w:pPr>
      <w:r>
        <w:rPr>
          <w:rFonts w:hint="eastAsia" w:ascii="Times New Roman" w:hAnsi="Times New Roman" w:eastAsia="黑体" w:cs="黑体"/>
          <w:sz w:val="30"/>
          <w:szCs w:val="30"/>
        </w:rPr>
        <w:t>（十</w:t>
      </w:r>
      <w:r>
        <w:rPr>
          <w:rFonts w:hint="eastAsia" w:ascii="Times New Roman" w:hAnsi="Times New Roman" w:eastAsia="黑体" w:cs="黑体"/>
          <w:sz w:val="30"/>
          <w:szCs w:val="30"/>
          <w:lang w:eastAsia="zh-CN"/>
        </w:rPr>
        <w:t>三</w:t>
      </w:r>
      <w:r>
        <w:rPr>
          <w:rFonts w:hint="eastAsia" w:ascii="Times New Roman" w:hAnsi="Times New Roman" w:eastAsia="黑体" w:cs="黑体"/>
          <w:sz w:val="30"/>
          <w:szCs w:val="30"/>
        </w:rPr>
        <w:t>）</w:t>
      </w:r>
      <w:r>
        <w:rPr>
          <w:rFonts w:hint="eastAsia" w:ascii="Times New Roman" w:hAnsi="Times New Roman" w:eastAsia="黑体"/>
          <w:sz w:val="30"/>
          <w:szCs w:val="30"/>
        </w:rPr>
        <w:t>生态环境领域基层政务公开标准目录</w:t>
      </w:r>
      <w:r>
        <w:rPr>
          <w:rFonts w:ascii="Times New Roman" w:hAnsi="Times New Roman" w:eastAsia="黑体"/>
          <w:sz w:val="30"/>
          <w:szCs w:val="30"/>
        </w:rPr>
        <w:t>............................................................................................................</w:t>
      </w:r>
      <w:r>
        <w:rPr>
          <w:rFonts w:ascii="Times New Roman" w:hAnsi="Times New Roman" w:eastAsia="黑体"/>
          <w:sz w:val="30"/>
          <w:szCs w:val="30"/>
          <w:u w:val="single"/>
        </w:rPr>
        <w:t>3</w:t>
      </w:r>
      <w:r>
        <w:rPr>
          <w:rFonts w:hint="eastAsia" w:ascii="Times New Roman" w:hAnsi="Times New Roman" w:eastAsia="黑体"/>
          <w:sz w:val="30"/>
          <w:szCs w:val="30"/>
          <w:u w:val="single"/>
          <w:lang w:val="en-US" w:eastAsia="zh-CN"/>
        </w:rPr>
        <w:t>2</w:t>
      </w: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eastAsia="zh-CN"/>
        </w:rPr>
        <w:t>四</w:t>
      </w:r>
      <w:r>
        <w:rPr>
          <w:rStyle w:val="8"/>
          <w:rFonts w:hint="eastAsia" w:ascii="Times New Roman" w:hAnsi="Times New Roman" w:eastAsia="黑体"/>
          <w:color w:val="auto"/>
          <w:sz w:val="30"/>
          <w:szCs w:val="30"/>
        </w:rPr>
        <w:t>）涉农补贴领域基层政务公开标准目录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35</w:t>
      </w: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五</w:t>
      </w:r>
      <w:r>
        <w:rPr>
          <w:rStyle w:val="8"/>
          <w:rFonts w:hint="eastAsia" w:ascii="Times New Roman" w:hAnsi="Times New Roman" w:eastAsia="黑体"/>
          <w:color w:val="auto"/>
          <w:sz w:val="30"/>
          <w:szCs w:val="30"/>
        </w:rPr>
        <w:t>）卫生健康领域基层政务公开标准目录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37</w:t>
      </w:r>
    </w:p>
    <w:p>
      <w:pPr>
        <w:spacing w:line="700" w:lineRule="exact"/>
        <w:ind w:firstLine="300" w:firstLineChars="100"/>
        <w:rPr>
          <w:rStyle w:val="8"/>
          <w:rFonts w:ascii="Times New Roman" w:hAnsi="Times New Roman" w:eastAsia="黑体"/>
          <w:color w:val="auto"/>
          <w:sz w:val="30"/>
          <w:szCs w:val="30"/>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eastAsia="zh-CN"/>
        </w:rPr>
        <w:t>六</w:t>
      </w:r>
      <w:r>
        <w:rPr>
          <w:rStyle w:val="8"/>
          <w:rFonts w:hint="eastAsia" w:ascii="Times New Roman" w:hAnsi="Times New Roman" w:eastAsia="黑体"/>
          <w:color w:val="auto"/>
          <w:sz w:val="30"/>
          <w:szCs w:val="30"/>
        </w:rPr>
        <w:t>）水</w:t>
      </w:r>
      <w:r>
        <w:rPr>
          <w:rStyle w:val="8"/>
          <w:rFonts w:hint="eastAsia" w:ascii="Times New Roman" w:hAnsi="Times New Roman" w:eastAsia="黑体"/>
          <w:color w:val="auto"/>
          <w:spacing w:val="-11"/>
          <w:sz w:val="30"/>
          <w:szCs w:val="30"/>
        </w:rPr>
        <w:t>利领域基层政务公开标准目</w:t>
      </w:r>
      <w:r>
        <w:rPr>
          <w:rStyle w:val="8"/>
          <w:rFonts w:hint="eastAsia" w:ascii="Times New Roman" w:hAnsi="Times New Roman" w:eastAsia="黑体"/>
          <w:color w:val="auto"/>
          <w:sz w:val="30"/>
          <w:szCs w:val="30"/>
        </w:rPr>
        <w:t>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lang w:val="en-US" w:eastAsia="zh-CN"/>
        </w:rPr>
        <w:t>38</w:t>
      </w:r>
      <w:r>
        <w:rPr>
          <w:rStyle w:val="8"/>
          <w:rFonts w:ascii="Times New Roman" w:hAnsi="Times New Roman" w:eastAsia="黑体"/>
          <w:color w:val="auto"/>
          <w:sz w:val="30"/>
          <w:szCs w:val="30"/>
        </w:rPr>
        <w:fldChar w:fldCharType="end"/>
      </w:r>
    </w:p>
    <w:p>
      <w:pPr>
        <w:pStyle w:val="2"/>
        <w:jc w:val="center"/>
        <w:rPr>
          <w:rFonts w:ascii="黑体" w:hAnsi="黑体" w:eastAsia="黑体"/>
        </w:rPr>
      </w:pPr>
      <w:bookmarkStart w:id="0" w:name="_Toc22496"/>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noWrap/>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乔口镇</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noWrap/>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乔口镇</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noWrap/>
            <w:vAlign w:val="center"/>
          </w:tcPr>
          <w:p>
            <w:pPr>
              <w:jc w:val="center"/>
              <w:rPr>
                <w:rFonts w:ascii="Times New Roman" w:hAnsi="Times New Roman" w:eastAsia="仿宋_GB2312" w:cs="宋体"/>
                <w:kern w:val="2"/>
                <w:sz w:val="18"/>
                <w:szCs w:val="18"/>
                <w:lang w:val="en-US" w:eastAsia="zh-CN" w:bidi="ar-SA"/>
              </w:rPr>
            </w:pPr>
            <w:r>
              <w:rPr>
                <w:rFonts w:ascii="Times New Roman" w:hAnsi="Times New Roman" w:eastAsia="仿宋_GB2312"/>
                <w:sz w:val="18"/>
                <w:szCs w:val="18"/>
              </w:rPr>
              <w:t>2</w:t>
            </w:r>
          </w:p>
        </w:tc>
        <w:tc>
          <w:tcPr>
            <w:tcW w:w="732" w:type="dxa"/>
            <w:vMerge w:val="restart"/>
            <w:noWrap/>
            <w:vAlign w:val="center"/>
          </w:tcPr>
          <w:p>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招生计划</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各校本年度招生计划</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乔口镇</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pPr>
              <w:jc w:val="center"/>
              <w:rPr>
                <w:rFonts w:ascii="Times New Roman" w:hAnsi="Times New Roman" w:eastAsia="仿宋_GB2312"/>
                <w:sz w:val="18"/>
                <w:szCs w:val="18"/>
              </w:rPr>
            </w:pPr>
          </w:p>
        </w:tc>
        <w:tc>
          <w:tcPr>
            <w:tcW w:w="732" w:type="dxa"/>
            <w:vMerge w:val="continue"/>
            <w:noWrap/>
            <w:vAlign w:val="center"/>
          </w:tcPr>
          <w:p>
            <w:pPr>
              <w:jc w:val="center"/>
              <w:rPr>
                <w:rFonts w:ascii="Times New Roman" w:hAnsi="Times New Roman" w:eastAsia="仿宋_GB2312"/>
                <w:sz w:val="18"/>
                <w:szCs w:val="18"/>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招生范围</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招生范围、学区划分详细情况</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乔口镇</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》、《国务院关于进一步完善城乡义务教育经费保障机制的通知》</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乔口镇</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jc w:val="center"/>
        </w:trPr>
        <w:tc>
          <w:tcPr>
            <w:tcW w:w="540" w:type="dxa"/>
            <w:vMerge w:val="continue"/>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学籍管理</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义务教育法》、《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》、《中小学生学籍管理办法》</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乔口镇</w:t>
            </w:r>
          </w:p>
        </w:tc>
        <w:tc>
          <w:tcPr>
            <w:tcW w:w="1840"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kern w:val="2"/>
                <w:sz w:val="18"/>
                <w:szCs w:val="18"/>
                <w:lang w:val="en-US" w:eastAsia="zh-CN" w:bidi="ar-SA"/>
              </w:rPr>
            </w:pPr>
          </w:p>
        </w:tc>
        <w:tc>
          <w:tcPr>
            <w:tcW w:w="627" w:type="dxa"/>
            <w:noWrap/>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_GB2312" w:cs="宋体"/>
                <w:kern w:val="2"/>
                <w:sz w:val="18"/>
                <w:szCs w:val="18"/>
                <w:lang w:val="en-US" w:eastAsia="zh-CN" w:bidi="ar-SA"/>
              </w:rPr>
            </w:pPr>
          </w:p>
        </w:tc>
        <w:tc>
          <w:tcPr>
            <w:tcW w:w="668" w:type="dxa"/>
            <w:noWrap/>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Times New Roman"/>
                <w:kern w:val="2"/>
                <w:sz w:val="18"/>
                <w:szCs w:val="18"/>
                <w:lang w:val="en-US" w:eastAsia="zh-CN" w:bidi="ar-SA"/>
              </w:rPr>
            </w:pPr>
          </w:p>
        </w:tc>
      </w:tr>
    </w:tbl>
    <w:p>
      <w:pPr>
        <w:keepNext/>
        <w:keepLines/>
        <w:spacing w:before="340" w:after="330" w:line="578" w:lineRule="auto"/>
        <w:ind w:left="0" w:leftChars="0" w:right="0" w:rightChars="0" w:firstLine="0" w:firstLineChars="0"/>
        <w:jc w:val="center"/>
        <w:outlineLvl w:val="0"/>
        <w:rPr>
          <w:rFonts w:ascii="Times New Roman" w:hAnsi="Times New Roman" w:eastAsia="方正小标宋_GBK"/>
          <w:b/>
          <w:bCs/>
          <w:kern w:val="44"/>
          <w:sz w:val="30"/>
          <w:szCs w:val="44"/>
        </w:rPr>
      </w:pPr>
      <w:r>
        <w:rPr>
          <w:rFonts w:ascii="方正小标宋_GBK" w:hAnsi="方正小标宋_GBK" w:eastAsia="方正小标宋_GBK"/>
          <w:sz w:val="30"/>
        </w:rPr>
        <w:br w:type="page"/>
      </w: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225"/>
        <w:gridCol w:w="2284"/>
        <w:gridCol w:w="379"/>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2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228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00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pPr>
              <w:widowControl/>
              <w:jc w:val="center"/>
              <w:rPr>
                <w:rFonts w:ascii="Times New Roman" w:hAnsi="Times New Roman" w:eastAsia="黑体" w:cs="宋体"/>
                <w:kern w:val="0"/>
                <w:sz w:val="22"/>
              </w:rPr>
            </w:pPr>
          </w:p>
        </w:tc>
        <w:tc>
          <w:tcPr>
            <w:tcW w:w="2355"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225" w:type="dxa"/>
            <w:vMerge w:val="continue"/>
            <w:vAlign w:val="center"/>
          </w:tcPr>
          <w:p>
            <w:pPr>
              <w:widowControl/>
              <w:jc w:val="center"/>
              <w:rPr>
                <w:rFonts w:ascii="Times New Roman" w:hAnsi="Times New Roman" w:eastAsia="黑体" w:cs="宋体"/>
                <w:kern w:val="0"/>
                <w:sz w:val="22"/>
              </w:rPr>
            </w:pPr>
          </w:p>
        </w:tc>
        <w:tc>
          <w:tcPr>
            <w:tcW w:w="2284" w:type="dxa"/>
            <w:vMerge w:val="continue"/>
            <w:vAlign w:val="center"/>
          </w:tcPr>
          <w:p>
            <w:pPr>
              <w:widowControl/>
              <w:jc w:val="center"/>
              <w:rPr>
                <w:rFonts w:ascii="Times New Roman" w:hAnsi="Times New Roman" w:eastAsia="黑体" w:cs="宋体"/>
                <w:kern w:val="0"/>
                <w:sz w:val="22"/>
              </w:rPr>
            </w:pPr>
          </w:p>
        </w:tc>
        <w:tc>
          <w:tcPr>
            <w:tcW w:w="37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乔口镇政务公开专区</w:t>
            </w:r>
          </w:p>
          <w:p>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noWrap/>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■乔口镇社会事务公示栏</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22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75" w:hRule="atLeast"/>
          <w:jc w:val="center"/>
        </w:trPr>
        <w:tc>
          <w:tcPr>
            <w:tcW w:w="475"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pPr>
              <w:widowControl/>
              <w:jc w:val="center"/>
              <w:rPr>
                <w:rFonts w:ascii="Times New Roman" w:hAnsi="Times New Roman" w:eastAsia="黑体" w:cs="宋体"/>
                <w:kern w:val="0"/>
                <w:sz w:val="22"/>
              </w:rPr>
            </w:pPr>
          </w:p>
        </w:tc>
        <w:tc>
          <w:tcPr>
            <w:tcW w:w="1853"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■乔口镇社会事务公示栏</w:t>
            </w:r>
          </w:p>
          <w:p>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pPr>
              <w:jc w:val="center"/>
              <w:rPr>
                <w:rFonts w:ascii="Times New Roman" w:hAnsi="Times New Roman" w:eastAsia="仿宋"/>
                <w:sz w:val="30"/>
                <w:szCs w:val="30"/>
              </w:rPr>
            </w:pPr>
          </w:p>
        </w:tc>
        <w:tc>
          <w:tcPr>
            <w:tcW w:w="669"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■乔口镇社会事务公示栏</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671"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■乔口镇社会事务公示栏</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noWrap/>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bl>
    <w:p>
      <w:pPr>
        <w:pStyle w:val="2"/>
        <w:jc w:val="both"/>
        <w:rPr>
          <w:rFonts w:hint="eastAsia" w:ascii="Times New Roman" w:hAnsi="Times New Roman" w:eastAsia="方正小标宋_GBK"/>
          <w:sz w:val="30"/>
        </w:rPr>
      </w:pPr>
    </w:p>
    <w:p>
      <w:pPr>
        <w:rPr>
          <w:rFonts w:hint="eastAsia"/>
        </w:rPr>
      </w:pPr>
    </w:p>
    <w:p>
      <w:pPr>
        <w:pStyle w:val="2"/>
        <w:jc w:val="both"/>
        <w:rPr>
          <w:rFonts w:hint="eastAsia" w:ascii="Times New Roman" w:hAnsi="Times New Roman" w:eastAsia="方正小标宋_GBK"/>
          <w:sz w:val="30"/>
        </w:rPr>
      </w:pPr>
    </w:p>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w:t>
            </w:r>
            <w:r>
              <w:rPr>
                <w:rFonts w:hint="eastAsia" w:ascii="Times New Roman" w:hAnsi="Times New Roman" w:eastAsia="仿宋_GB2312"/>
                <w:sz w:val="18"/>
                <w:szCs w:val="18"/>
                <w:lang w:eastAsia="zh-CN"/>
              </w:rPr>
              <w:t>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》、《中华人民共和国社会保险法》、《社会保险费征缴暂行条例》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noWrap/>
            <w:vAlign w:val="center"/>
          </w:tcPr>
          <w:p>
            <w:pPr>
              <w:jc w:val="center"/>
              <w:rPr>
                <w:rFonts w:ascii="Times New Roman" w:hAnsi="Times New Roman" w:eastAsia="仿宋_GB2312" w:cs="宋体"/>
                <w:sz w:val="18"/>
                <w:szCs w:val="18"/>
              </w:rPr>
            </w:pPr>
          </w:p>
        </w:tc>
        <w:tc>
          <w:tcPr>
            <w:tcW w:w="674"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w:t>
      </w:r>
      <w:r>
        <w:rPr>
          <w:rFonts w:hint="eastAsia" w:ascii="方正小标宋_GBK" w:hAnsi="方正小标宋_GBK" w:eastAsia="方正小标宋_GBK"/>
          <w:sz w:val="30"/>
          <w:lang w:eastAsia="zh-CN"/>
        </w:rPr>
        <w:t>七</w:t>
      </w:r>
      <w:r>
        <w:rPr>
          <w:rFonts w:hint="eastAsia" w:ascii="方正小标宋_GBK" w:hAnsi="方正小标宋_GBK" w:eastAsia="方正小标宋_GBK"/>
          <w:sz w:val="30"/>
        </w:rPr>
        <w:t>）旅游领域基层政务公开标准目录</w:t>
      </w:r>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5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28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3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475"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0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402"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50" w:type="dxa"/>
            <w:vMerge w:val="continue"/>
            <w:vAlign w:val="center"/>
          </w:tcPr>
          <w:p>
            <w:pPr>
              <w:widowControl/>
              <w:jc w:val="center"/>
              <w:rPr>
                <w:rFonts w:ascii="黑体" w:hAnsi="宋体" w:eastAsia="黑体" w:cs="宋体"/>
                <w:kern w:val="0"/>
                <w:sz w:val="22"/>
              </w:rPr>
            </w:pPr>
          </w:p>
        </w:tc>
        <w:tc>
          <w:tcPr>
            <w:tcW w:w="61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670"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340" w:type="dxa"/>
            <w:vMerge w:val="continue"/>
            <w:vAlign w:val="center"/>
          </w:tcPr>
          <w:p>
            <w:pPr>
              <w:widowControl/>
              <w:jc w:val="center"/>
              <w:rPr>
                <w:rFonts w:ascii="黑体" w:hAnsi="宋体" w:eastAsia="黑体" w:cs="宋体"/>
                <w:kern w:val="0"/>
                <w:sz w:val="22"/>
              </w:rPr>
            </w:pPr>
          </w:p>
        </w:tc>
        <w:tc>
          <w:tcPr>
            <w:tcW w:w="2520"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475"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598"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71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88" w:hRule="atLeast"/>
          <w:jc w:val="center"/>
        </w:trPr>
        <w:tc>
          <w:tcPr>
            <w:tcW w:w="45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613"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行政许可</w:t>
            </w:r>
          </w:p>
        </w:tc>
        <w:tc>
          <w:tcPr>
            <w:tcW w:w="670" w:type="dxa"/>
            <w:noWrap/>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歌舞娱乐场所审批</w:t>
            </w:r>
          </w:p>
        </w:tc>
        <w:tc>
          <w:tcPr>
            <w:tcW w:w="2340" w:type="dxa"/>
            <w:vAlign w:val="center"/>
          </w:tcPr>
          <w:p>
            <w:pPr>
              <w:jc w:val="left"/>
              <w:rPr>
                <w:rFonts w:ascii="仿宋_GB2312" w:hAnsi="宋体" w:eastAsia="仿宋_GB2312" w:cs="宋体"/>
                <w:sz w:val="18"/>
                <w:szCs w:val="18"/>
              </w:rPr>
            </w:pPr>
            <w:r>
              <w:rPr>
                <w:rFonts w:hint="eastAsia" w:ascii="仿宋_GB2312" w:hAnsi="宋体" w:eastAsia="仿宋_GB2312" w:cs="宋体"/>
                <w:sz w:val="18"/>
                <w:szCs w:val="18"/>
              </w:rPr>
              <w:t>行政指导、受理、实地检查、公式、听证、审核与决定、证件送达、变更、延续、注销、补证</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《国务院关于印发注册资本登记制度改革方案的通知》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《娱乐场所管理条例》</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《文化部关于贯彻</w:t>
            </w:r>
            <w:r>
              <w:rPr>
                <w:rFonts w:ascii="仿宋_GB2312" w:hAnsi="宋体" w:eastAsia="仿宋_GB2312" w:cs="宋体"/>
                <w:sz w:val="18"/>
                <w:szCs w:val="18"/>
              </w:rPr>
              <w:t>&lt;</w:t>
            </w:r>
            <w:r>
              <w:rPr>
                <w:rFonts w:hint="eastAsia" w:ascii="仿宋_GB2312" w:hAnsi="宋体" w:eastAsia="仿宋_GB2312" w:cs="宋体"/>
                <w:sz w:val="18"/>
                <w:szCs w:val="18"/>
              </w:rPr>
              <w:t>娱乐场所管理办法</w:t>
            </w:r>
            <w:r>
              <w:rPr>
                <w:rFonts w:ascii="仿宋_GB2312" w:hAnsi="宋体" w:eastAsia="仿宋_GB2312" w:cs="宋体"/>
                <w:sz w:val="18"/>
                <w:szCs w:val="18"/>
              </w:rPr>
              <w:t>&gt;</w:t>
            </w:r>
            <w:r>
              <w:rPr>
                <w:rFonts w:hint="eastAsia" w:ascii="仿宋_GB2312" w:hAnsi="宋体" w:eastAsia="仿宋_GB2312" w:cs="宋体"/>
                <w:sz w:val="18"/>
                <w:szCs w:val="18"/>
              </w:rPr>
              <w:t>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文化部关于落实“先证后照”改进文化市场行政审批工作的通知》</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乔口镇</w:t>
            </w:r>
          </w:p>
        </w:tc>
        <w:tc>
          <w:tcPr>
            <w:tcW w:w="1840" w:type="dxa"/>
            <w:vAlign w:val="center"/>
          </w:tcPr>
          <w:p>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政务公开专栏</w:t>
            </w:r>
          </w:p>
        </w:tc>
        <w:tc>
          <w:tcPr>
            <w:tcW w:w="573"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noWrap/>
            <w:vAlign w:val="center"/>
          </w:tcPr>
          <w:p>
            <w:pPr>
              <w:jc w:val="center"/>
              <w:rPr>
                <w:rFonts w:ascii="仿宋_GB2312" w:hAnsi="仿宋" w:eastAsia="仿宋_GB2312" w:cs="宋体"/>
                <w:sz w:val="18"/>
                <w:szCs w:val="18"/>
              </w:rPr>
            </w:pPr>
          </w:p>
        </w:tc>
        <w:tc>
          <w:tcPr>
            <w:tcW w:w="711"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82" w:hRule="atLeast"/>
          <w:jc w:val="center"/>
        </w:trPr>
        <w:tc>
          <w:tcPr>
            <w:tcW w:w="45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613" w:type="dxa"/>
            <w:noWrap/>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行政审批</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营业性演出审批</w:t>
            </w:r>
          </w:p>
        </w:tc>
        <w:tc>
          <w:tcPr>
            <w:tcW w:w="234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受理、审核与决定、批准文书送达、决定公开、变更时间、变更地点、变更演员、变更节目、增加演出地备案、撤销、主动变更或撤回</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《营业性演出管理条例》（国务院令第</w:t>
            </w:r>
            <w:r>
              <w:rPr>
                <w:rFonts w:ascii="仿宋_GB2312" w:hAnsi="宋体" w:eastAsia="仿宋_GB2312" w:cs="宋体"/>
                <w:sz w:val="18"/>
                <w:szCs w:val="18"/>
              </w:rPr>
              <w:t>528</w:t>
            </w:r>
            <w:r>
              <w:rPr>
                <w:rFonts w:hint="eastAsia" w:ascii="仿宋_GB2312" w:hAnsi="宋体" w:eastAsia="仿宋_GB2312" w:cs="宋体"/>
                <w:sz w:val="18"/>
                <w:szCs w:val="18"/>
              </w:rPr>
              <w:t>号）第十四条；《营业性演出管理条例实施细则》（文化部第</w:t>
            </w:r>
            <w:r>
              <w:rPr>
                <w:rFonts w:ascii="仿宋_GB2312" w:hAnsi="宋体" w:eastAsia="仿宋_GB2312" w:cs="宋体"/>
                <w:sz w:val="18"/>
                <w:szCs w:val="18"/>
              </w:rPr>
              <w:t>48</w:t>
            </w:r>
            <w:r>
              <w:rPr>
                <w:rFonts w:hint="eastAsia" w:ascii="仿宋_GB2312" w:hAnsi="宋体" w:eastAsia="仿宋_GB2312" w:cs="宋体"/>
                <w:sz w:val="18"/>
                <w:szCs w:val="18"/>
              </w:rPr>
              <w:t>号令）第十八条</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、第十九条；《文化部关于做好取消和下放营业性演出审批项目工作的通知》（文市发【</w:t>
            </w:r>
            <w:r>
              <w:rPr>
                <w:rFonts w:ascii="仿宋_GB2312" w:hAnsi="宋体" w:eastAsia="仿宋_GB2312" w:cs="宋体"/>
                <w:sz w:val="18"/>
                <w:szCs w:val="18"/>
              </w:rPr>
              <w:t>2013</w:t>
            </w:r>
            <w:r>
              <w:rPr>
                <w:rFonts w:hint="eastAsia" w:ascii="仿宋_GB2312" w:hAnsi="宋体" w:eastAsia="仿宋_GB2312" w:cs="宋体"/>
                <w:sz w:val="18"/>
                <w:szCs w:val="18"/>
              </w:rPr>
              <w:t>】</w:t>
            </w:r>
            <w:r>
              <w:rPr>
                <w:rFonts w:ascii="仿宋_GB2312" w:hAnsi="宋体" w:eastAsia="仿宋_GB2312" w:cs="宋体"/>
                <w:sz w:val="18"/>
                <w:szCs w:val="18"/>
              </w:rPr>
              <w:t>27</w:t>
            </w:r>
            <w:r>
              <w:rPr>
                <w:rFonts w:hint="eastAsia" w:ascii="仿宋_GB2312" w:hAnsi="宋体" w:eastAsia="仿宋_GB2312" w:cs="宋体"/>
                <w:sz w:val="18"/>
                <w:szCs w:val="18"/>
              </w:rPr>
              <w:t>号）</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乔口镇</w:t>
            </w:r>
          </w:p>
        </w:tc>
        <w:tc>
          <w:tcPr>
            <w:tcW w:w="1840" w:type="dxa"/>
            <w:vAlign w:val="center"/>
          </w:tcPr>
          <w:p>
            <w:pPr>
              <w:jc w:val="left"/>
              <w:rPr>
                <w:rFonts w:ascii="仿宋_GB2312" w:hAnsi="仿宋" w:eastAsia="仿宋_GB2312" w:cs="宋体"/>
                <w:sz w:val="18"/>
                <w:szCs w:val="18"/>
              </w:rPr>
            </w:pPr>
            <w:r>
              <w:rPr>
                <w:rFonts w:hint="eastAsia" w:ascii="仿宋_GB2312" w:hAnsi="宋体" w:eastAsia="仿宋_GB2312"/>
                <w:sz w:val="18"/>
                <w:szCs w:val="18"/>
              </w:rPr>
              <w:t>■政务公开专栏</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仿宋_GB2312" w:hAnsi="仿宋" w:eastAsia="仿宋_GB2312" w:cs="宋体"/>
                <w:sz w:val="18"/>
                <w:szCs w:val="18"/>
              </w:rPr>
            </w:pPr>
          </w:p>
        </w:tc>
        <w:tc>
          <w:tcPr>
            <w:tcW w:w="711"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pPr>
              <w:widowControl/>
              <w:jc w:val="center"/>
              <w:rPr>
                <w:rFonts w:ascii="Times New Roman" w:hAnsi="Times New Roman" w:eastAsia="黑体" w:cs="宋体"/>
                <w:kern w:val="0"/>
                <w:sz w:val="22"/>
              </w:rPr>
            </w:pPr>
          </w:p>
        </w:tc>
        <w:tc>
          <w:tcPr>
            <w:tcW w:w="1939"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■政务公开专栏</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noWrap/>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《中华人民共和国安全生产法》、《</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》、《中华人民共和国突发事件应对法》、《</w:t>
            </w:r>
            <w:r>
              <w:rPr>
                <w:rFonts w:hint="eastAsia" w:ascii="Times New Roman" w:hAnsi="Times New Roman" w:eastAsia="仿宋_GB2312"/>
                <w:bCs/>
                <w:sz w:val="18"/>
                <w:szCs w:val="18"/>
                <w:lang w:eastAsia="zh-CN"/>
              </w:rPr>
              <w:t>关于全面推进政务公开工作的意见</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“三公”经费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乔口镇财务公开栏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■乔口镇财务公开栏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信访举报箱</w:t>
            </w:r>
          </w:p>
          <w:p>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廉情意见箱</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bl>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pPr>
              <w:widowControl/>
              <w:jc w:val="center"/>
              <w:rPr>
                <w:rFonts w:ascii="Times New Roman" w:hAnsi="Times New Roman" w:eastAsia="黑体" w:cs="宋体"/>
                <w:kern w:val="0"/>
                <w:sz w:val="22"/>
              </w:rPr>
            </w:pPr>
          </w:p>
        </w:tc>
        <w:tc>
          <w:tcPr>
            <w:tcW w:w="73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p>
          <w:p>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p>
        </w:tc>
        <w:tc>
          <w:tcPr>
            <w:tcW w:w="592"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w:t>
            </w:r>
            <w:r>
              <w:rPr>
                <w:rFonts w:hint="eastAsia" w:ascii="Times New Roman" w:hAnsi="Times New Roman" w:eastAsia="仿宋_GB2312"/>
                <w:sz w:val="18"/>
                <w:szCs w:val="18"/>
                <w:lang w:eastAsia="zh-CN"/>
              </w:rPr>
              <w:t>报电话</w:t>
            </w:r>
            <w:r>
              <w:rPr>
                <w:rFonts w:hint="eastAsia" w:ascii="Times New Roman" w:hAnsi="Times New Roman" w:eastAsia="仿宋_GB2312"/>
                <w:sz w:val="18"/>
                <w:szCs w:val="18"/>
              </w:rPr>
              <w:t>）过渡期生活救助对象确定（灾民姓名、受灾情况、救助金额、监督举报电话)</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居民住房恢复重建救助标准（居民因灾倒房、损房恢复重建具体救助标准）居民住房恢复重建救助对象评议结果公示（公开灾民姓名、受灾情况、拟救助标准、监督举报电话）</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86" w:type="dxa"/>
            <w:vMerge w:val="continue"/>
            <w:vAlign w:val="center"/>
          </w:tcPr>
          <w:p>
            <w:pPr>
              <w:widowControl/>
              <w:jc w:val="center"/>
              <w:rPr>
                <w:rFonts w:ascii="Times New Roman" w:hAnsi="Times New Roman" w:eastAsia="黑体" w:cs="宋体"/>
                <w:kern w:val="0"/>
                <w:sz w:val="22"/>
              </w:rPr>
            </w:pPr>
          </w:p>
        </w:tc>
        <w:tc>
          <w:tcPr>
            <w:tcW w:w="172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noWrap/>
            <w:vAlign w:val="center"/>
          </w:tcPr>
          <w:p>
            <w:pPr>
              <w:jc w:val="center"/>
              <w:rPr>
                <w:rFonts w:ascii="Times New Roman" w:hAnsi="Times New Roman" w:eastAsia="仿宋_GB2312"/>
                <w:sz w:val="18"/>
                <w:szCs w:val="18"/>
              </w:rPr>
            </w:pPr>
          </w:p>
        </w:tc>
        <w:tc>
          <w:tcPr>
            <w:tcW w:w="663" w:type="dxa"/>
            <w:vMerge w:val="continue"/>
            <w:noWrap/>
            <w:vAlign w:val="center"/>
          </w:tcPr>
          <w:p>
            <w:pPr>
              <w:spacing w:line="300" w:lineRule="exact"/>
              <w:jc w:val="center"/>
              <w:rPr>
                <w:rFonts w:ascii="Times New Roman" w:hAnsi="Times New Roman" w:eastAsia="仿宋_GB2312"/>
                <w:sz w:val="18"/>
                <w:szCs w:val="18"/>
              </w:rPr>
            </w:pP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eastAsia="zh-CN"/>
        </w:rPr>
        <w:t>一</w:t>
      </w:r>
      <w:r>
        <w:rPr>
          <w:rFonts w:hint="eastAsia" w:ascii="方正小标宋_GBK" w:hAnsi="方正小标宋_GBK" w:eastAsia="方正小标宋_GBK"/>
          <w:sz w:val="30"/>
        </w:rPr>
        <w:t>）公共资源交易领域基层政务公开标准目录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942"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16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黑体" w:hAnsi="宋体" w:eastAsia="黑体" w:cs="宋体"/>
                <w:kern w:val="0"/>
                <w:sz w:val="22"/>
              </w:rPr>
            </w:pPr>
          </w:p>
        </w:tc>
        <w:tc>
          <w:tcPr>
            <w:tcW w:w="1042"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900"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160" w:type="dxa"/>
            <w:vMerge w:val="continue"/>
            <w:vAlign w:val="center"/>
          </w:tcPr>
          <w:p>
            <w:pPr>
              <w:widowControl/>
              <w:jc w:val="center"/>
              <w:rPr>
                <w:rFonts w:ascii="黑体" w:hAnsi="宋体" w:eastAsia="黑体" w:cs="宋体"/>
                <w:kern w:val="0"/>
                <w:sz w:val="22"/>
              </w:rPr>
            </w:pPr>
          </w:p>
        </w:tc>
        <w:tc>
          <w:tcPr>
            <w:tcW w:w="2520"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153"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noWrap/>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审批核准信息</w:t>
            </w:r>
          </w:p>
        </w:tc>
        <w:tc>
          <w:tcPr>
            <w:tcW w:w="216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招标内容、招标范围、招标组织形式、招标方式、招标估算金额、招标事项审核或核准部门。</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1042" w:type="dxa"/>
            <w:noWrap/>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资格预审公告</w:t>
            </w:r>
          </w:p>
        </w:tc>
        <w:tc>
          <w:tcPr>
            <w:tcW w:w="216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招标公告</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中标候选人公示</w:t>
            </w:r>
          </w:p>
        </w:tc>
        <w:tc>
          <w:tcPr>
            <w:tcW w:w="216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pPr>
              <w:jc w:val="left"/>
              <w:rPr>
                <w:rFonts w:ascii="Times New Roman" w:hAnsi="Times New Roman" w:eastAsia="仿宋_GB2312"/>
                <w:sz w:val="18"/>
                <w:szCs w:val="18"/>
              </w:rPr>
            </w:pPr>
            <w:r>
              <w:rPr>
                <w:rFonts w:hint="eastAsia" w:ascii="Times New Roman" w:hAnsi="Times New Roman" w:eastAsia="仿宋_GB2312"/>
                <w:sz w:val="18"/>
                <w:szCs w:val="18"/>
              </w:rPr>
              <w:t>招标文件规定公示的其他内容。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招标人或者其委托的招标代理机构</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中标结果</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招标项目名称、中标人名称、中标价、工期、项目负责人、中标内容。</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资格预审文件、招标文件澄清或修改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招标公告和公示信息澄清、修改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《招标公告和公示信息发布管理办法》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市场主体信用信息</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《中华人民共和国行政处罚法》、《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bl>
    <w:p>
      <w:pPr>
        <w:pStyle w:val="2"/>
        <w:jc w:val="center"/>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eastAsia="zh-CN"/>
        </w:rPr>
        <w:t>二</w:t>
      </w:r>
      <w:r>
        <w:rPr>
          <w:rFonts w:hint="eastAsia" w:ascii="Times New Roman" w:hAnsi="Times New Roman" w:eastAsia="方正小标宋_GBK"/>
          <w:sz w:val="30"/>
        </w:rPr>
        <w:t>）财政预决算领域基层政务公开标准目录</w:t>
      </w:r>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1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76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301"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5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0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106" w:type="dxa"/>
            <w:vMerge w:val="continue"/>
            <w:vAlign w:val="center"/>
          </w:tcPr>
          <w:p>
            <w:pPr>
              <w:widowControl/>
              <w:jc w:val="center"/>
              <w:rPr>
                <w:rFonts w:ascii="Times New Roman" w:hAnsi="Times New Roman" w:eastAsia="黑体" w:cs="宋体"/>
                <w:kern w:val="0"/>
                <w:sz w:val="22"/>
              </w:rPr>
            </w:pPr>
          </w:p>
        </w:tc>
        <w:tc>
          <w:tcPr>
            <w:tcW w:w="1760" w:type="dxa"/>
            <w:vMerge w:val="continue"/>
            <w:vAlign w:val="center"/>
          </w:tcPr>
          <w:p>
            <w:pPr>
              <w:widowControl/>
              <w:jc w:val="center"/>
              <w:rPr>
                <w:rFonts w:ascii="Times New Roman" w:hAnsi="Times New Roman" w:eastAsia="黑体" w:cs="宋体"/>
                <w:kern w:val="0"/>
                <w:sz w:val="22"/>
              </w:rPr>
            </w:pPr>
          </w:p>
        </w:tc>
        <w:tc>
          <w:tcPr>
            <w:tcW w:w="1356" w:type="dxa"/>
            <w:vMerge w:val="continue"/>
            <w:vAlign w:val="center"/>
          </w:tcPr>
          <w:p>
            <w:pPr>
              <w:widowControl/>
              <w:jc w:val="center"/>
              <w:rPr>
                <w:rFonts w:ascii="Times New Roman" w:hAnsi="Times New Roman" w:eastAsia="黑体" w:cs="宋体"/>
                <w:kern w:val="0"/>
                <w:sz w:val="22"/>
              </w:rPr>
            </w:pPr>
          </w:p>
        </w:tc>
        <w:tc>
          <w:tcPr>
            <w:tcW w:w="1301"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540" w:type="dxa"/>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noWrap/>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部门预算</w:t>
            </w:r>
          </w:p>
        </w:tc>
        <w:tc>
          <w:tcPr>
            <w:tcW w:w="3106"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收支总体情况表：①部门收支总体情况表。②部门收入总体情况表。③部门支出总体情况表。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财政拨款收支情况表：①财政拨款收支情况表。②一般公共预算支出情况表。③一般公共预算基本支出情况表。④一般公共预算“三公”经费支出情况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项目绩效情况表①预算项目绩效目标表②整体支出绩效目标表。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w:t>
            </w:r>
            <w:r>
              <w:rPr>
                <w:rFonts w:ascii="Times New Roman" w:hAnsi="Times New Roman" w:eastAsia="仿宋_GB2312" w:cs="宋体"/>
                <w:sz w:val="18"/>
                <w:szCs w:val="18"/>
              </w:rPr>
              <w:t>,</w:t>
            </w:r>
            <w:r>
              <w:rPr>
                <w:rFonts w:hint="eastAsia" w:ascii="Times New Roman" w:hAnsi="Times New Roman" w:eastAsia="仿宋_GB2312" w:cs="宋体"/>
                <w:sz w:val="18"/>
                <w:szCs w:val="18"/>
              </w:rPr>
              <w:t>“公务用车购置及运行费”应当细化到“公务用车购置费”“公务用车运行费”两个项目，并对增减变化情况进行说明。</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预算收支增减变化、机关运行经费安排以及政府采购（主要包括部门政府采购预算总金额和货物、工程、服务采购的预算金额）等情况的说明，并对专业性较强的名词进行解释。结合工作进展情况，逐步公开国有资产占用、重点项目预算的绩效目标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《中华人民共和国预算法》、《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的通知》等法律法规和文件规定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乔口镇</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乔口镇财务公开</w:t>
            </w:r>
          </w:p>
          <w:p>
            <w:pPr>
              <w:jc w:val="left"/>
              <w:rPr>
                <w:rFonts w:hint="eastAsia" w:ascii="仿宋_GB2312" w:hAnsi="仿宋" w:eastAsia="仿宋_GB2312"/>
                <w:sz w:val="18"/>
                <w:szCs w:val="18"/>
              </w:rPr>
            </w:pPr>
            <w:r>
              <w:rPr>
                <w:rFonts w:hint="eastAsia" w:ascii="Times New Roman" w:hAnsi="Times New Roman" w:eastAsia="仿宋_GB2312"/>
                <w:sz w:val="18"/>
                <w:szCs w:val="18"/>
                <w:lang w:eastAsia="zh-CN"/>
              </w:rPr>
              <w:t>栏</w:t>
            </w:r>
          </w:p>
        </w:tc>
        <w:tc>
          <w:tcPr>
            <w:tcW w:w="573"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noWrap/>
            <w:vAlign w:val="center"/>
          </w:tcPr>
          <w:p>
            <w:pPr>
              <w:tabs>
                <w:tab w:val="left" w:pos="201"/>
              </w:tabs>
              <w:jc w:val="left"/>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pPr>
              <w:jc w:val="center"/>
              <w:rPr>
                <w:rFonts w:ascii="Times New Roman" w:hAnsi="Times New Roman" w:eastAsia="仿宋_GB2312" w:cs="宋体"/>
                <w:sz w:val="18"/>
                <w:szCs w:val="18"/>
              </w:rPr>
            </w:pPr>
            <w:r>
              <w:rPr>
                <w:rFonts w:ascii="仿宋_GB2312" w:hAnsi="宋体" w:eastAsia="仿宋_GB2312"/>
                <w:sz w:val="18"/>
                <w:szCs w:val="18"/>
              </w:rPr>
              <w:t>2</w:t>
            </w:r>
          </w:p>
        </w:tc>
        <w:tc>
          <w:tcPr>
            <w:tcW w:w="540" w:type="dxa"/>
            <w:noWrap/>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部门决算</w:t>
            </w:r>
          </w:p>
        </w:tc>
        <w:tc>
          <w:tcPr>
            <w:tcW w:w="3106"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收支总体情况表：①部门收支总体情况表。②部门收入总体情况表。③部门支出总体情况表。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财政拨款收支情况表：①财政拨款收支总体情况表。②一般公共预算支出情况表。③一般公共预算基本支出情况表。④一般公共预算“三公”经费支出情况表。⑤政府性基金预算支出情况表。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分类项级科目。一般公共预算基本支出</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表公开到经济分类款级科目。</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三公”经费支出表按“因公出国（境）费”“公务用车购置及运行费”“公务接待费”公开，其中，“公务用车购置及运行费”应当细化到“公务用车购置费”“公务用车运行费”两个项目，并对增减变化情况（与预算对比）进行说明。</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决算收支增减变化、机关运行经费安排以及政府采购（主要包括部门政府采购支出总金额，货物、工程、服务的采购金额，授予中小企业的合同金额及占政府采购支出总金额的比重）等情况的说明，并对专业性较强的名词进行解释。结合工作进展情况，逐步公开国有资产占用、绩效评价结果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《中华人民共和国预算法》、《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地方预决算公开操作规程&gt;的通知》等法律法规和文件规定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乔口镇</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乔口镇财务公开栏</w:t>
            </w:r>
          </w:p>
        </w:tc>
        <w:tc>
          <w:tcPr>
            <w:tcW w:w="573"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w:t>
      </w:r>
      <w:r>
        <w:rPr>
          <w:rFonts w:hint="eastAsia" w:ascii="Times New Roman" w:hAnsi="Times New Roman" w:eastAsia="方正小标宋_GBK"/>
          <w:sz w:val="30"/>
          <w:lang w:eastAsia="zh-CN"/>
        </w:rPr>
        <w:t>三</w:t>
      </w:r>
      <w:r>
        <w:rPr>
          <w:rFonts w:hint="eastAsia" w:ascii="Times New Roman" w:hAnsi="Times New Roman" w:eastAsia="方正小标宋_GBK"/>
          <w:sz w:val="30"/>
        </w:rPr>
        <w:t>）生态环境领域基层政务公开标准目录</w:t>
      </w:r>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06" w:type="dxa"/>
            <w:vMerge w:val="continue"/>
            <w:vAlign w:val="center"/>
          </w:tcPr>
          <w:p>
            <w:pPr>
              <w:widowControl/>
              <w:jc w:val="center"/>
              <w:rPr>
                <w:rFonts w:ascii="Times New Roman" w:hAnsi="Times New Roman" w:eastAsia="黑体" w:cs="宋体"/>
                <w:kern w:val="0"/>
                <w:sz w:val="22"/>
              </w:rPr>
            </w:pPr>
          </w:p>
        </w:tc>
        <w:tc>
          <w:tcPr>
            <w:tcW w:w="180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09" w:type="dxa"/>
            <w:vMerge w:val="restart"/>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noWrap/>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pPr>
              <w:rPr>
                <w:rFonts w:ascii="Times New Roman" w:hAnsi="Times New Roman" w:eastAsia="仿宋_GB2312" w:cs="宋体"/>
                <w:sz w:val="18"/>
                <w:szCs w:val="18"/>
              </w:rPr>
            </w:pPr>
          </w:p>
        </w:tc>
        <w:tc>
          <w:tcPr>
            <w:tcW w:w="1620" w:type="dxa"/>
            <w:vMerge w:val="continue"/>
            <w:vAlign w:val="center"/>
          </w:tcPr>
          <w:p>
            <w:pPr>
              <w:rPr>
                <w:rFonts w:ascii="Times New Roman" w:hAnsi="Times New Roman" w:eastAsia="仿宋_GB2312" w:cs="宋体"/>
                <w:sz w:val="18"/>
                <w:szCs w:val="18"/>
              </w:rPr>
            </w:pPr>
          </w:p>
        </w:tc>
        <w:tc>
          <w:tcPr>
            <w:tcW w:w="1506" w:type="dxa"/>
            <w:vMerge w:val="continue"/>
            <w:vAlign w:val="center"/>
          </w:tcPr>
          <w:p>
            <w:pPr>
              <w:jc w:val="center"/>
              <w:rPr>
                <w:rFonts w:ascii="Times New Roman" w:hAnsi="Times New Roman" w:eastAsia="仿宋_GB2312" w:cs="宋体"/>
                <w:sz w:val="18"/>
                <w:szCs w:val="18"/>
              </w:rPr>
            </w:pPr>
          </w:p>
        </w:tc>
        <w:tc>
          <w:tcPr>
            <w:tcW w:w="1809" w:type="dxa"/>
            <w:vMerge w:val="continue"/>
            <w:vAlign w:val="center"/>
          </w:tcPr>
          <w:p>
            <w:pPr>
              <w:jc w:val="left"/>
              <w:rPr>
                <w:rFonts w:ascii="Times New Roman" w:hAnsi="Times New Roman" w:eastAsia="仿宋_GB2312" w:cs="宋体"/>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》、《环境信访办法》</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pPr>
              <w:rPr>
                <w:rFonts w:ascii="Times New Roman" w:hAnsi="Times New Roman" w:eastAsia="仿宋_GB2312" w:cs="宋体"/>
                <w:sz w:val="18"/>
                <w:szCs w:val="18"/>
              </w:rPr>
            </w:pP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bl>
    <w:p>
      <w:pPr>
        <w:rPr>
          <w:rFonts w:ascii="Times New Roman" w:hAnsi="Times New Roman" w:eastAsia="方正小标宋_GBK"/>
          <w:b/>
          <w:bCs/>
          <w:sz w:val="30"/>
        </w:rPr>
      </w:pPr>
    </w:p>
    <w:bookmarkEnd w:id="0"/>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eastAsia="zh-CN"/>
        </w:rPr>
        <w:t>四</w:t>
      </w:r>
      <w:r>
        <w:rPr>
          <w:rFonts w:hint="eastAsia" w:ascii="方正小标宋_GBK" w:hAnsi="方正小标宋_GBK" w:eastAsia="方正小标宋_GBK"/>
          <w:sz w:val="30"/>
        </w:rPr>
        <w:t>）涉农补贴领域基层政务公开标准目录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noWrap/>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乔口镇农业综合服务中心</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noWrap/>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乔口镇农业综合服务中心</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pPr>
              <w:widowControl/>
              <w:jc w:val="center"/>
              <w:rPr>
                <w:rFonts w:ascii="Times New Roman" w:hAnsi="Times New Roman" w:eastAsia="仿宋_GB2312" w:cs="仿宋_GB2312"/>
                <w:kern w:val="0"/>
                <w:sz w:val="18"/>
                <w:szCs w:val="18"/>
              </w:rPr>
            </w:pPr>
          </w:p>
        </w:tc>
        <w:tc>
          <w:tcPr>
            <w:tcW w:w="234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《中华人民共和国农业机械化促进法》、《农业生产发展资金管理办法》、《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乔口镇农业综合服务中心</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乔口镇农业综合服务中心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eastAsia="zh-CN"/>
        </w:rPr>
        <w:t>五</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noWrap/>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乔口镇</w:t>
            </w:r>
          </w:p>
        </w:tc>
        <w:tc>
          <w:tcPr>
            <w:tcW w:w="1840"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noWrap/>
            <w:vAlign w:val="center"/>
          </w:tcPr>
          <w:p>
            <w:pPr>
              <w:jc w:val="center"/>
              <w:rPr>
                <w:rFonts w:ascii="Times New Roman" w:hAnsi="Times New Roman" w:eastAsia="仿宋"/>
                <w:sz w:val="30"/>
                <w:szCs w:val="30"/>
              </w:rPr>
            </w:pPr>
          </w:p>
        </w:tc>
        <w:tc>
          <w:tcPr>
            <w:tcW w:w="518"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noWrap/>
            <w:vAlign w:val="center"/>
          </w:tcPr>
          <w:p>
            <w:pPr>
              <w:jc w:val="center"/>
              <w:rPr>
                <w:rFonts w:ascii="Times New Roman" w:hAnsi="Times New Roman" w:eastAsia="仿宋"/>
                <w:sz w:val="30"/>
                <w:szCs w:val="30"/>
              </w:rPr>
            </w:pPr>
          </w:p>
        </w:tc>
        <w:tc>
          <w:tcPr>
            <w:tcW w:w="72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noWrap/>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pPr>
              <w:rPr>
                <w:rFonts w:ascii="Times New Roman" w:hAnsi="Times New Roman" w:eastAsia="仿宋_GB2312"/>
                <w:sz w:val="18"/>
                <w:szCs w:val="18"/>
              </w:rPr>
            </w:pP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乔口镇</w:t>
            </w:r>
          </w:p>
        </w:tc>
        <w:tc>
          <w:tcPr>
            <w:tcW w:w="1840" w:type="dxa"/>
            <w:vAlign w:val="center"/>
          </w:tcPr>
          <w:p>
            <w:pPr>
              <w:jc w:val="left"/>
              <w:rPr>
                <w:rFonts w:hint="default" w:ascii="Times New Roman" w:hAnsi="Times New Roman" w:eastAsia="仿宋_GB2312"/>
                <w:sz w:val="18"/>
                <w:szCs w:val="18"/>
                <w:lang w:val="en-US"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乔口镇卫生院</w:t>
            </w:r>
          </w:p>
        </w:tc>
        <w:tc>
          <w:tcPr>
            <w:tcW w:w="573" w:type="dxa"/>
            <w:vAlign w:val="center"/>
          </w:tcPr>
          <w:p>
            <w:pPr>
              <w:jc w:val="center"/>
              <w:rPr>
                <w:rFonts w:ascii="Times New Roman" w:hAnsi="Times New Roman" w:eastAsia="仿宋"/>
                <w:sz w:val="30"/>
                <w:szCs w:val="30"/>
              </w:rPr>
            </w:pP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rPr>
      </w:pPr>
    </w:p>
    <w:p>
      <w:pPr>
        <w:pStyle w:val="2"/>
        <w:jc w:val="center"/>
        <w:rPr>
          <w:rFonts w:ascii="方正小标宋_GBK" w:hAnsi="方正小标宋_GBK" w:eastAsia="方正小标宋_GBK"/>
          <w:sz w:val="30"/>
        </w:rPr>
      </w:pPr>
      <w:r>
        <w:rPr>
          <w:rFonts w:ascii="Times New Roman" w:hAnsi="Times New Roman" w:cs="宋体"/>
          <w:sz w:val="28"/>
          <w:szCs w:val="32"/>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eastAsia="zh-CN"/>
        </w:rPr>
        <w:t>六</w:t>
      </w:r>
      <w:r>
        <w:rPr>
          <w:rFonts w:hint="eastAsia" w:ascii="方正小标宋_GBK" w:hAnsi="方正小标宋_GBK" w:eastAsia="方正小标宋_GBK"/>
          <w:sz w:val="30"/>
        </w:rPr>
        <w:t>）水利领域基层政务公开标准目录</w:t>
      </w:r>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pPr>
              <w:widowControl/>
              <w:jc w:val="center"/>
              <w:rPr>
                <w:rFonts w:ascii="黑体" w:hAnsi="宋体" w:eastAsia="黑体" w:cs="宋体"/>
                <w:color w:val="000000"/>
                <w:kern w:val="0"/>
                <w:sz w:val="22"/>
              </w:rPr>
            </w:pPr>
          </w:p>
        </w:tc>
        <w:tc>
          <w:tcPr>
            <w:tcW w:w="67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pPr>
              <w:widowControl/>
              <w:jc w:val="center"/>
              <w:rPr>
                <w:rFonts w:ascii="黑体" w:hAnsi="宋体" w:eastAsia="黑体" w:cs="宋体"/>
                <w:color w:val="000000"/>
                <w:kern w:val="0"/>
                <w:sz w:val="22"/>
              </w:rPr>
            </w:pPr>
          </w:p>
        </w:tc>
        <w:tc>
          <w:tcPr>
            <w:tcW w:w="1788" w:type="dxa"/>
            <w:vMerge w:val="continue"/>
            <w:vAlign w:val="center"/>
          </w:tcPr>
          <w:p>
            <w:pPr>
              <w:widowControl/>
              <w:jc w:val="center"/>
              <w:rPr>
                <w:rFonts w:ascii="黑体" w:hAnsi="宋体" w:eastAsia="黑体" w:cs="宋体"/>
                <w:color w:val="000000"/>
                <w:kern w:val="0"/>
                <w:sz w:val="22"/>
              </w:rPr>
            </w:pPr>
          </w:p>
        </w:tc>
        <w:tc>
          <w:tcPr>
            <w:tcW w:w="1244" w:type="dxa"/>
            <w:vMerge w:val="continue"/>
            <w:vAlign w:val="center"/>
          </w:tcPr>
          <w:p>
            <w:pPr>
              <w:widowControl/>
              <w:jc w:val="center"/>
              <w:rPr>
                <w:rFonts w:ascii="黑体" w:hAnsi="宋体" w:eastAsia="黑体" w:cs="宋体"/>
                <w:color w:val="000000"/>
                <w:kern w:val="0"/>
                <w:sz w:val="22"/>
              </w:rPr>
            </w:pPr>
          </w:p>
        </w:tc>
        <w:tc>
          <w:tcPr>
            <w:tcW w:w="1475" w:type="dxa"/>
            <w:vMerge w:val="continue"/>
            <w:vAlign w:val="center"/>
          </w:tcPr>
          <w:p>
            <w:pPr>
              <w:widowControl/>
              <w:jc w:val="center"/>
              <w:rPr>
                <w:rFonts w:ascii="黑体" w:hAnsi="宋体" w:eastAsia="黑体" w:cs="宋体"/>
                <w:color w:val="000000"/>
                <w:kern w:val="0"/>
                <w:sz w:val="22"/>
              </w:rPr>
            </w:pPr>
          </w:p>
        </w:tc>
        <w:tc>
          <w:tcPr>
            <w:tcW w:w="1840" w:type="dxa"/>
            <w:vMerge w:val="continue"/>
            <w:vAlign w:val="center"/>
          </w:tcPr>
          <w:p>
            <w:pPr>
              <w:widowControl/>
              <w:jc w:val="center"/>
              <w:rPr>
                <w:rFonts w:ascii="黑体" w:hAnsi="宋体" w:eastAsia="黑体" w:cs="宋体"/>
                <w:color w:val="000000"/>
                <w:kern w:val="0"/>
                <w:sz w:val="22"/>
              </w:rPr>
            </w:pPr>
          </w:p>
        </w:tc>
        <w:tc>
          <w:tcPr>
            <w:tcW w:w="778"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《大中型水利水电工程征地补偿和移民安置条例》《新增大中型水库农村移民后期扶持人口核定登记办法》</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乔口镇</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乔口镇</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3</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水域岸线管理</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河湖管理范围</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《中华人民共和国长江保护法》《关于全面推行河长制的意见》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lang w:val="en-US" w:eastAsia="zh-CN"/>
              </w:rPr>
              <w:t>县</w:t>
            </w:r>
            <w:r>
              <w:rPr>
                <w:rFonts w:hint="eastAsia" w:ascii="仿宋_GB2312" w:hAnsi="仿宋" w:eastAsia="仿宋_GB2312" w:cs="宋体"/>
                <w:sz w:val="18"/>
                <w:szCs w:val="18"/>
              </w:rPr>
              <w:t>级人民政府、河湖长制工作机构</w:t>
            </w:r>
          </w:p>
        </w:tc>
        <w:tc>
          <w:tcPr>
            <w:tcW w:w="1840" w:type="dxa"/>
            <w:vAlign w:val="center"/>
          </w:tcPr>
          <w:p>
            <w:pPr>
              <w:jc w:val="left"/>
              <w:rPr>
                <w:rFonts w:ascii="仿宋_GB2312" w:hAnsi="宋体" w:eastAsia="仿宋_GB2312"/>
                <w:color w:val="000000"/>
                <w:sz w:val="18"/>
                <w:szCs w:val="18"/>
              </w:rPr>
            </w:pPr>
            <w:r>
              <w:rPr>
                <w:rFonts w:hint="eastAsia" w:ascii="仿宋_GB2312" w:hAnsi="仿宋" w:eastAsia="仿宋_GB2312"/>
                <w:color w:val="000000"/>
                <w:sz w:val="18"/>
                <w:szCs w:val="18"/>
              </w:rPr>
              <w:t>■政府网站</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4</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水旱灾害防御</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水旱灾害防御</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山洪灾害预警信息</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《水利部水旱灾害防御应急响应工作规程》</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个工作日内，或按照行业有关规定</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rPr>
              <w:t>县级人民政府水行政主管部门</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bl>
    <w:p>
      <w:pPr>
        <w:rPr>
          <w:rFonts w:ascii="Times New Roman" w:hAnsi="Times New Roman" w:cs="宋体"/>
          <w:sz w:val="28"/>
          <w:szCs w:val="32"/>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FgAAAGRycy9QSwECFAAUAAAACACHTuJAs0lY7tAAAAAFAQAADwAAAAAAAAABACAA&#10;AAA4AAAAZHJzL2Rvd25yZXYueG1sUEsBAhQAFAAAAAgAh07iQP8/A0c4AgAAbwQAAA4AAAAAAAAA&#10;AQAgAAAANQEAAGRycy9lMm9Eb2MueG1sUEsFBgAAAAAGAAYAWQEAAN8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MDAxODFhMzY1YjBjYmZiNjE0OTI2NzJhNzY1MWIifQ=="/>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805369"/>
    <w:rsid w:val="10C5422A"/>
    <w:rsid w:val="11CB5B13"/>
    <w:rsid w:val="122662D6"/>
    <w:rsid w:val="12D22C2E"/>
    <w:rsid w:val="134F0723"/>
    <w:rsid w:val="13927977"/>
    <w:rsid w:val="15080B89"/>
    <w:rsid w:val="1593695D"/>
    <w:rsid w:val="159B7C4F"/>
    <w:rsid w:val="162023F7"/>
    <w:rsid w:val="162F68C6"/>
    <w:rsid w:val="163F4A7E"/>
    <w:rsid w:val="164B3423"/>
    <w:rsid w:val="17606A5A"/>
    <w:rsid w:val="176C402D"/>
    <w:rsid w:val="17885FB1"/>
    <w:rsid w:val="17D22226"/>
    <w:rsid w:val="19C940FE"/>
    <w:rsid w:val="19F45B80"/>
    <w:rsid w:val="1AD82DAC"/>
    <w:rsid w:val="1ADC2A3A"/>
    <w:rsid w:val="1B99078D"/>
    <w:rsid w:val="1BA1210E"/>
    <w:rsid w:val="1BB20898"/>
    <w:rsid w:val="1C56042C"/>
    <w:rsid w:val="1C96295C"/>
    <w:rsid w:val="1ECF44C6"/>
    <w:rsid w:val="1EDD6E46"/>
    <w:rsid w:val="1EE56364"/>
    <w:rsid w:val="1F2A10F2"/>
    <w:rsid w:val="1F9A5250"/>
    <w:rsid w:val="1FAF6633"/>
    <w:rsid w:val="21961C5D"/>
    <w:rsid w:val="22695E7F"/>
    <w:rsid w:val="227C0724"/>
    <w:rsid w:val="23355468"/>
    <w:rsid w:val="238B4E5F"/>
    <w:rsid w:val="2413693F"/>
    <w:rsid w:val="244B445E"/>
    <w:rsid w:val="24FF6CC4"/>
    <w:rsid w:val="26EA0D99"/>
    <w:rsid w:val="27321A96"/>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D050B8"/>
    <w:rsid w:val="32F32A21"/>
    <w:rsid w:val="332F60A6"/>
    <w:rsid w:val="34000D04"/>
    <w:rsid w:val="34632299"/>
    <w:rsid w:val="35F5085E"/>
    <w:rsid w:val="363766AB"/>
    <w:rsid w:val="36654BDA"/>
    <w:rsid w:val="37785291"/>
    <w:rsid w:val="3A65594E"/>
    <w:rsid w:val="3CCA47F2"/>
    <w:rsid w:val="3D9F7A2D"/>
    <w:rsid w:val="3DA13720"/>
    <w:rsid w:val="3E595E2E"/>
    <w:rsid w:val="3E707DF9"/>
    <w:rsid w:val="3E7E2A01"/>
    <w:rsid w:val="3F002817"/>
    <w:rsid w:val="3F081602"/>
    <w:rsid w:val="3FD73107"/>
    <w:rsid w:val="3FEF3C18"/>
    <w:rsid w:val="40612931"/>
    <w:rsid w:val="418C1851"/>
    <w:rsid w:val="42087277"/>
    <w:rsid w:val="420F4DA4"/>
    <w:rsid w:val="442C18EF"/>
    <w:rsid w:val="449556E6"/>
    <w:rsid w:val="44F3065E"/>
    <w:rsid w:val="461B6DA9"/>
    <w:rsid w:val="47017063"/>
    <w:rsid w:val="478101A3"/>
    <w:rsid w:val="4A597367"/>
    <w:rsid w:val="4B0A61DF"/>
    <w:rsid w:val="4BE2171F"/>
    <w:rsid w:val="4C5A0A02"/>
    <w:rsid w:val="4C9821F2"/>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2EE3882"/>
    <w:rsid w:val="631D6B7A"/>
    <w:rsid w:val="632F68AE"/>
    <w:rsid w:val="66B13E50"/>
    <w:rsid w:val="6700768C"/>
    <w:rsid w:val="675039C2"/>
    <w:rsid w:val="69AC6EAA"/>
    <w:rsid w:val="69BA3375"/>
    <w:rsid w:val="6A6634FD"/>
    <w:rsid w:val="6A6E5F0E"/>
    <w:rsid w:val="6B5F343C"/>
    <w:rsid w:val="6C042FCD"/>
    <w:rsid w:val="6C316BC0"/>
    <w:rsid w:val="6C76696C"/>
    <w:rsid w:val="6D5793B5"/>
    <w:rsid w:val="6DE519CE"/>
    <w:rsid w:val="6E5518BE"/>
    <w:rsid w:val="6E7D223A"/>
    <w:rsid w:val="6EAE7733"/>
    <w:rsid w:val="70B00B9F"/>
    <w:rsid w:val="728B1DE3"/>
    <w:rsid w:val="73AB4046"/>
    <w:rsid w:val="73DE2130"/>
    <w:rsid w:val="757B56BE"/>
    <w:rsid w:val="75AB6C03"/>
    <w:rsid w:val="75AE7B06"/>
    <w:rsid w:val="764F1EFE"/>
    <w:rsid w:val="766C72A0"/>
    <w:rsid w:val="780E7294"/>
    <w:rsid w:val="786F5C73"/>
    <w:rsid w:val="78B7772F"/>
    <w:rsid w:val="78FF5F51"/>
    <w:rsid w:val="793C36C0"/>
    <w:rsid w:val="79E87084"/>
    <w:rsid w:val="7AF34939"/>
    <w:rsid w:val="7BDC361F"/>
    <w:rsid w:val="7C240B22"/>
    <w:rsid w:val="7CA773FF"/>
    <w:rsid w:val="7D1564DB"/>
    <w:rsid w:val="7D246627"/>
    <w:rsid w:val="7D3D633F"/>
    <w:rsid w:val="7D672A72"/>
    <w:rsid w:val="7DFF04BF"/>
    <w:rsid w:val="7E4F167C"/>
    <w:rsid w:val="7E926217"/>
    <w:rsid w:val="7ED2503F"/>
    <w:rsid w:val="7F0A04A3"/>
    <w:rsid w:val="7F484B27"/>
    <w:rsid w:val="7F741D29"/>
    <w:rsid w:val="7F9E8D00"/>
    <w:rsid w:val="7FFFA428"/>
    <w:rsid w:val="8DBEF1D0"/>
    <w:rsid w:val="ABF977F0"/>
    <w:rsid w:val="BFDDAB09"/>
    <w:rsid w:val="DFDBC3F1"/>
    <w:rsid w:val="DFEF562A"/>
    <w:rsid w:val="ECCEA7A1"/>
    <w:rsid w:val="EFAE7AE3"/>
    <w:rsid w:val="F7FFFC0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41</Pages>
  <Words>18843</Words>
  <Characters>19658</Characters>
  <Lines>0</Lines>
  <Paragraphs>0</Paragraphs>
  <TotalTime>356</TotalTime>
  <ScaleCrop>false</ScaleCrop>
  <LinksUpToDate>false</LinksUpToDate>
  <CharactersWithSpaces>22739</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2023-09-23T00:28:00Z</dcterms:created>
  <dc:creator>Administrator</dc:creator>
  <cp:lastModifiedBy>kylin</cp:lastModifiedBy>
  <cp:lastPrinted>2025-01-03T00:40:00Z</cp:lastPrinted>
  <dcterms:modified xsi:type="dcterms:W3CDTF">2025-05-08T14:30:42Z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2052-11.8.2.1130</vt:lpwstr>
  </property>
  <property fmtid="{D5CDD505-2E9C-101B-9397-08002B2CF9AE}" pid="3" name="ICV">
    <vt:lpwstr>9139EE63AEE171A6BD97776766590325</vt:lpwstr>
  </property>
</Properties>
</file>