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sz w:val="30"/>
          <w:szCs w:val="30"/>
        </w:rPr>
      </w:pPr>
      <w:r>
        <w:rPr>
          <w:rFonts w:ascii="Arial" w:hAnsi="Arial" w:cs="Arial" w:eastAsiaTheme="minorEastAsia"/>
          <w:b/>
          <w:bCs/>
          <w:caps/>
          <w:kern w:val="2"/>
          <w:lang w:val="zh-CN"/>
        </w:rPr>
        <w:tab/>
      </w:r>
    </w:p>
    <w:p>
      <w:pPr>
        <w:jc w:val="center"/>
        <w:rPr>
          <w:rFonts w:ascii="仿宋" w:hAnsi="仿宋" w:eastAsia="仿宋"/>
          <w:sz w:val="30"/>
          <w:szCs w:val="30"/>
        </w:rPr>
      </w:pPr>
    </w:p>
    <w:p>
      <w:pPr>
        <w:jc w:val="center"/>
        <w:rPr>
          <w:rFonts w:ascii="仿宋" w:hAnsi="仿宋" w:eastAsia="仿宋"/>
          <w:sz w:val="44"/>
          <w:szCs w:val="44"/>
        </w:rPr>
      </w:pPr>
      <w:bookmarkStart w:id="164" w:name="_GoBack"/>
      <w:bookmarkEnd w:id="164"/>
    </w:p>
    <w:p>
      <w:pPr>
        <w:jc w:val="center"/>
        <w:rPr>
          <w:rFonts w:ascii="黑体" w:hAnsi="黑体" w:eastAsia="黑体"/>
          <w:b/>
          <w:bCs/>
          <w:sz w:val="36"/>
          <w:szCs w:val="36"/>
        </w:rPr>
      </w:pPr>
      <w:r>
        <w:rPr>
          <w:rFonts w:hint="eastAsia" w:ascii="黑体" w:hAnsi="黑体" w:eastAsia="黑体"/>
          <w:b/>
          <w:bCs/>
          <w:sz w:val="36"/>
          <w:szCs w:val="36"/>
        </w:rPr>
        <w:t>望城区“十四五”大数据发展规划</w:t>
      </w: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rFonts w:ascii="仿宋" w:hAnsi="仿宋" w:eastAsia="仿宋"/>
          <w:sz w:val="44"/>
          <w:szCs w:val="44"/>
        </w:rPr>
      </w:pPr>
    </w:p>
    <w:p>
      <w:pPr>
        <w:jc w:val="center"/>
        <w:rPr>
          <w:sz w:val="32"/>
          <w:szCs w:val="32"/>
        </w:rPr>
      </w:pPr>
      <w:r>
        <w:rPr>
          <w:rFonts w:hint="eastAsia"/>
          <w:sz w:val="32"/>
          <w:szCs w:val="32"/>
        </w:rPr>
        <w:t>湖南省邮电规划设计院有限公司编制</w:t>
      </w:r>
    </w:p>
    <w:p>
      <w:pPr>
        <w:jc w:val="center"/>
        <w:rPr>
          <w:sz w:val="32"/>
          <w:szCs w:val="32"/>
        </w:rPr>
        <w:sectPr>
          <w:pgSz w:w="11906" w:h="16838"/>
          <w:pgMar w:top="1440" w:right="1800" w:bottom="1440" w:left="1800" w:header="851" w:footer="992" w:gutter="0"/>
          <w:cols w:space="425" w:num="1"/>
          <w:docGrid w:type="lines" w:linePitch="312" w:charSpace="0"/>
        </w:sectPr>
      </w:pPr>
      <w:r>
        <w:rPr>
          <w:rFonts w:hint="eastAsia"/>
          <w:sz w:val="32"/>
          <w:szCs w:val="32"/>
        </w:rPr>
        <w:t>2</w:t>
      </w:r>
      <w:r>
        <w:rPr>
          <w:sz w:val="32"/>
          <w:szCs w:val="32"/>
        </w:rPr>
        <w:t>02</w:t>
      </w:r>
      <w:r>
        <w:rPr>
          <w:rFonts w:hint="eastAsia"/>
          <w:sz w:val="32"/>
          <w:szCs w:val="32"/>
        </w:rPr>
        <w:t>1年7月</w:t>
      </w:r>
    </w:p>
    <w:p>
      <w:pPr>
        <w:adjustRightInd w:val="0"/>
        <w:spacing w:line="600" w:lineRule="exact"/>
        <w:textAlignment w:val="baseline"/>
        <w:rPr>
          <w:rFonts w:cs="Times New Roman"/>
          <w:color w:val="000000"/>
          <w:sz w:val="32"/>
        </w:rPr>
      </w:pPr>
    </w:p>
    <w:p>
      <w:pPr>
        <w:adjustRightInd w:val="0"/>
        <w:spacing w:line="600" w:lineRule="exact"/>
        <w:textAlignment w:val="baseline"/>
        <w:rPr>
          <w:rFonts w:cs="Times New Roman"/>
          <w:color w:val="000000"/>
          <w:sz w:val="32"/>
        </w:rPr>
      </w:pPr>
    </w:p>
    <w:p>
      <w:pPr>
        <w:adjustRightInd w:val="0"/>
        <w:spacing w:line="600" w:lineRule="exact"/>
        <w:textAlignment w:val="baseline"/>
        <w:rPr>
          <w:rFonts w:cs="Times New Roman"/>
          <w:color w:val="000000"/>
          <w:sz w:val="32"/>
        </w:rPr>
      </w:pPr>
    </w:p>
    <w:p>
      <w:pPr>
        <w:adjustRightInd w:val="0"/>
        <w:spacing w:line="600" w:lineRule="exact"/>
        <w:textAlignment w:val="baseline"/>
        <w:rPr>
          <w:rFonts w:cs="Times New Roman"/>
          <w:color w:val="000000"/>
          <w:sz w:val="32"/>
        </w:rPr>
      </w:pPr>
    </w:p>
    <w:p>
      <w:pPr>
        <w:spacing w:line="600" w:lineRule="exact"/>
        <w:ind w:firstLine="510"/>
        <w:jc w:val="center"/>
        <w:rPr>
          <w:rFonts w:ascii="Arial" w:hAnsi="Arial" w:eastAsia="黑体" w:cs="Times New Roman"/>
          <w:b/>
          <w:sz w:val="36"/>
        </w:rPr>
      </w:pPr>
      <w:r>
        <w:rPr>
          <w:rFonts w:hint="eastAsia" w:ascii="Arial" w:hAnsi="Arial" w:eastAsia="黑体" w:cs="Times New Roman"/>
          <w:b/>
          <w:sz w:val="36"/>
        </w:rPr>
        <w:t>望城区“十四五”大数据发展规划</w:t>
      </w:r>
    </w:p>
    <w:p>
      <w:pPr>
        <w:spacing w:line="600" w:lineRule="exact"/>
        <w:ind w:firstLine="510"/>
        <w:jc w:val="center"/>
        <w:rPr>
          <w:rFonts w:ascii="Arial" w:hAnsi="Arial" w:cs="Times New Roman"/>
          <w:b/>
          <w:sz w:val="36"/>
        </w:rPr>
      </w:pPr>
      <w:r>
        <w:rPr>
          <w:rFonts w:hint="eastAsia" w:ascii="Arial" w:hAnsi="黑体" w:eastAsia="黑体" w:cs="Times New Roman"/>
          <w:b/>
          <w:spacing w:val="20"/>
          <w:sz w:val="36"/>
        </w:rPr>
        <w:t>全一册</w:t>
      </w:r>
    </w:p>
    <w:p>
      <w:pPr>
        <w:adjustRightInd w:val="0"/>
        <w:spacing w:line="600" w:lineRule="exact"/>
        <w:ind w:firstLine="510"/>
        <w:jc w:val="center"/>
        <w:textAlignment w:val="baseline"/>
        <w:rPr>
          <w:rFonts w:ascii="Arial" w:hAnsi="Arial" w:cs="Times New Roman"/>
          <w:color w:val="000000"/>
          <w:sz w:val="28"/>
        </w:rPr>
      </w:pPr>
    </w:p>
    <w:p>
      <w:pPr>
        <w:adjustRightInd w:val="0"/>
        <w:spacing w:line="600" w:lineRule="exact"/>
        <w:ind w:firstLine="510"/>
        <w:jc w:val="center"/>
        <w:textAlignment w:val="baseline"/>
        <w:rPr>
          <w:rFonts w:ascii="Arial" w:hAnsi="Arial" w:cs="Times New Roman"/>
          <w:color w:val="000000"/>
          <w:sz w:val="28"/>
        </w:rPr>
      </w:pPr>
    </w:p>
    <w:p>
      <w:pPr>
        <w:adjustRightInd w:val="0"/>
        <w:spacing w:line="600" w:lineRule="exact"/>
        <w:ind w:firstLine="510"/>
        <w:jc w:val="center"/>
        <w:textAlignment w:val="baseline"/>
        <w:rPr>
          <w:rFonts w:ascii="Arial" w:hAnsi="Arial" w:cs="Times New Roman"/>
          <w:color w:val="000000"/>
          <w:sz w:val="28"/>
        </w:rPr>
      </w:pPr>
    </w:p>
    <w:p>
      <w:pPr>
        <w:adjustRightInd w:val="0"/>
        <w:spacing w:line="600" w:lineRule="exact"/>
        <w:ind w:firstLine="510"/>
        <w:jc w:val="center"/>
        <w:textAlignment w:val="baseline"/>
        <w:rPr>
          <w:rFonts w:ascii="Arial" w:hAnsi="Arial" w:cs="Times New Roman"/>
          <w:color w:val="000000"/>
          <w:sz w:val="28"/>
        </w:rPr>
      </w:pPr>
    </w:p>
    <w:p>
      <w:pPr>
        <w:tabs>
          <w:tab w:val="left" w:pos="1512"/>
        </w:tabs>
        <w:adjustRightInd w:val="0"/>
        <w:snapToGrid w:val="0"/>
        <w:spacing w:line="480" w:lineRule="exact"/>
        <w:ind w:firstLine="510"/>
        <w:textAlignment w:val="baseline"/>
        <w:rPr>
          <w:rFonts w:cs="Arial"/>
          <w:color w:val="000000"/>
          <w:sz w:val="28"/>
        </w:rPr>
      </w:pPr>
      <w:r>
        <w:rPr>
          <w:rFonts w:cs="Arial"/>
          <w:color w:val="000000"/>
          <w:sz w:val="28"/>
        </w:rPr>
        <w:tab/>
      </w:r>
    </w:p>
    <w:p>
      <w:pPr>
        <w:tabs>
          <w:tab w:val="left" w:pos="1512"/>
        </w:tabs>
        <w:adjustRightInd w:val="0"/>
        <w:snapToGrid w:val="0"/>
        <w:spacing w:line="480" w:lineRule="exact"/>
        <w:ind w:firstLine="510"/>
        <w:textAlignment w:val="baseline"/>
        <w:rPr>
          <w:rFonts w:cs="Arial"/>
          <w:color w:val="000000"/>
          <w:sz w:val="28"/>
        </w:rPr>
      </w:pPr>
      <w:r>
        <w:rPr>
          <w:rFonts w:hint="eastAsia" w:cs="Arial"/>
          <w:color w:val="000000"/>
          <w:sz w:val="28"/>
        </w:rPr>
        <w:tab/>
      </w:r>
      <w:r>
        <w:rPr>
          <w:rFonts w:cs="Arial"/>
          <w:color w:val="000000"/>
          <w:sz w:val="28"/>
        </w:rPr>
        <w:t>设 计 编 号 ：2</w:t>
      </w:r>
      <w:r>
        <w:rPr>
          <w:rFonts w:hint="eastAsia" w:cs="Arial"/>
          <w:color w:val="000000"/>
          <w:sz w:val="28"/>
        </w:rPr>
        <w:t>0</w:t>
      </w:r>
      <w:r>
        <w:rPr>
          <w:rFonts w:cs="Arial"/>
          <w:color w:val="000000"/>
          <w:sz w:val="28"/>
        </w:rPr>
        <w:t>2</w:t>
      </w:r>
      <w:r>
        <w:rPr>
          <w:rFonts w:hint="eastAsia" w:cs="Arial"/>
          <w:color w:val="000000"/>
          <w:sz w:val="28"/>
        </w:rPr>
        <w:t>1ZC-00030</w:t>
      </w:r>
      <w:r>
        <w:rPr>
          <w:rFonts w:cs="Arial"/>
          <w:color w:val="000000"/>
          <w:sz w:val="28"/>
        </w:rPr>
        <w:t>1</w:t>
      </w:r>
    </w:p>
    <w:p>
      <w:pPr>
        <w:tabs>
          <w:tab w:val="left" w:pos="1512"/>
        </w:tabs>
        <w:adjustRightInd w:val="0"/>
        <w:snapToGrid w:val="0"/>
        <w:spacing w:line="480" w:lineRule="exact"/>
        <w:ind w:firstLine="510"/>
        <w:textAlignment w:val="baseline"/>
        <w:rPr>
          <w:rFonts w:cs="Arial"/>
          <w:color w:val="000000"/>
          <w:sz w:val="28"/>
        </w:rPr>
      </w:pPr>
      <w:r>
        <w:rPr>
          <w:rFonts w:cs="Arial"/>
          <w:color w:val="000000"/>
          <w:sz w:val="28"/>
        </w:rPr>
        <w:tab/>
      </w:r>
      <w:r>
        <w:rPr>
          <w:rFonts w:cs="Arial"/>
          <w:color w:val="000000"/>
          <w:sz w:val="28"/>
        </w:rPr>
        <w:t>建 设 单 位 ：</w:t>
      </w:r>
      <w:r>
        <w:rPr>
          <w:rFonts w:hint="eastAsia" w:cs="Arial"/>
          <w:color w:val="000000"/>
          <w:sz w:val="28"/>
        </w:rPr>
        <w:t>长沙市望城区数据资源中心</w:t>
      </w:r>
    </w:p>
    <w:p>
      <w:pPr>
        <w:tabs>
          <w:tab w:val="left" w:pos="1512"/>
        </w:tabs>
        <w:adjustRightInd w:val="0"/>
        <w:snapToGrid w:val="0"/>
        <w:spacing w:line="480" w:lineRule="exact"/>
        <w:ind w:firstLine="510"/>
        <w:textAlignment w:val="baseline"/>
        <w:rPr>
          <w:rFonts w:cs="Arial"/>
          <w:color w:val="000000"/>
          <w:sz w:val="28"/>
        </w:rPr>
      </w:pPr>
      <w:r>
        <w:rPr>
          <w:rFonts w:cs="Arial"/>
          <w:color w:val="000000"/>
          <w:sz w:val="28"/>
        </w:rPr>
        <w:tab/>
      </w:r>
      <w:r>
        <w:rPr>
          <w:rFonts w:cs="Arial"/>
          <w:color w:val="000000"/>
          <w:sz w:val="28"/>
        </w:rPr>
        <w:t>设 计 单 位 ：湖南省邮电规划设计院有限公司</w:t>
      </w:r>
    </w:p>
    <w:p>
      <w:pPr>
        <w:adjustRightInd w:val="0"/>
        <w:spacing w:line="600" w:lineRule="exact"/>
        <w:ind w:firstLine="510"/>
        <w:jc w:val="center"/>
        <w:textAlignment w:val="baseline"/>
        <w:rPr>
          <w:rFonts w:ascii="Arial" w:hAnsi="Arial" w:cs="Times New Roman"/>
          <w:color w:val="000000"/>
          <w:sz w:val="28"/>
        </w:rPr>
      </w:pPr>
    </w:p>
    <w:p>
      <w:pPr>
        <w:adjustRightInd w:val="0"/>
        <w:spacing w:line="600" w:lineRule="exact"/>
        <w:ind w:firstLine="510"/>
        <w:jc w:val="center"/>
        <w:textAlignment w:val="baseline"/>
        <w:rPr>
          <w:rFonts w:ascii="Arial" w:hAnsi="Arial" w:cs="Times New Roman"/>
          <w:color w:val="000000"/>
          <w:sz w:val="28"/>
        </w:rPr>
      </w:pPr>
    </w:p>
    <w:p>
      <w:pPr>
        <w:spacing w:line="240" w:lineRule="exact"/>
        <w:ind w:firstLine="2880"/>
        <w:rPr>
          <w:rFonts w:cs="Times New Roman"/>
        </w:rPr>
      </w:pPr>
      <w:r>
        <w:rPr>
          <w:rFonts w:hint="eastAsia" w:cs="Times New Roman"/>
        </w:rPr>
        <w:t>联系地址：</w:t>
      </w:r>
      <w:r>
        <w:rPr>
          <w:rFonts w:hint="eastAsia" w:cs="Times New Roman"/>
          <w:color w:val="000000"/>
        </w:rPr>
        <w:t>湖南省</w:t>
      </w:r>
      <w:r>
        <w:rPr>
          <w:rFonts w:cs="Times New Roman"/>
          <w:color w:val="000000"/>
        </w:rPr>
        <w:t>长沙市</w:t>
      </w:r>
      <w:r>
        <w:rPr>
          <w:rFonts w:hint="eastAsia" w:cs="Times New Roman"/>
          <w:color w:val="000000"/>
        </w:rPr>
        <w:t>远大路236号</w:t>
      </w:r>
    </w:p>
    <w:p>
      <w:pPr>
        <w:spacing w:line="240" w:lineRule="exact"/>
        <w:ind w:firstLine="2880"/>
        <w:rPr>
          <w:rFonts w:cs="Times New Roman"/>
        </w:rPr>
      </w:pPr>
      <w:r>
        <w:rPr>
          <w:rFonts w:hint="eastAsia" w:cs="Times New Roman"/>
        </w:rPr>
        <w:t>邮    编：</w:t>
      </w:r>
      <w:r>
        <w:rPr>
          <w:rFonts w:cs="Times New Roman"/>
          <w:color w:val="000000"/>
        </w:rPr>
        <w:t>410</w:t>
      </w:r>
      <w:r>
        <w:rPr>
          <w:rFonts w:hint="eastAsia" w:cs="Times New Roman"/>
          <w:color w:val="000000"/>
        </w:rPr>
        <w:t>001</w:t>
      </w:r>
    </w:p>
    <w:p>
      <w:pPr>
        <w:spacing w:line="240" w:lineRule="exact"/>
        <w:ind w:firstLine="2880"/>
        <w:rPr>
          <w:rFonts w:cs="Times New Roman"/>
        </w:rPr>
      </w:pPr>
      <w:r>
        <w:rPr>
          <w:rFonts w:hint="eastAsia" w:cs="Times New Roman"/>
        </w:rPr>
        <w:t>投诉电话：</w:t>
      </w:r>
      <w:r>
        <w:rPr>
          <w:rFonts w:cs="Times New Roman"/>
          <w:color w:val="000000"/>
        </w:rPr>
        <w:t>0731-8446</w:t>
      </w:r>
      <w:r>
        <w:rPr>
          <w:rFonts w:hint="eastAsia" w:cs="Times New Roman"/>
          <w:color w:val="000000"/>
        </w:rPr>
        <w:t>6635</w:t>
      </w:r>
    </w:p>
    <w:p>
      <w:pPr>
        <w:spacing w:line="240" w:lineRule="exact"/>
        <w:ind w:firstLine="2880"/>
        <w:rPr>
          <w:rFonts w:cs="Times New Roman"/>
          <w:color w:val="000000"/>
        </w:rPr>
      </w:pPr>
      <w:r>
        <w:rPr>
          <w:rFonts w:hint="eastAsia" w:cs="Times New Roman"/>
        </w:rPr>
        <w:t>投诉电邮：</w:t>
      </w:r>
      <w:r>
        <w:rPr>
          <w:rFonts w:hint="eastAsia" w:cs="Times New Roman"/>
          <w:color w:val="000000"/>
        </w:rPr>
        <w:t>tousu</w:t>
      </w:r>
      <w:r>
        <w:rPr>
          <w:rFonts w:cs="Times New Roman"/>
          <w:color w:val="000000"/>
        </w:rPr>
        <w:t>@hntdi</w:t>
      </w:r>
      <w:r>
        <w:rPr>
          <w:rFonts w:hint="eastAsia" w:cs="Times New Roman"/>
          <w:color w:val="000000"/>
        </w:rPr>
        <w:t>.</w:t>
      </w:r>
      <w:r>
        <w:rPr>
          <w:rFonts w:cs="Times New Roman"/>
          <w:color w:val="000000"/>
        </w:rPr>
        <w:t>com</w:t>
      </w:r>
    </w:p>
    <w:p>
      <w:pPr>
        <w:spacing w:line="360" w:lineRule="auto"/>
        <w:ind w:firstLine="2880"/>
        <w:rPr>
          <w:rFonts w:cs="Times New Roman"/>
          <w:color w:val="000000"/>
        </w:rPr>
      </w:pPr>
    </w:p>
    <w:p>
      <w:pPr>
        <w:spacing w:line="360" w:lineRule="auto"/>
        <w:rPr>
          <w:rFonts w:cs="Times New Roman"/>
          <w:color w:val="000000"/>
          <w:sz w:val="28"/>
        </w:rPr>
      </w:pPr>
    </w:p>
    <w:p>
      <w:pPr>
        <w:spacing w:line="360" w:lineRule="auto"/>
        <w:rPr>
          <w:rFonts w:cs="Times New Roman"/>
          <w:color w:val="000000"/>
          <w:sz w:val="28"/>
        </w:rPr>
      </w:pPr>
    </w:p>
    <w:p>
      <w:pPr>
        <w:spacing w:line="360" w:lineRule="auto"/>
        <w:rPr>
          <w:rFonts w:cs="Times New Roman"/>
          <w:color w:val="000000"/>
          <w:sz w:val="28"/>
        </w:rPr>
      </w:pPr>
    </w:p>
    <w:p>
      <w:pPr>
        <w:spacing w:line="360" w:lineRule="auto"/>
        <w:rPr>
          <w:rFonts w:cs="Times New Roman"/>
          <w:color w:val="000000"/>
          <w:sz w:val="28"/>
        </w:rPr>
      </w:pPr>
    </w:p>
    <w:p>
      <w:pPr>
        <w:adjustRightInd w:val="0"/>
        <w:spacing w:line="600" w:lineRule="exact"/>
        <w:jc w:val="center"/>
        <w:textAlignment w:val="baseline"/>
        <w:rPr>
          <w:rFonts w:cs="Times New Roman"/>
          <w:b/>
          <w:sz w:val="32"/>
          <w:szCs w:val="20"/>
          <w:lang w:val="zh-CN" w:eastAsia="zh-CN"/>
        </w:rPr>
        <w:sectPr>
          <w:headerReference r:id="rId3" w:type="even"/>
          <w:pgSz w:w="11906" w:h="16838"/>
          <w:pgMar w:top="1440" w:right="1800" w:bottom="1276" w:left="1800" w:header="964" w:footer="1020" w:gutter="0"/>
          <w:pgNumType w:start="1"/>
          <w:cols w:space="720" w:num="1"/>
          <w:docGrid w:linePitch="326" w:charSpace="0"/>
        </w:sectPr>
      </w:pPr>
      <w:r>
        <w:rPr>
          <w:rFonts w:hint="eastAsia" w:cs="Times New Roman"/>
          <w:b/>
          <w:sz w:val="32"/>
          <w:szCs w:val="20"/>
          <w:lang w:val="zh-CN" w:eastAsia="zh-CN"/>
        </w:rPr>
        <w:fldChar w:fldCharType="begin"/>
      </w:r>
      <w:r>
        <w:rPr>
          <w:rFonts w:hint="eastAsia" w:cs="Times New Roman"/>
          <w:b/>
          <w:sz w:val="32"/>
          <w:szCs w:val="20"/>
          <w:lang w:val="zh-CN" w:eastAsia="zh-CN"/>
        </w:rPr>
        <w:instrText xml:space="preserve"> TIME \@ "EEEE年O月" </w:instrText>
      </w:r>
      <w:r>
        <w:rPr>
          <w:rFonts w:hint="eastAsia" w:cs="Times New Roman"/>
          <w:b/>
          <w:sz w:val="32"/>
          <w:szCs w:val="20"/>
          <w:lang w:val="zh-CN" w:eastAsia="zh-CN"/>
        </w:rPr>
        <w:fldChar w:fldCharType="separate"/>
      </w:r>
      <w:r>
        <w:rPr>
          <w:rFonts w:hint="eastAsia" w:cs="Times New Roman"/>
          <w:b/>
          <w:sz w:val="32"/>
          <w:szCs w:val="20"/>
          <w:lang w:val="zh-CN" w:eastAsia="zh-CN"/>
        </w:rPr>
        <w:t>二〇二二年九月</w:t>
      </w:r>
      <w:r>
        <w:rPr>
          <w:rFonts w:hint="eastAsia" w:cs="Times New Roman"/>
          <w:b/>
          <w:sz w:val="32"/>
          <w:szCs w:val="20"/>
          <w:lang w:val="zh-CN" w:eastAsia="zh-CN"/>
        </w:rPr>
        <w:fldChar w:fldCharType="end"/>
      </w:r>
    </w:p>
    <w:p>
      <w:pPr>
        <w:adjustRightInd w:val="0"/>
        <w:spacing w:line="600" w:lineRule="exact"/>
        <w:ind w:firstLine="510"/>
        <w:jc w:val="center"/>
        <w:textAlignment w:val="baseline"/>
        <w:rPr>
          <w:rFonts w:cs="Times New Roman"/>
          <w:color w:val="000000"/>
          <w:sz w:val="32"/>
        </w:rPr>
      </w:pPr>
    </w:p>
    <w:p>
      <w:pPr>
        <w:adjustRightInd w:val="0"/>
        <w:spacing w:line="600" w:lineRule="exact"/>
        <w:ind w:firstLine="510"/>
        <w:jc w:val="center"/>
        <w:textAlignment w:val="baseline"/>
        <w:rPr>
          <w:rFonts w:cs="Times New Roman"/>
          <w:color w:val="000000"/>
          <w:sz w:val="32"/>
        </w:rPr>
      </w:pPr>
    </w:p>
    <w:p>
      <w:pPr>
        <w:adjustRightInd w:val="0"/>
        <w:spacing w:line="600" w:lineRule="exact"/>
        <w:ind w:firstLine="510"/>
        <w:jc w:val="center"/>
        <w:textAlignment w:val="baseline"/>
        <w:rPr>
          <w:rFonts w:cs="Times New Roman"/>
          <w:color w:val="000000"/>
          <w:sz w:val="32"/>
        </w:rPr>
      </w:pPr>
    </w:p>
    <w:p>
      <w:pPr>
        <w:adjustRightInd w:val="0"/>
        <w:spacing w:line="600" w:lineRule="exact"/>
        <w:ind w:firstLine="510"/>
        <w:jc w:val="center"/>
        <w:textAlignment w:val="baseline"/>
        <w:rPr>
          <w:rFonts w:cs="Times New Roman"/>
          <w:color w:val="000000"/>
          <w:sz w:val="32"/>
        </w:rPr>
      </w:pPr>
    </w:p>
    <w:p>
      <w:pPr>
        <w:spacing w:line="600" w:lineRule="exact"/>
        <w:ind w:firstLine="510"/>
        <w:jc w:val="center"/>
        <w:rPr>
          <w:rFonts w:ascii="Arial" w:hAnsi="Arial" w:eastAsia="黑体" w:cs="Times New Roman"/>
          <w:b/>
          <w:sz w:val="36"/>
        </w:rPr>
      </w:pPr>
      <w:r>
        <w:rPr>
          <w:rFonts w:hint="eastAsia" w:ascii="Arial" w:hAnsi="Arial" w:eastAsia="黑体" w:cs="Times New Roman"/>
          <w:b/>
          <w:sz w:val="36"/>
        </w:rPr>
        <w:t>望城区“十四五”大数据发展规划</w:t>
      </w:r>
    </w:p>
    <w:p>
      <w:pPr>
        <w:spacing w:line="600" w:lineRule="exact"/>
        <w:ind w:firstLine="510"/>
        <w:jc w:val="center"/>
        <w:rPr>
          <w:rFonts w:ascii="Arial" w:hAnsi="Arial" w:cs="Times New Roman"/>
          <w:b/>
          <w:sz w:val="36"/>
        </w:rPr>
      </w:pPr>
      <w:r>
        <w:rPr>
          <w:rFonts w:hint="eastAsia" w:ascii="Arial" w:hAnsi="黑体" w:eastAsia="黑体" w:cs="Times New Roman"/>
          <w:b/>
          <w:spacing w:val="20"/>
          <w:sz w:val="36"/>
        </w:rPr>
        <w:t>全一册</w:t>
      </w:r>
    </w:p>
    <w:p>
      <w:pPr>
        <w:adjustRightInd w:val="0"/>
        <w:spacing w:line="600" w:lineRule="exact"/>
        <w:ind w:firstLine="510"/>
        <w:jc w:val="center"/>
        <w:textAlignment w:val="baseline"/>
        <w:rPr>
          <w:rFonts w:cs="Times New Roman"/>
          <w:color w:val="000000"/>
          <w:sz w:val="32"/>
        </w:rPr>
      </w:pPr>
    </w:p>
    <w:p>
      <w:pPr>
        <w:adjustRightInd w:val="0"/>
        <w:spacing w:line="600" w:lineRule="exact"/>
        <w:ind w:firstLine="510"/>
        <w:jc w:val="center"/>
        <w:textAlignment w:val="baseline"/>
        <w:rPr>
          <w:rFonts w:ascii="Arial" w:hAnsi="Arial" w:cs="Times New Roman"/>
          <w:color w:val="000000"/>
          <w:sz w:val="28"/>
        </w:rPr>
      </w:pPr>
    </w:p>
    <w:p>
      <w:pPr>
        <w:adjustRightInd w:val="0"/>
        <w:spacing w:line="600" w:lineRule="exact"/>
        <w:ind w:firstLine="510"/>
        <w:jc w:val="center"/>
        <w:textAlignment w:val="baseline"/>
        <w:rPr>
          <w:rFonts w:ascii="Arial" w:hAnsi="Arial" w:cs="Times New Roman"/>
          <w:color w:val="000000"/>
          <w:sz w:val="28"/>
        </w:rPr>
      </w:pPr>
    </w:p>
    <w:p>
      <w:pPr>
        <w:adjustRightInd w:val="0"/>
        <w:spacing w:line="600" w:lineRule="exact"/>
        <w:ind w:firstLine="510"/>
        <w:jc w:val="center"/>
        <w:textAlignment w:val="baseline"/>
        <w:rPr>
          <w:rFonts w:ascii="Arial" w:hAnsi="Arial" w:cs="Times New Roman"/>
          <w:color w:val="000000"/>
          <w:sz w:val="28"/>
        </w:rPr>
      </w:pPr>
    </w:p>
    <w:p>
      <w:pPr>
        <w:adjustRightInd w:val="0"/>
        <w:spacing w:line="600" w:lineRule="exact"/>
        <w:ind w:firstLine="510"/>
        <w:jc w:val="center"/>
        <w:textAlignment w:val="baseline"/>
        <w:rPr>
          <w:rFonts w:ascii="Arial" w:hAnsi="Arial" w:cs="Times New Roman"/>
          <w:color w:val="000000"/>
          <w:sz w:val="28"/>
        </w:rPr>
      </w:pPr>
    </w:p>
    <w:p>
      <w:pPr>
        <w:tabs>
          <w:tab w:val="left" w:pos="1512"/>
        </w:tabs>
        <w:adjustRightInd w:val="0"/>
        <w:snapToGrid w:val="0"/>
        <w:spacing w:line="480" w:lineRule="exact"/>
        <w:ind w:firstLine="510"/>
        <w:textAlignment w:val="baseline"/>
        <w:rPr>
          <w:rFonts w:cs="Arial"/>
          <w:color w:val="000000"/>
          <w:sz w:val="28"/>
        </w:rPr>
      </w:pPr>
      <w:r>
        <w:rPr>
          <w:rFonts w:cs="Arial"/>
          <w:color w:val="000000"/>
          <w:sz w:val="28"/>
        </w:rPr>
        <w:tab/>
      </w:r>
    </w:p>
    <w:p>
      <w:pPr>
        <w:adjustRightInd w:val="0"/>
        <w:spacing w:line="480" w:lineRule="atLeast"/>
        <w:ind w:left="1440" w:leftChars="600" w:firstLine="510"/>
        <w:textAlignment w:val="baseline"/>
        <w:rPr>
          <w:rFonts w:cs="Times New Roman"/>
          <w:color w:val="000000"/>
          <w:sz w:val="28"/>
          <w:szCs w:val="28"/>
        </w:rPr>
      </w:pPr>
      <w:r>
        <w:rPr>
          <w:rFonts w:cs="Times New Roman"/>
          <w:color w:val="000000"/>
          <w:sz w:val="28"/>
          <w:szCs w:val="28"/>
        </w:rPr>
        <w:t>总    经    理：</w:t>
      </w:r>
      <w:r>
        <w:rPr>
          <w:rFonts w:hint="eastAsia" w:cs="Times New Roman"/>
          <w:color w:val="000000"/>
          <w:sz w:val="28"/>
          <w:szCs w:val="28"/>
        </w:rPr>
        <w:t>陈鄂湘</w:t>
      </w:r>
    </w:p>
    <w:p>
      <w:pPr>
        <w:adjustRightInd w:val="0"/>
        <w:spacing w:line="480" w:lineRule="atLeast"/>
        <w:ind w:left="1440" w:leftChars="600" w:firstLine="510"/>
        <w:textAlignment w:val="baseline"/>
        <w:rPr>
          <w:rFonts w:cs="Times New Roman"/>
          <w:color w:val="000000"/>
          <w:sz w:val="28"/>
          <w:szCs w:val="28"/>
        </w:rPr>
      </w:pPr>
      <w:r>
        <w:rPr>
          <w:rFonts w:cs="Times New Roman"/>
          <w:color w:val="000000"/>
          <w:sz w:val="28"/>
          <w:szCs w:val="28"/>
        </w:rPr>
        <w:t>总  工  程  师：</w:t>
      </w:r>
      <w:r>
        <w:rPr>
          <w:rFonts w:hint="eastAsia" w:cs="Times New Roman"/>
          <w:color w:val="000000"/>
          <w:sz w:val="28"/>
          <w:szCs w:val="28"/>
        </w:rPr>
        <w:t xml:space="preserve">谢 </w:t>
      </w:r>
      <w:r>
        <w:rPr>
          <w:rFonts w:cs="Times New Roman"/>
          <w:color w:val="000000"/>
          <w:sz w:val="28"/>
          <w:szCs w:val="28"/>
        </w:rPr>
        <w:t xml:space="preserve"> </w:t>
      </w:r>
      <w:r>
        <w:rPr>
          <w:rFonts w:hint="eastAsia" w:cs="Times New Roman"/>
          <w:color w:val="000000"/>
          <w:sz w:val="28"/>
          <w:szCs w:val="28"/>
        </w:rPr>
        <w:t>炜</w:t>
      </w:r>
    </w:p>
    <w:p>
      <w:pPr>
        <w:adjustRightInd w:val="0"/>
        <w:spacing w:line="480" w:lineRule="atLeast"/>
        <w:ind w:left="1440" w:leftChars="600" w:firstLine="510"/>
        <w:textAlignment w:val="baseline"/>
        <w:rPr>
          <w:rFonts w:cs="Times New Roman"/>
          <w:color w:val="000000"/>
          <w:sz w:val="28"/>
          <w:szCs w:val="28"/>
        </w:rPr>
      </w:pPr>
      <w:r>
        <w:rPr>
          <w:rFonts w:cs="Times New Roman"/>
          <w:color w:val="000000"/>
          <w:sz w:val="28"/>
          <w:szCs w:val="28"/>
        </w:rPr>
        <w:t>项 目 负 责 人：</w:t>
      </w:r>
      <w:r>
        <w:rPr>
          <w:rFonts w:hint="eastAsia" w:cs="Times New Roman"/>
          <w:color w:val="000000"/>
          <w:sz w:val="28"/>
          <w:szCs w:val="28"/>
        </w:rPr>
        <w:t>朱凤娟</w:t>
      </w:r>
    </w:p>
    <w:p>
      <w:pPr>
        <w:spacing w:line="360" w:lineRule="auto"/>
        <w:ind w:firstLine="2880"/>
        <w:rPr>
          <w:rFonts w:cs="Times New Roman"/>
          <w:color w:val="000000"/>
        </w:rPr>
      </w:pPr>
    </w:p>
    <w:p>
      <w:pPr>
        <w:adjustRightInd w:val="0"/>
        <w:spacing w:line="600" w:lineRule="exact"/>
        <w:textAlignment w:val="baseline"/>
        <w:rPr>
          <w:rFonts w:cs="Times New Roman"/>
          <w:color w:val="000000"/>
        </w:rPr>
      </w:pPr>
    </w:p>
    <w:p>
      <w:pPr>
        <w:adjustRightInd w:val="0"/>
        <w:spacing w:line="600" w:lineRule="exact"/>
        <w:textAlignment w:val="baseline"/>
        <w:rPr>
          <w:rFonts w:cs="Times New Roman"/>
          <w:color w:val="000000"/>
        </w:rPr>
      </w:pPr>
    </w:p>
    <w:p>
      <w:pPr>
        <w:adjustRightInd w:val="0"/>
        <w:spacing w:line="600" w:lineRule="exact"/>
        <w:textAlignment w:val="baseline"/>
        <w:rPr>
          <w:rFonts w:cs="Times New Roman"/>
          <w:color w:val="000000"/>
        </w:rPr>
      </w:pPr>
    </w:p>
    <w:p>
      <w:pPr>
        <w:adjustRightInd w:val="0"/>
        <w:spacing w:line="600" w:lineRule="exact"/>
        <w:textAlignment w:val="baseline"/>
        <w:rPr>
          <w:rFonts w:cs="Times New Roman"/>
          <w:color w:val="000000"/>
        </w:rPr>
      </w:pPr>
    </w:p>
    <w:p>
      <w:pPr>
        <w:adjustRightInd w:val="0"/>
        <w:spacing w:line="600" w:lineRule="exact"/>
        <w:jc w:val="center"/>
        <w:textAlignment w:val="baseline"/>
        <w:rPr>
          <w:rFonts w:cs="Times New Roman"/>
          <w:b/>
          <w:sz w:val="32"/>
          <w:szCs w:val="20"/>
          <w:lang w:val="zh-CN" w:eastAsia="zh-CN"/>
        </w:rPr>
        <w:sectPr>
          <w:type w:val="continuous"/>
          <w:pgSz w:w="11906" w:h="16838"/>
          <w:pgMar w:top="1440" w:right="1800" w:bottom="1276" w:left="1800" w:header="964" w:footer="1020" w:gutter="0"/>
          <w:pgNumType w:start="1"/>
          <w:cols w:space="720" w:num="1"/>
          <w:docGrid w:linePitch="326" w:charSpace="0"/>
        </w:sectPr>
      </w:pPr>
      <w:r>
        <w:rPr>
          <w:rFonts w:hint="eastAsia" w:cs="Times New Roman"/>
          <w:b/>
          <w:sz w:val="32"/>
          <w:szCs w:val="20"/>
          <w:lang w:val="zh-CN" w:eastAsia="zh-CN"/>
        </w:rPr>
        <w:fldChar w:fldCharType="begin"/>
      </w:r>
      <w:r>
        <w:rPr>
          <w:rFonts w:hint="eastAsia" w:cs="Times New Roman"/>
          <w:b/>
          <w:sz w:val="32"/>
          <w:szCs w:val="20"/>
          <w:lang w:val="zh-CN" w:eastAsia="zh-CN"/>
        </w:rPr>
        <w:instrText xml:space="preserve"> TIME \@ "EEEE年O月" </w:instrText>
      </w:r>
      <w:r>
        <w:rPr>
          <w:rFonts w:hint="eastAsia" w:cs="Times New Roman"/>
          <w:b/>
          <w:sz w:val="32"/>
          <w:szCs w:val="20"/>
          <w:lang w:val="zh-CN" w:eastAsia="zh-CN"/>
        </w:rPr>
        <w:fldChar w:fldCharType="separate"/>
      </w:r>
      <w:r>
        <w:rPr>
          <w:rFonts w:hint="eastAsia" w:cs="Times New Roman"/>
          <w:b/>
          <w:sz w:val="32"/>
          <w:szCs w:val="20"/>
          <w:lang w:val="zh-CN" w:eastAsia="zh-CN"/>
        </w:rPr>
        <w:t>二〇二二年九月</w:t>
      </w:r>
      <w:r>
        <w:rPr>
          <w:rFonts w:hint="eastAsia" w:cs="Times New Roman"/>
          <w:b/>
          <w:sz w:val="32"/>
          <w:szCs w:val="20"/>
          <w:lang w:val="zh-CN" w:eastAsia="zh-CN"/>
        </w:rPr>
        <w:fldChar w:fldCharType="end"/>
      </w:r>
    </w:p>
    <w:sdt>
      <w:sdtPr>
        <w:rPr>
          <w:rFonts w:ascii="Arial" w:hAnsi="Arial" w:cs="Arial" w:eastAsiaTheme="minorEastAsia"/>
          <w:b w:val="0"/>
          <w:bCs w:val="0"/>
          <w:caps/>
          <w:color w:val="auto"/>
          <w:kern w:val="2"/>
          <w:sz w:val="24"/>
          <w:szCs w:val="24"/>
          <w:lang w:val="zh-CN"/>
        </w:rPr>
        <w:id w:val="-1971891247"/>
        <w:docPartObj>
          <w:docPartGallery w:val="Table of Contents"/>
          <w:docPartUnique/>
        </w:docPartObj>
      </w:sdtPr>
      <w:sdtEndPr>
        <w:rPr>
          <w:rFonts w:ascii="Arial" w:hAnsi="Arial" w:eastAsia="仿宋" w:cs="Arial"/>
          <w:b/>
          <w:bCs/>
          <w:caps/>
          <w:color w:val="auto"/>
          <w:kern w:val="2"/>
          <w:sz w:val="24"/>
          <w:szCs w:val="24"/>
          <w:lang w:val="zh-CN"/>
        </w:rPr>
      </w:sdtEndPr>
      <w:sdtContent>
        <w:p>
          <w:pPr>
            <w:pStyle w:val="310"/>
            <w:spacing w:line="360" w:lineRule="auto"/>
            <w:jc w:val="center"/>
            <w:rPr>
              <w:rFonts w:ascii="Arial" w:hAnsi="Arial" w:eastAsia="仿宋" w:cs="Arial"/>
              <w:sz w:val="32"/>
              <w:szCs w:val="32"/>
            </w:rPr>
          </w:pPr>
          <w:r>
            <w:rPr>
              <w:rFonts w:ascii="Arial" w:hAnsi="Arial" w:eastAsia="仿宋" w:cs="Arial"/>
              <w:sz w:val="32"/>
              <w:szCs w:val="32"/>
              <w:lang w:val="zh-CN"/>
            </w:rPr>
            <w:t>目 录</w:t>
          </w:r>
        </w:p>
        <w:p>
          <w:pPr>
            <w:pStyle w:val="27"/>
            <w:tabs>
              <w:tab w:val="left" w:pos="840"/>
            </w:tabs>
            <w:spacing w:before="0" w:after="0"/>
            <w:rPr>
              <w:rFonts w:ascii="仿宋" w:hAnsi="仿宋" w:eastAsia="仿宋" w:cstheme="minorBidi"/>
              <w:b w:val="0"/>
              <w:bCs w:val="0"/>
              <w:caps w:val="0"/>
              <w:sz w:val="28"/>
              <w:szCs w:val="28"/>
            </w:rPr>
          </w:pPr>
          <w:r>
            <w:rPr>
              <w:rFonts w:ascii="仿宋" w:hAnsi="仿宋" w:eastAsia="仿宋" w:cs="Arial"/>
              <w:b w:val="0"/>
              <w:bCs w:val="0"/>
              <w:sz w:val="28"/>
              <w:szCs w:val="28"/>
            </w:rPr>
            <w:fldChar w:fldCharType="begin"/>
          </w:r>
          <w:r>
            <w:rPr>
              <w:rFonts w:ascii="仿宋" w:hAnsi="仿宋" w:eastAsia="仿宋" w:cs="Arial"/>
              <w:b w:val="0"/>
              <w:bCs w:val="0"/>
              <w:sz w:val="28"/>
              <w:szCs w:val="28"/>
            </w:rPr>
            <w:instrText xml:space="preserve"> TOC \o "1-3" \h \z \u </w:instrText>
          </w:r>
          <w:r>
            <w:rPr>
              <w:rFonts w:ascii="仿宋" w:hAnsi="仿宋" w:eastAsia="仿宋" w:cs="Arial"/>
              <w:b w:val="0"/>
              <w:bCs w:val="0"/>
              <w:sz w:val="28"/>
              <w:szCs w:val="28"/>
            </w:rPr>
            <w:fldChar w:fldCharType="separate"/>
          </w:r>
          <w:r>
            <w:fldChar w:fldCharType="begin"/>
          </w:r>
          <w:r>
            <w:instrText xml:space="preserve"> HYPERLINK \l "_Toc78041411" </w:instrText>
          </w:r>
          <w:r>
            <w:fldChar w:fldCharType="separate"/>
          </w:r>
          <w:r>
            <w:rPr>
              <w:rStyle w:val="49"/>
              <w:rFonts w:ascii="仿宋" w:hAnsi="仿宋" w:eastAsia="仿宋" w:cs="Arial"/>
              <w:sz w:val="28"/>
              <w:szCs w:val="28"/>
            </w:rPr>
            <w:t>一、</w:t>
          </w:r>
          <w:r>
            <w:rPr>
              <w:rFonts w:ascii="仿宋" w:hAnsi="仿宋" w:eastAsia="仿宋" w:cstheme="minorBidi"/>
              <w:b w:val="0"/>
              <w:bCs w:val="0"/>
              <w:caps w:val="0"/>
              <w:sz w:val="28"/>
              <w:szCs w:val="28"/>
            </w:rPr>
            <w:tab/>
          </w:r>
          <w:r>
            <w:rPr>
              <w:rStyle w:val="49"/>
              <w:rFonts w:ascii="仿宋" w:hAnsi="仿宋" w:eastAsia="仿宋" w:cs="Arial"/>
              <w:sz w:val="28"/>
              <w:szCs w:val="28"/>
            </w:rPr>
            <w:t>规划背景</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_Toc78041411 \h </w:instrText>
          </w:r>
          <w:r>
            <w:rPr>
              <w:rFonts w:ascii="仿宋" w:hAnsi="仿宋" w:eastAsia="仿宋"/>
              <w:sz w:val="28"/>
              <w:szCs w:val="28"/>
            </w:rPr>
            <w:fldChar w:fldCharType="separate"/>
          </w:r>
          <w:r>
            <w:rPr>
              <w:rFonts w:ascii="仿宋" w:hAnsi="仿宋" w:eastAsia="仿宋"/>
              <w:sz w:val="28"/>
              <w:szCs w:val="28"/>
            </w:rPr>
            <w:t>1</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"_Toc78041412" </w:instrText>
          </w:r>
          <w:r>
            <w:fldChar w:fldCharType="separate"/>
          </w:r>
          <w:r>
            <w:rPr>
              <w:rStyle w:val="49"/>
              <w:rFonts w:ascii="仿宋" w:hAnsi="仿宋" w:eastAsia="仿宋" w:cs="Arial"/>
              <w:sz w:val="28"/>
              <w:szCs w:val="28"/>
            </w:rPr>
            <w:t>(一)</w:t>
          </w:r>
          <w:r>
            <w:rPr>
              <w:rFonts w:ascii="仿宋" w:hAnsi="仿宋" w:eastAsia="仿宋" w:cstheme="minorBidi"/>
              <w:smallCaps w:val="0"/>
              <w:sz w:val="28"/>
              <w:szCs w:val="28"/>
            </w:rPr>
            <w:tab/>
          </w:r>
          <w:r>
            <w:rPr>
              <w:rStyle w:val="49"/>
              <w:rFonts w:ascii="仿宋" w:hAnsi="仿宋" w:eastAsia="仿宋" w:cs="Arial"/>
              <w:sz w:val="28"/>
              <w:szCs w:val="28"/>
            </w:rPr>
            <w:t>“十三五”期间取得的成就</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_Toc78041412 \h </w:instrText>
          </w:r>
          <w:r>
            <w:rPr>
              <w:rFonts w:ascii="仿宋" w:hAnsi="仿宋" w:eastAsia="仿宋"/>
              <w:sz w:val="28"/>
              <w:szCs w:val="28"/>
            </w:rPr>
            <w:fldChar w:fldCharType="separate"/>
          </w:r>
          <w:r>
            <w:rPr>
              <w:rFonts w:ascii="仿宋" w:hAnsi="仿宋" w:eastAsia="仿宋"/>
              <w:sz w:val="28"/>
              <w:szCs w:val="28"/>
            </w:rPr>
            <w:t>1</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"_Toc78041413"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基础设施建设不断完善</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_Toc78041413 \h </w:instrText>
          </w:r>
          <w:r>
            <w:rPr>
              <w:rFonts w:ascii="仿宋" w:hAnsi="仿宋" w:eastAsia="仿宋"/>
              <w:i w:val="0"/>
              <w:iCs w:val="0"/>
              <w:sz w:val="28"/>
              <w:szCs w:val="28"/>
            </w:rPr>
            <w:fldChar w:fldCharType="separate"/>
          </w:r>
          <w:r>
            <w:rPr>
              <w:rFonts w:ascii="仿宋" w:hAnsi="仿宋" w:eastAsia="仿宋"/>
              <w:i w:val="0"/>
              <w:iCs w:val="0"/>
              <w:sz w:val="28"/>
              <w:szCs w:val="28"/>
            </w:rPr>
            <w:t>1</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"_Toc78041414"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数据共享体系基本形成</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_Toc78041414 \h </w:instrText>
          </w:r>
          <w:r>
            <w:rPr>
              <w:rFonts w:ascii="仿宋" w:hAnsi="仿宋" w:eastAsia="仿宋"/>
              <w:i w:val="0"/>
              <w:iCs w:val="0"/>
              <w:sz w:val="28"/>
              <w:szCs w:val="28"/>
            </w:rPr>
            <w:fldChar w:fldCharType="separate"/>
          </w:r>
          <w:r>
            <w:rPr>
              <w:rFonts w:ascii="仿宋" w:hAnsi="仿宋" w:eastAsia="仿宋"/>
              <w:i w:val="0"/>
              <w:iCs w:val="0"/>
              <w:sz w:val="28"/>
              <w:szCs w:val="28"/>
            </w:rPr>
            <w:t>1</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"_Toc78041415"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行业应用不断深化</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_Toc78041415 \h </w:instrText>
          </w:r>
          <w:r>
            <w:rPr>
              <w:rFonts w:ascii="仿宋" w:hAnsi="仿宋" w:eastAsia="仿宋"/>
              <w:i w:val="0"/>
              <w:iCs w:val="0"/>
              <w:sz w:val="28"/>
              <w:szCs w:val="28"/>
            </w:rPr>
            <w:fldChar w:fldCharType="separate"/>
          </w:r>
          <w:r>
            <w:rPr>
              <w:rFonts w:ascii="仿宋" w:hAnsi="仿宋" w:eastAsia="仿宋"/>
              <w:i w:val="0"/>
              <w:iCs w:val="0"/>
              <w:sz w:val="28"/>
              <w:szCs w:val="28"/>
            </w:rPr>
            <w:t>2</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"_Toc78041416" </w:instrText>
          </w:r>
          <w:r>
            <w:fldChar w:fldCharType="separate"/>
          </w:r>
          <w:r>
            <w:rPr>
              <w:rStyle w:val="49"/>
              <w:rFonts w:ascii="仿宋" w:hAnsi="仿宋" w:eastAsia="仿宋" w:cs="Arial"/>
              <w:i w:val="0"/>
              <w:iCs w:val="0"/>
              <w:sz w:val="28"/>
              <w:szCs w:val="28"/>
            </w:rPr>
            <w:t>4.</w:t>
          </w:r>
          <w:r>
            <w:rPr>
              <w:rFonts w:ascii="仿宋" w:hAnsi="仿宋" w:eastAsia="仿宋" w:cstheme="minorBidi"/>
              <w:i w:val="0"/>
              <w:iCs w:val="0"/>
              <w:sz w:val="28"/>
              <w:szCs w:val="28"/>
            </w:rPr>
            <w:tab/>
          </w:r>
          <w:r>
            <w:rPr>
              <w:rStyle w:val="49"/>
              <w:rFonts w:ascii="仿宋" w:hAnsi="仿宋" w:eastAsia="仿宋" w:cs="Arial"/>
              <w:i w:val="0"/>
              <w:iCs w:val="0"/>
              <w:sz w:val="28"/>
              <w:szCs w:val="28"/>
            </w:rPr>
            <w:t>网络安全不断加强</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_Toc78041416 \h </w:instrText>
          </w:r>
          <w:r>
            <w:rPr>
              <w:rFonts w:ascii="仿宋" w:hAnsi="仿宋" w:eastAsia="仿宋"/>
              <w:i w:val="0"/>
              <w:iCs w:val="0"/>
              <w:sz w:val="28"/>
              <w:szCs w:val="28"/>
            </w:rPr>
            <w:fldChar w:fldCharType="separate"/>
          </w:r>
          <w:r>
            <w:rPr>
              <w:rFonts w:ascii="仿宋" w:hAnsi="仿宋" w:eastAsia="仿宋"/>
              <w:i w:val="0"/>
              <w:iCs w:val="0"/>
              <w:sz w:val="28"/>
              <w:szCs w:val="28"/>
            </w:rPr>
            <w:t>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"_Toc78041417" </w:instrText>
          </w:r>
          <w:r>
            <w:fldChar w:fldCharType="separate"/>
          </w:r>
          <w:r>
            <w:rPr>
              <w:rStyle w:val="49"/>
              <w:rFonts w:ascii="仿宋" w:hAnsi="仿宋" w:eastAsia="仿宋" w:cs="Arial"/>
              <w:i w:val="0"/>
              <w:iCs w:val="0"/>
              <w:sz w:val="28"/>
              <w:szCs w:val="28"/>
            </w:rPr>
            <w:t>5.</w:t>
          </w:r>
          <w:r>
            <w:rPr>
              <w:rFonts w:ascii="仿宋" w:hAnsi="仿宋" w:eastAsia="仿宋" w:cstheme="minorBidi"/>
              <w:i w:val="0"/>
              <w:iCs w:val="0"/>
              <w:sz w:val="28"/>
              <w:szCs w:val="28"/>
            </w:rPr>
            <w:tab/>
          </w:r>
          <w:r>
            <w:rPr>
              <w:rStyle w:val="49"/>
              <w:rFonts w:ascii="仿宋" w:hAnsi="仿宋" w:eastAsia="仿宋" w:cs="Arial"/>
              <w:i w:val="0"/>
              <w:iCs w:val="0"/>
              <w:sz w:val="28"/>
              <w:szCs w:val="28"/>
            </w:rPr>
            <w:t>机制保障不断健全</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_Toc78041417 \h </w:instrText>
          </w:r>
          <w:r>
            <w:rPr>
              <w:rFonts w:ascii="仿宋" w:hAnsi="仿宋" w:eastAsia="仿宋"/>
              <w:i w:val="0"/>
              <w:iCs w:val="0"/>
              <w:sz w:val="28"/>
              <w:szCs w:val="28"/>
            </w:rPr>
            <w:fldChar w:fldCharType="separate"/>
          </w:r>
          <w:r>
            <w:rPr>
              <w:rFonts w:ascii="仿宋" w:hAnsi="仿宋" w:eastAsia="仿宋"/>
              <w:i w:val="0"/>
              <w:iCs w:val="0"/>
              <w:sz w:val="28"/>
              <w:szCs w:val="28"/>
            </w:rPr>
            <w:t>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"_Toc78041418" </w:instrText>
          </w:r>
          <w:r>
            <w:fldChar w:fldCharType="separate"/>
          </w:r>
          <w:r>
            <w:rPr>
              <w:rStyle w:val="49"/>
              <w:rFonts w:ascii="仿宋" w:hAnsi="仿宋" w:eastAsia="仿宋" w:cs="Arial"/>
              <w:sz w:val="28"/>
              <w:szCs w:val="28"/>
            </w:rPr>
            <w:t>(二)</w:t>
          </w:r>
          <w:r>
            <w:rPr>
              <w:rFonts w:ascii="仿宋" w:hAnsi="仿宋" w:eastAsia="仿宋" w:cstheme="minorBidi"/>
              <w:smallCaps w:val="0"/>
              <w:sz w:val="28"/>
              <w:szCs w:val="28"/>
            </w:rPr>
            <w:tab/>
          </w:r>
          <w:r>
            <w:rPr>
              <w:rStyle w:val="49"/>
              <w:rFonts w:ascii="仿宋" w:hAnsi="仿宋" w:eastAsia="仿宋" w:cs="Arial"/>
              <w:sz w:val="28"/>
              <w:szCs w:val="28"/>
            </w:rPr>
            <w:t>存在的问题</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_Toc78041418 \h </w:instrText>
          </w:r>
          <w:r>
            <w:rPr>
              <w:rFonts w:ascii="仿宋" w:hAnsi="仿宋" w:eastAsia="仿宋"/>
              <w:sz w:val="28"/>
              <w:szCs w:val="28"/>
            </w:rPr>
            <w:fldChar w:fldCharType="separate"/>
          </w:r>
          <w:r>
            <w:rPr>
              <w:rFonts w:ascii="仿宋" w:hAnsi="仿宋" w:eastAsia="仿宋"/>
              <w:sz w:val="28"/>
              <w:szCs w:val="28"/>
            </w:rPr>
            <w:t>4</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"_Toc78041419"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智能设施支撑手段尚待普及</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_Toc78041419 \h </w:instrText>
          </w:r>
          <w:r>
            <w:rPr>
              <w:rFonts w:ascii="仿宋" w:hAnsi="仿宋" w:eastAsia="仿宋"/>
              <w:i w:val="0"/>
              <w:iCs w:val="0"/>
              <w:sz w:val="28"/>
              <w:szCs w:val="28"/>
            </w:rPr>
            <w:fldChar w:fldCharType="separate"/>
          </w:r>
          <w:r>
            <w:rPr>
              <w:rFonts w:ascii="仿宋" w:hAnsi="仿宋" w:eastAsia="仿宋"/>
              <w:i w:val="0"/>
              <w:iCs w:val="0"/>
              <w:sz w:val="28"/>
              <w:szCs w:val="28"/>
            </w:rPr>
            <w:t>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"_Toc78041420"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数据资源尚未完全共享开放</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_Toc78041420 \h </w:instrText>
          </w:r>
          <w:r>
            <w:rPr>
              <w:rFonts w:ascii="仿宋" w:hAnsi="仿宋" w:eastAsia="仿宋"/>
              <w:i w:val="0"/>
              <w:iCs w:val="0"/>
              <w:sz w:val="28"/>
              <w:szCs w:val="28"/>
            </w:rPr>
            <w:fldChar w:fldCharType="separate"/>
          </w:r>
          <w:r>
            <w:rPr>
              <w:rFonts w:ascii="仿宋" w:hAnsi="仿宋" w:eastAsia="仿宋"/>
              <w:i w:val="0"/>
              <w:iCs w:val="0"/>
              <w:sz w:val="28"/>
              <w:szCs w:val="28"/>
            </w:rPr>
            <w:t>5</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"_Toc78041421"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大数据行业创新能力待提升</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_Toc78041421 \h </w:instrText>
          </w:r>
          <w:r>
            <w:rPr>
              <w:rFonts w:ascii="仿宋" w:hAnsi="仿宋" w:eastAsia="仿宋"/>
              <w:i w:val="0"/>
              <w:iCs w:val="0"/>
              <w:sz w:val="28"/>
              <w:szCs w:val="28"/>
            </w:rPr>
            <w:fldChar w:fldCharType="separate"/>
          </w:r>
          <w:r>
            <w:rPr>
              <w:rFonts w:ascii="仿宋" w:hAnsi="仿宋" w:eastAsia="仿宋"/>
              <w:i w:val="0"/>
              <w:iCs w:val="0"/>
              <w:sz w:val="28"/>
              <w:szCs w:val="28"/>
            </w:rPr>
            <w:t>5</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"_Toc78041422" </w:instrText>
          </w:r>
          <w:r>
            <w:fldChar w:fldCharType="separate"/>
          </w:r>
          <w:r>
            <w:rPr>
              <w:rStyle w:val="49"/>
              <w:rFonts w:ascii="仿宋" w:hAnsi="仿宋" w:eastAsia="仿宋" w:cs="Arial"/>
              <w:i w:val="0"/>
              <w:iCs w:val="0"/>
              <w:sz w:val="28"/>
              <w:szCs w:val="28"/>
            </w:rPr>
            <w:t>4.</w:t>
          </w:r>
          <w:r>
            <w:rPr>
              <w:rFonts w:ascii="仿宋" w:hAnsi="仿宋" w:eastAsia="仿宋" w:cstheme="minorBidi"/>
              <w:i w:val="0"/>
              <w:iCs w:val="0"/>
              <w:sz w:val="28"/>
              <w:szCs w:val="28"/>
            </w:rPr>
            <w:tab/>
          </w:r>
          <w:r>
            <w:rPr>
              <w:rStyle w:val="49"/>
              <w:rFonts w:ascii="仿宋" w:hAnsi="仿宋" w:eastAsia="仿宋" w:cs="Arial"/>
              <w:i w:val="0"/>
              <w:iCs w:val="0"/>
              <w:sz w:val="28"/>
              <w:szCs w:val="28"/>
            </w:rPr>
            <w:t>安全自主可控意识有待强化</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_Toc78041422 \h </w:instrText>
          </w:r>
          <w:r>
            <w:rPr>
              <w:rFonts w:ascii="仿宋" w:hAnsi="仿宋" w:eastAsia="仿宋"/>
              <w:i w:val="0"/>
              <w:iCs w:val="0"/>
              <w:sz w:val="28"/>
              <w:szCs w:val="28"/>
            </w:rPr>
            <w:fldChar w:fldCharType="separate"/>
          </w:r>
          <w:r>
            <w:rPr>
              <w:rFonts w:ascii="仿宋" w:hAnsi="仿宋" w:eastAsia="仿宋"/>
              <w:i w:val="0"/>
              <w:iCs w:val="0"/>
              <w:sz w:val="28"/>
              <w:szCs w:val="28"/>
            </w:rPr>
            <w:t>7</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"_Toc78041423" </w:instrText>
          </w:r>
          <w:r>
            <w:fldChar w:fldCharType="separate"/>
          </w:r>
          <w:r>
            <w:rPr>
              <w:rStyle w:val="49"/>
              <w:rFonts w:ascii="仿宋" w:hAnsi="仿宋" w:eastAsia="仿宋" w:cs="Arial"/>
              <w:i w:val="0"/>
              <w:iCs w:val="0"/>
              <w:sz w:val="28"/>
              <w:szCs w:val="28"/>
            </w:rPr>
            <w:t>5.</w:t>
          </w:r>
          <w:r>
            <w:rPr>
              <w:rFonts w:ascii="仿宋" w:hAnsi="仿宋" w:eastAsia="仿宋" w:cstheme="minorBidi"/>
              <w:i w:val="0"/>
              <w:iCs w:val="0"/>
              <w:sz w:val="28"/>
              <w:szCs w:val="28"/>
            </w:rPr>
            <w:tab/>
          </w:r>
          <w:r>
            <w:rPr>
              <w:rStyle w:val="49"/>
              <w:rFonts w:ascii="仿宋" w:hAnsi="仿宋" w:eastAsia="仿宋" w:cs="Arial"/>
              <w:i w:val="0"/>
              <w:iCs w:val="0"/>
              <w:sz w:val="28"/>
              <w:szCs w:val="28"/>
            </w:rPr>
            <w:t>大数据发展体制机制需完善</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_Toc78041423 \h </w:instrText>
          </w:r>
          <w:r>
            <w:rPr>
              <w:rFonts w:ascii="仿宋" w:hAnsi="仿宋" w:eastAsia="仿宋"/>
              <w:i w:val="0"/>
              <w:iCs w:val="0"/>
              <w:sz w:val="28"/>
              <w:szCs w:val="28"/>
            </w:rPr>
            <w:fldChar w:fldCharType="separate"/>
          </w:r>
          <w:r>
            <w:rPr>
              <w:rFonts w:ascii="仿宋" w:hAnsi="仿宋" w:eastAsia="仿宋"/>
              <w:i w:val="0"/>
              <w:iCs w:val="0"/>
              <w:sz w:val="28"/>
              <w:szCs w:val="28"/>
            </w:rPr>
            <w:t>7</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27"/>
            <w:tabs>
              <w:tab w:val="left" w:pos="840"/>
            </w:tabs>
            <w:spacing w:before="0" w:after="0"/>
            <w:rPr>
              <w:rFonts w:ascii="仿宋" w:hAnsi="仿宋" w:eastAsia="仿宋" w:cstheme="minorBidi"/>
              <w:b w:val="0"/>
              <w:bCs w:val="0"/>
              <w:caps w:val="0"/>
              <w:sz w:val="28"/>
              <w:szCs w:val="28"/>
            </w:rPr>
          </w:pPr>
          <w:r>
            <w:fldChar w:fldCharType="begin"/>
          </w:r>
          <w:r>
            <w:instrText xml:space="preserve"> HYPERLINK \l "_Toc78041424" </w:instrText>
          </w:r>
          <w:r>
            <w:fldChar w:fldCharType="separate"/>
          </w:r>
          <w:r>
            <w:rPr>
              <w:rStyle w:val="49"/>
              <w:rFonts w:ascii="仿宋" w:hAnsi="仿宋" w:eastAsia="仿宋" w:cs="Arial"/>
              <w:sz w:val="28"/>
              <w:szCs w:val="28"/>
            </w:rPr>
            <w:t>二、</w:t>
          </w:r>
          <w:r>
            <w:rPr>
              <w:rFonts w:ascii="仿宋" w:hAnsi="仿宋" w:eastAsia="仿宋" w:cstheme="minorBidi"/>
              <w:b w:val="0"/>
              <w:bCs w:val="0"/>
              <w:caps w:val="0"/>
              <w:sz w:val="28"/>
              <w:szCs w:val="28"/>
            </w:rPr>
            <w:tab/>
          </w:r>
          <w:r>
            <w:rPr>
              <w:rStyle w:val="49"/>
              <w:rFonts w:ascii="仿宋" w:hAnsi="仿宋" w:eastAsia="仿宋" w:cs="Arial"/>
              <w:sz w:val="28"/>
              <w:szCs w:val="28"/>
            </w:rPr>
            <w:t>总体思路</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_Toc78041424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"_Toc78041425" </w:instrText>
          </w:r>
          <w:r>
            <w:fldChar w:fldCharType="separate"/>
          </w:r>
          <w:r>
            <w:rPr>
              <w:rStyle w:val="49"/>
              <w:rFonts w:ascii="仿宋" w:hAnsi="仿宋" w:eastAsia="仿宋" w:cs="Arial"/>
              <w:sz w:val="28"/>
              <w:szCs w:val="28"/>
            </w:rPr>
            <w:t>(一)</w:t>
          </w:r>
          <w:r>
            <w:rPr>
              <w:rFonts w:ascii="仿宋" w:hAnsi="仿宋" w:eastAsia="仿宋" w:cstheme="minorBidi"/>
              <w:smallCaps w:val="0"/>
              <w:sz w:val="28"/>
              <w:szCs w:val="28"/>
            </w:rPr>
            <w:tab/>
          </w:r>
          <w:r>
            <w:rPr>
              <w:rStyle w:val="49"/>
              <w:rFonts w:ascii="仿宋" w:hAnsi="仿宋" w:eastAsia="仿宋" w:cs="Arial"/>
              <w:sz w:val="28"/>
              <w:szCs w:val="28"/>
            </w:rPr>
            <w:t>指导思想</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_Toc78041425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"_Toc78041426" </w:instrText>
          </w:r>
          <w:r>
            <w:fldChar w:fldCharType="separate"/>
          </w:r>
          <w:r>
            <w:rPr>
              <w:rStyle w:val="49"/>
              <w:rFonts w:ascii="仿宋" w:hAnsi="仿宋" w:eastAsia="仿宋" w:cs="Arial"/>
              <w:sz w:val="28"/>
              <w:szCs w:val="28"/>
            </w:rPr>
            <w:t>(二)</w:t>
          </w:r>
          <w:r>
            <w:rPr>
              <w:rFonts w:ascii="仿宋" w:hAnsi="仿宋" w:eastAsia="仿宋" w:cstheme="minorBidi"/>
              <w:smallCaps w:val="0"/>
              <w:sz w:val="28"/>
              <w:szCs w:val="28"/>
            </w:rPr>
            <w:tab/>
          </w:r>
          <w:r>
            <w:rPr>
              <w:rStyle w:val="49"/>
              <w:rFonts w:ascii="仿宋" w:hAnsi="仿宋" w:eastAsia="仿宋" w:cs="Arial"/>
              <w:sz w:val="28"/>
              <w:szCs w:val="28"/>
            </w:rPr>
            <w:t>基本原则</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_Toc78041426 \h </w:instrText>
          </w:r>
          <w:r>
            <w:rPr>
              <w:rFonts w:ascii="仿宋" w:hAnsi="仿宋" w:eastAsia="仿宋"/>
              <w:sz w:val="28"/>
              <w:szCs w:val="28"/>
            </w:rPr>
            <w:fldChar w:fldCharType="separate"/>
          </w:r>
          <w:r>
            <w:rPr>
              <w:rFonts w:ascii="仿宋" w:hAnsi="仿宋" w:eastAsia="仿宋"/>
              <w:sz w:val="28"/>
              <w:szCs w:val="28"/>
            </w:rPr>
            <w:t>8</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"_Toc78041427" </w:instrText>
          </w:r>
          <w:r>
            <w:fldChar w:fldCharType="separate"/>
          </w:r>
          <w:r>
            <w:rPr>
              <w:rStyle w:val="49"/>
              <w:rFonts w:ascii="仿宋" w:hAnsi="仿宋" w:eastAsia="仿宋" w:cs="Arial"/>
              <w:sz w:val="28"/>
              <w:szCs w:val="28"/>
            </w:rPr>
            <w:t>(三)</w:t>
          </w:r>
          <w:r>
            <w:rPr>
              <w:rFonts w:ascii="仿宋" w:hAnsi="仿宋" w:eastAsia="仿宋" w:cstheme="minorBidi"/>
              <w:smallCaps w:val="0"/>
              <w:sz w:val="28"/>
              <w:szCs w:val="28"/>
            </w:rPr>
            <w:tab/>
          </w:r>
          <w:r>
            <w:rPr>
              <w:rStyle w:val="49"/>
              <w:rFonts w:ascii="仿宋" w:hAnsi="仿宋" w:eastAsia="仿宋" w:cs="Arial"/>
              <w:sz w:val="28"/>
              <w:szCs w:val="28"/>
            </w:rPr>
            <w:t>总体目标</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_Toc78041427 \h </w:instrText>
          </w:r>
          <w:r>
            <w:rPr>
              <w:rFonts w:ascii="仿宋" w:hAnsi="仿宋" w:eastAsia="仿宋"/>
              <w:sz w:val="28"/>
              <w:szCs w:val="28"/>
            </w:rPr>
            <w:fldChar w:fldCharType="separate"/>
          </w:r>
          <w:r>
            <w:rPr>
              <w:rFonts w:ascii="仿宋" w:hAnsi="仿宋" w:eastAsia="仿宋"/>
              <w:sz w:val="28"/>
              <w:szCs w:val="28"/>
            </w:rPr>
            <w:t>9</w:t>
          </w:r>
          <w:r>
            <w:rPr>
              <w:rFonts w:ascii="仿宋" w:hAnsi="仿宋" w:eastAsia="仿宋"/>
              <w:sz w:val="28"/>
              <w:szCs w:val="28"/>
            </w:rPr>
            <w:fldChar w:fldCharType="end"/>
          </w:r>
          <w:r>
            <w:rPr>
              <w:rFonts w:ascii="仿宋" w:hAnsi="仿宋" w:eastAsia="仿宋"/>
              <w:sz w:val="28"/>
              <w:szCs w:val="28"/>
            </w:rPr>
            <w:fldChar w:fldCharType="end"/>
          </w:r>
        </w:p>
        <w:p>
          <w:pPr>
            <w:pStyle w:val="27"/>
            <w:tabs>
              <w:tab w:val="left" w:pos="840"/>
            </w:tabs>
            <w:spacing w:before="0" w:after="0"/>
            <w:rPr>
              <w:rFonts w:ascii="仿宋" w:hAnsi="仿宋" w:eastAsia="仿宋" w:cstheme="minorBidi"/>
              <w:b w:val="0"/>
              <w:bCs w:val="0"/>
              <w:caps w:val="0"/>
              <w:sz w:val="28"/>
              <w:szCs w:val="28"/>
            </w:rPr>
          </w:pPr>
          <w:r>
            <w:fldChar w:fldCharType="begin"/>
          </w:r>
          <w:r>
            <w:instrText xml:space="preserve"> HYPERLINK \l "_Toc78041428" </w:instrText>
          </w:r>
          <w:r>
            <w:fldChar w:fldCharType="separate"/>
          </w:r>
          <w:r>
            <w:rPr>
              <w:rStyle w:val="49"/>
              <w:rFonts w:ascii="仿宋" w:hAnsi="仿宋" w:eastAsia="仿宋" w:cs="Arial"/>
              <w:sz w:val="28"/>
              <w:szCs w:val="28"/>
            </w:rPr>
            <w:t>三、</w:t>
          </w:r>
          <w:r>
            <w:rPr>
              <w:rFonts w:ascii="仿宋" w:hAnsi="仿宋" w:eastAsia="仿宋" w:cstheme="minorBidi"/>
              <w:b w:val="0"/>
              <w:bCs w:val="0"/>
              <w:caps w:val="0"/>
              <w:sz w:val="28"/>
              <w:szCs w:val="28"/>
            </w:rPr>
            <w:tab/>
          </w:r>
          <w:r>
            <w:rPr>
              <w:rStyle w:val="49"/>
              <w:rFonts w:ascii="仿宋" w:hAnsi="仿宋" w:eastAsia="仿宋" w:cs="Arial"/>
              <w:sz w:val="28"/>
              <w:szCs w:val="28"/>
            </w:rPr>
            <w:t>主要任务</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_Toc78041428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9"/>
            <w:tabs>
              <w:tab w:val="right" w:leader="dot" w:pos="8296"/>
            </w:tabs>
            <w:rPr>
              <w:rFonts w:ascii="仿宋" w:hAnsi="仿宋" w:eastAsia="仿宋" w:cstheme="minorBidi"/>
              <w:i w:val="0"/>
              <w:iCs w:val="0"/>
              <w:sz w:val="28"/>
              <w:szCs w:val="28"/>
            </w:rPr>
          </w:pPr>
          <w:r>
            <w:fldChar w:fldCharType="begin"/>
          </w:r>
          <w:r>
            <w:instrText xml:space="preserve"> HYPERLINK \l "_Toc78041429" </w:instrText>
          </w:r>
          <w:r>
            <w:fldChar w:fldCharType="separate"/>
          </w:r>
          <w:r>
            <w:rPr>
              <w:rStyle w:val="49"/>
              <w:rFonts w:ascii="仿宋" w:hAnsi="仿宋" w:eastAsia="仿宋" w:cs="Arial"/>
              <w:i w:val="0"/>
              <w:iCs w:val="0"/>
              <w:sz w:val="28"/>
              <w:szCs w:val="28"/>
            </w:rPr>
            <w:t>1.夯实大数据发展承载基础</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_Toc78041429 \h </w:instrText>
          </w:r>
          <w:r>
            <w:rPr>
              <w:rFonts w:ascii="仿宋" w:hAnsi="仿宋" w:eastAsia="仿宋"/>
              <w:i w:val="0"/>
              <w:iCs w:val="0"/>
              <w:sz w:val="28"/>
              <w:szCs w:val="28"/>
            </w:rPr>
            <w:fldChar w:fldCharType="separate"/>
          </w:r>
          <w:r>
            <w:rPr>
              <w:rFonts w:ascii="仿宋" w:hAnsi="仿宋" w:eastAsia="仿宋"/>
              <w:i w:val="0"/>
              <w:iCs w:val="0"/>
              <w:sz w:val="28"/>
              <w:szCs w:val="28"/>
            </w:rPr>
            <w:t>11</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right" w:leader="dot" w:pos="8296"/>
            </w:tabs>
            <w:rPr>
              <w:rFonts w:ascii="仿宋" w:hAnsi="仿宋" w:eastAsia="仿宋" w:cstheme="minorBidi"/>
              <w:i w:val="0"/>
              <w:iCs w:val="0"/>
              <w:sz w:val="28"/>
              <w:szCs w:val="28"/>
            </w:rPr>
          </w:pPr>
          <w:r>
            <w:fldChar w:fldCharType="begin"/>
          </w:r>
          <w:r>
            <w:instrText xml:space="preserve"> HYPERLINK \l "_Toc78041430" </w:instrText>
          </w:r>
          <w:r>
            <w:fldChar w:fldCharType="separate"/>
          </w:r>
          <w:r>
            <w:rPr>
              <w:rStyle w:val="49"/>
              <w:rFonts w:ascii="仿宋" w:hAnsi="仿宋" w:eastAsia="仿宋" w:cs="Arial"/>
              <w:i w:val="0"/>
              <w:iCs w:val="0"/>
              <w:sz w:val="28"/>
              <w:szCs w:val="28"/>
            </w:rPr>
            <w:t>2.完善大数据发展支撑体系</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_Toc78041430 \h </w:instrText>
          </w:r>
          <w:r>
            <w:rPr>
              <w:rFonts w:ascii="仿宋" w:hAnsi="仿宋" w:eastAsia="仿宋"/>
              <w:i w:val="0"/>
              <w:iCs w:val="0"/>
              <w:sz w:val="28"/>
              <w:szCs w:val="28"/>
            </w:rPr>
            <w:fldChar w:fldCharType="separate"/>
          </w:r>
          <w:r>
            <w:rPr>
              <w:rFonts w:ascii="仿宋" w:hAnsi="仿宋" w:eastAsia="仿宋"/>
              <w:i w:val="0"/>
              <w:iCs w:val="0"/>
              <w:sz w:val="28"/>
              <w:szCs w:val="28"/>
            </w:rPr>
            <w:t>11</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right" w:leader="dot" w:pos="8296"/>
            </w:tabs>
            <w:rPr>
              <w:rFonts w:ascii="仿宋" w:hAnsi="仿宋" w:eastAsia="仿宋" w:cstheme="minorBidi"/>
              <w:i w:val="0"/>
              <w:iCs w:val="0"/>
              <w:sz w:val="28"/>
              <w:szCs w:val="28"/>
            </w:rPr>
          </w:pPr>
          <w:r>
            <w:fldChar w:fldCharType="begin"/>
          </w:r>
          <w:r>
            <w:instrText xml:space="preserve"> HYPERLINK \l "_Toc78041431" </w:instrText>
          </w:r>
          <w:r>
            <w:fldChar w:fldCharType="separate"/>
          </w:r>
          <w:r>
            <w:rPr>
              <w:rStyle w:val="49"/>
              <w:rFonts w:ascii="仿宋" w:hAnsi="仿宋" w:eastAsia="仿宋" w:cs="Arial"/>
              <w:i w:val="0"/>
              <w:iCs w:val="0"/>
              <w:sz w:val="28"/>
              <w:szCs w:val="28"/>
            </w:rPr>
            <w:t>3.加快打造大数据示范应用</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_Toc78041431 \h </w:instrText>
          </w:r>
          <w:r>
            <w:rPr>
              <w:rFonts w:ascii="仿宋" w:hAnsi="仿宋" w:eastAsia="仿宋"/>
              <w:i w:val="0"/>
              <w:iCs w:val="0"/>
              <w:sz w:val="28"/>
              <w:szCs w:val="28"/>
            </w:rPr>
            <w:fldChar w:fldCharType="separate"/>
          </w:r>
          <w:r>
            <w:rPr>
              <w:rFonts w:ascii="仿宋" w:hAnsi="仿宋" w:eastAsia="仿宋"/>
              <w:i w:val="0"/>
              <w:iCs w:val="0"/>
              <w:sz w:val="28"/>
              <w:szCs w:val="28"/>
            </w:rPr>
            <w:t>12</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right" w:leader="dot" w:pos="8296"/>
            </w:tabs>
            <w:rPr>
              <w:rFonts w:ascii="仿宋" w:hAnsi="仿宋" w:eastAsia="仿宋" w:cstheme="minorBidi"/>
              <w:i w:val="0"/>
              <w:iCs w:val="0"/>
              <w:sz w:val="28"/>
              <w:szCs w:val="28"/>
            </w:rPr>
          </w:pPr>
          <w:r>
            <w:fldChar w:fldCharType="begin"/>
          </w:r>
          <w:r>
            <w:instrText xml:space="preserve"> HYPERLINK \l "_Toc78041432" </w:instrText>
          </w:r>
          <w:r>
            <w:fldChar w:fldCharType="separate"/>
          </w:r>
          <w:r>
            <w:rPr>
              <w:rStyle w:val="49"/>
              <w:rFonts w:ascii="仿宋" w:hAnsi="仿宋" w:eastAsia="仿宋" w:cs="Arial"/>
              <w:i w:val="0"/>
              <w:iCs w:val="0"/>
              <w:sz w:val="28"/>
              <w:szCs w:val="28"/>
            </w:rPr>
            <w:t>4.培育大数据产业生态发展</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_Toc78041432 \h </w:instrText>
          </w:r>
          <w:r>
            <w:rPr>
              <w:rFonts w:ascii="仿宋" w:hAnsi="仿宋" w:eastAsia="仿宋"/>
              <w:i w:val="0"/>
              <w:iCs w:val="0"/>
              <w:sz w:val="28"/>
              <w:szCs w:val="28"/>
            </w:rPr>
            <w:fldChar w:fldCharType="separate"/>
          </w:r>
          <w:r>
            <w:rPr>
              <w:rFonts w:ascii="仿宋" w:hAnsi="仿宋" w:eastAsia="仿宋"/>
              <w:i w:val="0"/>
              <w:iCs w:val="0"/>
              <w:sz w:val="28"/>
              <w:szCs w:val="28"/>
            </w:rPr>
            <w:t>13</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right" w:leader="dot" w:pos="8296"/>
            </w:tabs>
            <w:rPr>
              <w:rFonts w:ascii="仿宋" w:hAnsi="仿宋" w:eastAsia="仿宋" w:cstheme="minorBidi"/>
              <w:i w:val="0"/>
              <w:iCs w:val="0"/>
              <w:sz w:val="28"/>
              <w:szCs w:val="28"/>
            </w:rPr>
          </w:pPr>
          <w:r>
            <w:fldChar w:fldCharType="begin"/>
          </w:r>
          <w:r>
            <w:instrText xml:space="preserve"> HYPERLINK \l "_Toc78041433" </w:instrText>
          </w:r>
          <w:r>
            <w:fldChar w:fldCharType="separate"/>
          </w:r>
          <w:r>
            <w:rPr>
              <w:rStyle w:val="49"/>
              <w:rFonts w:ascii="仿宋" w:hAnsi="仿宋" w:eastAsia="仿宋" w:cs="Arial"/>
              <w:i w:val="0"/>
              <w:iCs w:val="0"/>
              <w:sz w:val="28"/>
              <w:szCs w:val="28"/>
            </w:rPr>
            <w:t>5.加固大数据安全保障能力</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_Toc78041433 \h </w:instrText>
          </w:r>
          <w:r>
            <w:rPr>
              <w:rFonts w:ascii="仿宋" w:hAnsi="仿宋" w:eastAsia="仿宋"/>
              <w:i w:val="0"/>
              <w:iCs w:val="0"/>
              <w:sz w:val="28"/>
              <w:szCs w:val="28"/>
            </w:rPr>
            <w:fldChar w:fldCharType="separate"/>
          </w:r>
          <w:r>
            <w:rPr>
              <w:rFonts w:ascii="仿宋" w:hAnsi="仿宋" w:eastAsia="仿宋"/>
              <w:i w:val="0"/>
              <w:iCs w:val="0"/>
              <w:sz w:val="28"/>
              <w:szCs w:val="28"/>
            </w:rPr>
            <w:t>13</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27"/>
            <w:tabs>
              <w:tab w:val="left" w:pos="840"/>
            </w:tabs>
            <w:spacing w:before="0" w:after="0"/>
            <w:rPr>
              <w:rFonts w:ascii="仿宋" w:hAnsi="仿宋" w:eastAsia="仿宋" w:cstheme="minorBidi"/>
              <w:b w:val="0"/>
              <w:bCs w:val="0"/>
              <w:caps w:val="0"/>
              <w:sz w:val="28"/>
              <w:szCs w:val="28"/>
            </w:rPr>
          </w:pPr>
          <w:r>
            <w:fldChar w:fldCharType="begin"/>
          </w:r>
          <w:r>
            <w:instrText xml:space="preserve"> HYPERLINK \l "_Toc78041434" </w:instrText>
          </w:r>
          <w:r>
            <w:fldChar w:fldCharType="separate"/>
          </w:r>
          <w:r>
            <w:rPr>
              <w:rStyle w:val="49"/>
              <w:rFonts w:ascii="仿宋" w:hAnsi="仿宋" w:eastAsia="仿宋" w:cs="Arial"/>
              <w:sz w:val="28"/>
              <w:szCs w:val="28"/>
            </w:rPr>
            <w:t>四、</w:t>
          </w:r>
          <w:r>
            <w:rPr>
              <w:rFonts w:ascii="仿宋" w:hAnsi="仿宋" w:eastAsia="仿宋" w:cstheme="minorBidi"/>
              <w:b w:val="0"/>
              <w:bCs w:val="0"/>
              <w:caps w:val="0"/>
              <w:sz w:val="28"/>
              <w:szCs w:val="28"/>
            </w:rPr>
            <w:tab/>
          </w:r>
          <w:r>
            <w:rPr>
              <w:rStyle w:val="49"/>
              <w:rFonts w:ascii="仿宋" w:hAnsi="仿宋" w:eastAsia="仿宋" w:cs="Arial"/>
              <w:sz w:val="28"/>
              <w:szCs w:val="28"/>
            </w:rPr>
            <w:t>重点工程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_Toc78041434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"_Toc78041435" </w:instrText>
          </w:r>
          <w:r>
            <w:fldChar w:fldCharType="separate"/>
          </w:r>
          <w:r>
            <w:rPr>
              <w:rStyle w:val="49"/>
              <w:rFonts w:ascii="仿宋" w:hAnsi="仿宋" w:eastAsia="仿宋" w:cs="Arial"/>
              <w:sz w:val="28"/>
              <w:szCs w:val="28"/>
            </w:rPr>
            <w:t>(一)</w:t>
          </w:r>
          <w:r>
            <w:rPr>
              <w:rFonts w:ascii="仿宋" w:hAnsi="仿宋" w:eastAsia="仿宋" w:cstheme="minorBidi"/>
              <w:smallCaps w:val="0"/>
              <w:sz w:val="28"/>
              <w:szCs w:val="28"/>
            </w:rPr>
            <w:tab/>
          </w:r>
          <w:r>
            <w:rPr>
              <w:rStyle w:val="49"/>
              <w:rFonts w:ascii="仿宋" w:hAnsi="仿宋" w:eastAsia="仿宋" w:cs="Arial"/>
              <w:sz w:val="28"/>
              <w:szCs w:val="28"/>
            </w:rPr>
            <w:t>新型基础设施</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_Toc78041435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"_Toc78041436" </w:instrText>
          </w:r>
          <w:r>
            <w:fldChar w:fldCharType="separate"/>
          </w:r>
          <w:r>
            <w:rPr>
              <w:rStyle w:val="49"/>
              <w:rFonts w:ascii="仿宋" w:hAnsi="仿宋" w:eastAsia="仿宋" w:cs="Arial"/>
              <w:sz w:val="28"/>
              <w:szCs w:val="28"/>
            </w:rPr>
            <w:t>(二)</w:t>
          </w:r>
          <w:r>
            <w:rPr>
              <w:rFonts w:ascii="仿宋" w:hAnsi="仿宋" w:eastAsia="仿宋" w:cstheme="minorBidi"/>
              <w:smallCaps w:val="0"/>
              <w:sz w:val="28"/>
              <w:szCs w:val="28"/>
            </w:rPr>
            <w:tab/>
          </w:r>
          <w:r>
            <w:rPr>
              <w:rStyle w:val="49"/>
              <w:rFonts w:ascii="仿宋" w:hAnsi="仿宋" w:eastAsia="仿宋" w:cs="Arial"/>
              <w:sz w:val="28"/>
              <w:szCs w:val="28"/>
            </w:rPr>
            <w:t>智慧城市运营中心(IOC)</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_Toc78041436 \h </w:instrText>
          </w:r>
          <w:r>
            <w:rPr>
              <w:rFonts w:ascii="仿宋" w:hAnsi="仿宋" w:eastAsia="仿宋"/>
              <w:sz w:val="28"/>
              <w:szCs w:val="28"/>
            </w:rPr>
            <w:fldChar w:fldCharType="separate"/>
          </w:r>
          <w:r>
            <w:rPr>
              <w:rFonts w:ascii="仿宋" w:hAnsi="仿宋" w:eastAsia="仿宋"/>
              <w:sz w:val="28"/>
              <w:szCs w:val="28"/>
            </w:rPr>
            <w:t>18</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"_Toc78041437" </w:instrText>
          </w:r>
          <w:r>
            <w:fldChar w:fldCharType="separate"/>
          </w:r>
          <w:r>
            <w:rPr>
              <w:rStyle w:val="49"/>
              <w:rFonts w:ascii="仿宋" w:hAnsi="仿宋" w:eastAsia="仿宋" w:cs="Arial"/>
              <w:sz w:val="28"/>
              <w:szCs w:val="28"/>
            </w:rPr>
            <w:t>(三)</w:t>
          </w:r>
          <w:r>
            <w:rPr>
              <w:rFonts w:ascii="仿宋" w:hAnsi="仿宋" w:eastAsia="仿宋" w:cstheme="minorBidi"/>
              <w:smallCaps w:val="0"/>
              <w:sz w:val="28"/>
              <w:szCs w:val="28"/>
            </w:rPr>
            <w:tab/>
          </w:r>
          <w:r>
            <w:rPr>
              <w:rStyle w:val="49"/>
              <w:rFonts w:ascii="仿宋" w:hAnsi="仿宋" w:eastAsia="仿宋" w:cs="Arial"/>
              <w:sz w:val="28"/>
              <w:szCs w:val="28"/>
            </w:rPr>
            <w:t>民生服务领域工程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_Toc78041437 \h </w:instrText>
          </w:r>
          <w:r>
            <w:rPr>
              <w:rFonts w:ascii="仿宋" w:hAnsi="仿宋" w:eastAsia="仿宋"/>
              <w:sz w:val="28"/>
              <w:szCs w:val="28"/>
            </w:rPr>
            <w:fldChar w:fldCharType="separate"/>
          </w:r>
          <w:r>
            <w:rPr>
              <w:rFonts w:ascii="仿宋" w:hAnsi="仿宋" w:eastAsia="仿宋"/>
              <w:sz w:val="28"/>
              <w:szCs w:val="28"/>
            </w:rPr>
            <w:t>22</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"_Toc78041438"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民生融合</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_Toc78041438 \h </w:instrText>
          </w:r>
          <w:r>
            <w:rPr>
              <w:rFonts w:ascii="仿宋" w:hAnsi="仿宋" w:eastAsia="仿宋"/>
              <w:i w:val="0"/>
              <w:iCs w:val="0"/>
              <w:sz w:val="28"/>
              <w:szCs w:val="28"/>
            </w:rPr>
            <w:fldChar w:fldCharType="separate"/>
          </w:r>
          <w:r>
            <w:rPr>
              <w:rFonts w:ascii="仿宋" w:hAnsi="仿宋" w:eastAsia="仿宋"/>
              <w:i w:val="0"/>
              <w:iCs w:val="0"/>
              <w:sz w:val="28"/>
              <w:szCs w:val="28"/>
            </w:rPr>
            <w:t>22</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"_Toc78041439"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智慧政务</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_Toc78041439 \h </w:instrText>
          </w:r>
          <w:r>
            <w:rPr>
              <w:rFonts w:ascii="仿宋" w:hAnsi="仿宋" w:eastAsia="仿宋"/>
              <w:i w:val="0"/>
              <w:iCs w:val="0"/>
              <w:sz w:val="28"/>
              <w:szCs w:val="28"/>
            </w:rPr>
            <w:fldChar w:fldCharType="separate"/>
          </w:r>
          <w:r>
            <w:rPr>
              <w:rFonts w:ascii="仿宋" w:hAnsi="仿宋" w:eastAsia="仿宋"/>
              <w:i w:val="0"/>
              <w:iCs w:val="0"/>
              <w:sz w:val="28"/>
              <w:szCs w:val="28"/>
            </w:rPr>
            <w:t>23</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"_Toc78041440"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智慧教育</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_Toc78041440 \h </w:instrText>
          </w:r>
          <w:r>
            <w:rPr>
              <w:rFonts w:ascii="仿宋" w:hAnsi="仿宋" w:eastAsia="仿宋"/>
              <w:i w:val="0"/>
              <w:iCs w:val="0"/>
              <w:sz w:val="28"/>
              <w:szCs w:val="28"/>
            </w:rPr>
            <w:fldChar w:fldCharType="separate"/>
          </w:r>
          <w:r>
            <w:rPr>
              <w:rFonts w:ascii="仿宋" w:hAnsi="仿宋" w:eastAsia="仿宋"/>
              <w:i w:val="0"/>
              <w:iCs w:val="0"/>
              <w:sz w:val="28"/>
              <w:szCs w:val="28"/>
            </w:rPr>
            <w:t>24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"_Toc78041441" </w:instrText>
          </w:r>
          <w:r>
            <w:fldChar w:fldCharType="separate"/>
          </w:r>
          <w:r>
            <w:rPr>
              <w:rStyle w:val="49"/>
              <w:rFonts w:ascii="仿宋" w:hAnsi="仿宋" w:eastAsia="仿宋" w:cs="Arial"/>
              <w:i w:val="0"/>
              <w:iCs w:val="0"/>
              <w:sz w:val="28"/>
              <w:szCs w:val="28"/>
            </w:rPr>
            <w:t>4.</w:t>
          </w:r>
          <w:r>
            <w:rPr>
              <w:rFonts w:ascii="仿宋" w:hAnsi="仿宋" w:eastAsia="仿宋" w:cstheme="minorBidi"/>
              <w:i w:val="0"/>
              <w:iCs w:val="0"/>
              <w:sz w:val="28"/>
              <w:szCs w:val="28"/>
            </w:rPr>
            <w:tab/>
          </w:r>
          <w:r>
            <w:rPr>
              <w:rStyle w:val="49"/>
              <w:rFonts w:ascii="仿宋" w:hAnsi="仿宋" w:eastAsia="仿宋" w:cs="Arial"/>
              <w:i w:val="0"/>
              <w:iCs w:val="0"/>
              <w:sz w:val="28"/>
              <w:szCs w:val="28"/>
            </w:rPr>
            <w:t>智慧医疗</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_Toc78041441 \h </w:instrText>
          </w:r>
          <w:r>
            <w:rPr>
              <w:rFonts w:ascii="仿宋" w:hAnsi="仿宋" w:eastAsia="仿宋"/>
              <w:i w:val="0"/>
              <w:iCs w:val="0"/>
              <w:sz w:val="28"/>
              <w:szCs w:val="28"/>
            </w:rPr>
            <w:fldChar w:fldCharType="separate"/>
          </w:r>
          <w:r>
            <w:rPr>
              <w:rFonts w:ascii="仿宋" w:hAnsi="仿宋" w:eastAsia="仿宋"/>
              <w:i w:val="0"/>
              <w:iCs w:val="0"/>
              <w:sz w:val="28"/>
              <w:szCs w:val="28"/>
            </w:rPr>
            <w:t>26</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"_Toc78041442" </w:instrText>
          </w:r>
          <w:r>
            <w:fldChar w:fldCharType="separate"/>
          </w:r>
          <w:r>
            <w:rPr>
              <w:rStyle w:val="49"/>
              <w:rFonts w:ascii="仿宋" w:hAnsi="仿宋" w:eastAsia="仿宋" w:cs="Arial"/>
              <w:i w:val="0"/>
              <w:iCs w:val="0"/>
              <w:sz w:val="28"/>
              <w:szCs w:val="28"/>
            </w:rPr>
            <w:t>5.</w:t>
          </w:r>
          <w:r>
            <w:rPr>
              <w:rFonts w:ascii="仿宋" w:hAnsi="仿宋" w:eastAsia="仿宋" w:cstheme="minorBidi"/>
              <w:i w:val="0"/>
              <w:iCs w:val="0"/>
              <w:sz w:val="28"/>
              <w:szCs w:val="28"/>
            </w:rPr>
            <w:tab/>
          </w:r>
          <w:r>
            <w:rPr>
              <w:rStyle w:val="49"/>
              <w:rFonts w:ascii="仿宋" w:hAnsi="仿宋" w:eastAsia="仿宋" w:cs="Arial"/>
              <w:i w:val="0"/>
              <w:iCs w:val="0"/>
              <w:sz w:val="28"/>
              <w:szCs w:val="28"/>
            </w:rPr>
            <w:t>智慧社保</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_Toc78041442 \h </w:instrText>
          </w:r>
          <w:r>
            <w:rPr>
              <w:rFonts w:ascii="仿宋" w:hAnsi="仿宋" w:eastAsia="仿宋"/>
              <w:i w:val="0"/>
              <w:iCs w:val="0"/>
              <w:sz w:val="28"/>
              <w:szCs w:val="28"/>
            </w:rPr>
            <w:fldChar w:fldCharType="separate"/>
          </w:r>
          <w:r>
            <w:rPr>
              <w:rFonts w:ascii="仿宋" w:hAnsi="仿宋" w:eastAsia="仿宋"/>
              <w:i w:val="0"/>
              <w:iCs w:val="0"/>
              <w:sz w:val="28"/>
              <w:szCs w:val="28"/>
            </w:rPr>
            <w:t>28</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"_Toc78041443" </w:instrText>
          </w:r>
          <w:r>
            <w:fldChar w:fldCharType="separate"/>
          </w:r>
          <w:r>
            <w:rPr>
              <w:rStyle w:val="49"/>
              <w:rFonts w:ascii="仿宋" w:hAnsi="仿宋" w:eastAsia="仿宋" w:cs="Arial"/>
              <w:i w:val="0"/>
              <w:iCs w:val="0"/>
              <w:sz w:val="28"/>
              <w:szCs w:val="28"/>
            </w:rPr>
            <w:t>6.</w:t>
          </w:r>
          <w:r>
            <w:rPr>
              <w:rFonts w:ascii="仿宋" w:hAnsi="仿宋" w:eastAsia="仿宋" w:cstheme="minorBidi"/>
              <w:i w:val="0"/>
              <w:iCs w:val="0"/>
              <w:sz w:val="28"/>
              <w:szCs w:val="28"/>
            </w:rPr>
            <w:tab/>
          </w:r>
          <w:r>
            <w:rPr>
              <w:rStyle w:val="49"/>
              <w:rFonts w:ascii="仿宋" w:hAnsi="仿宋" w:eastAsia="仿宋" w:cs="Arial"/>
              <w:i w:val="0"/>
              <w:iCs w:val="0"/>
              <w:sz w:val="28"/>
              <w:szCs w:val="28"/>
            </w:rPr>
            <w:t>智慧养老</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_Toc78041443 \h </w:instrText>
          </w:r>
          <w:r>
            <w:rPr>
              <w:rFonts w:ascii="仿宋" w:hAnsi="仿宋" w:eastAsia="仿宋"/>
              <w:i w:val="0"/>
              <w:iCs w:val="0"/>
              <w:sz w:val="28"/>
              <w:szCs w:val="28"/>
            </w:rPr>
            <w:fldChar w:fldCharType="separate"/>
          </w:r>
          <w:r>
            <w:rPr>
              <w:rFonts w:ascii="仿宋" w:hAnsi="仿宋" w:eastAsia="仿宋"/>
              <w:i w:val="0"/>
              <w:iCs w:val="0"/>
              <w:sz w:val="28"/>
              <w:szCs w:val="28"/>
            </w:rPr>
            <w:t>29</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"_Toc78041444" </w:instrText>
          </w:r>
          <w:r>
            <w:fldChar w:fldCharType="separate"/>
          </w:r>
          <w:r>
            <w:rPr>
              <w:rStyle w:val="49"/>
              <w:rFonts w:ascii="仿宋" w:hAnsi="仿宋" w:eastAsia="仿宋" w:cs="Arial"/>
              <w:sz w:val="28"/>
              <w:szCs w:val="28"/>
            </w:rPr>
            <w:t>(四)</w:t>
          </w:r>
          <w:r>
            <w:rPr>
              <w:rFonts w:ascii="仿宋" w:hAnsi="仿宋" w:eastAsia="仿宋" w:cstheme="minorBidi"/>
              <w:smallCaps w:val="0"/>
              <w:sz w:val="28"/>
              <w:szCs w:val="28"/>
            </w:rPr>
            <w:tab/>
          </w:r>
          <w:r>
            <w:rPr>
              <w:rStyle w:val="49"/>
              <w:rFonts w:ascii="仿宋" w:hAnsi="仿宋" w:eastAsia="仿宋" w:cs="Arial"/>
              <w:sz w:val="28"/>
              <w:szCs w:val="28"/>
            </w:rPr>
            <w:t>城市治理领域工程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_Toc78041444 \h </w:instrText>
          </w:r>
          <w:r>
            <w:rPr>
              <w:rFonts w:ascii="仿宋" w:hAnsi="仿宋" w:eastAsia="仿宋"/>
              <w:sz w:val="28"/>
              <w:szCs w:val="28"/>
            </w:rPr>
            <w:fldChar w:fldCharType="separate"/>
          </w:r>
          <w:r>
            <w:rPr>
              <w:rFonts w:ascii="仿宋" w:hAnsi="仿宋" w:eastAsia="仿宋"/>
              <w:sz w:val="28"/>
              <w:szCs w:val="28"/>
            </w:rPr>
            <w:t>30</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"_Toc78041445"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智慧城建</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_Toc78041445 \h </w:instrText>
          </w:r>
          <w:r>
            <w:rPr>
              <w:rFonts w:ascii="仿宋" w:hAnsi="仿宋" w:eastAsia="仿宋"/>
              <w:i w:val="0"/>
              <w:iCs w:val="0"/>
              <w:sz w:val="28"/>
              <w:szCs w:val="28"/>
            </w:rPr>
            <w:fldChar w:fldCharType="separate"/>
          </w:r>
          <w:r>
            <w:rPr>
              <w:rFonts w:ascii="仿宋" w:hAnsi="仿宋" w:eastAsia="仿宋"/>
              <w:i w:val="0"/>
              <w:iCs w:val="0"/>
              <w:sz w:val="28"/>
              <w:szCs w:val="28"/>
            </w:rPr>
            <w:t>30</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"_Toc78041446"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智慧应急</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_Toc78041446 \h </w:instrText>
          </w:r>
          <w:r>
            <w:rPr>
              <w:rFonts w:ascii="仿宋" w:hAnsi="仿宋" w:eastAsia="仿宋"/>
              <w:i w:val="0"/>
              <w:iCs w:val="0"/>
              <w:sz w:val="28"/>
              <w:szCs w:val="28"/>
            </w:rPr>
            <w:fldChar w:fldCharType="separate"/>
          </w:r>
          <w:r>
            <w:rPr>
              <w:rFonts w:ascii="仿宋" w:hAnsi="仿宋" w:eastAsia="仿宋"/>
              <w:i w:val="0"/>
              <w:iCs w:val="0"/>
              <w:sz w:val="28"/>
              <w:szCs w:val="28"/>
            </w:rPr>
            <w:t>31</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"_Toc78041447"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智慧交通</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_Toc78041447 \h </w:instrText>
          </w:r>
          <w:r>
            <w:rPr>
              <w:rFonts w:ascii="仿宋" w:hAnsi="仿宋" w:eastAsia="仿宋"/>
              <w:i w:val="0"/>
              <w:iCs w:val="0"/>
              <w:sz w:val="28"/>
              <w:szCs w:val="28"/>
            </w:rPr>
            <w:fldChar w:fldCharType="separate"/>
          </w:r>
          <w:r>
            <w:rPr>
              <w:rFonts w:ascii="仿宋" w:hAnsi="仿宋" w:eastAsia="仿宋"/>
              <w:i w:val="0"/>
              <w:iCs w:val="0"/>
              <w:sz w:val="28"/>
              <w:szCs w:val="28"/>
            </w:rPr>
            <w:t>34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"_Toc78041448" </w:instrText>
          </w:r>
          <w:r>
            <w:fldChar w:fldCharType="separate"/>
          </w:r>
          <w:r>
            <w:rPr>
              <w:rStyle w:val="49"/>
              <w:rFonts w:ascii="仿宋" w:hAnsi="仿宋" w:eastAsia="仿宋" w:cs="Arial"/>
              <w:i w:val="0"/>
              <w:iCs w:val="0"/>
              <w:sz w:val="28"/>
              <w:szCs w:val="28"/>
            </w:rPr>
            <w:t>4.</w:t>
          </w:r>
          <w:r>
            <w:rPr>
              <w:rFonts w:ascii="仿宋" w:hAnsi="仿宋" w:eastAsia="仿宋" w:cstheme="minorBidi"/>
              <w:i w:val="0"/>
              <w:iCs w:val="0"/>
              <w:sz w:val="28"/>
              <w:szCs w:val="28"/>
            </w:rPr>
            <w:tab/>
          </w:r>
          <w:r>
            <w:rPr>
              <w:rStyle w:val="49"/>
              <w:rFonts w:ascii="仿宋" w:hAnsi="仿宋" w:eastAsia="仿宋" w:cs="Arial"/>
              <w:i w:val="0"/>
              <w:iCs w:val="0"/>
              <w:sz w:val="28"/>
              <w:szCs w:val="28"/>
            </w:rPr>
            <w:t>社会征信</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_Toc78041448 \h </w:instrText>
          </w:r>
          <w:r>
            <w:rPr>
              <w:rFonts w:ascii="仿宋" w:hAnsi="仿宋" w:eastAsia="仿宋"/>
              <w:i w:val="0"/>
              <w:iCs w:val="0"/>
              <w:sz w:val="28"/>
              <w:szCs w:val="28"/>
            </w:rPr>
            <w:fldChar w:fldCharType="separate"/>
          </w:r>
          <w:r>
            <w:rPr>
              <w:rFonts w:ascii="仿宋" w:hAnsi="仿宋" w:eastAsia="仿宋"/>
              <w:i w:val="0"/>
              <w:iCs w:val="0"/>
              <w:sz w:val="28"/>
              <w:szCs w:val="28"/>
            </w:rPr>
            <w:t>35</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"_Toc78041449" </w:instrText>
          </w:r>
          <w:r>
            <w:fldChar w:fldCharType="separate"/>
          </w:r>
          <w:r>
            <w:rPr>
              <w:rStyle w:val="49"/>
              <w:rFonts w:ascii="仿宋" w:hAnsi="仿宋" w:eastAsia="仿宋" w:cs="Arial"/>
              <w:i w:val="0"/>
              <w:iCs w:val="0"/>
              <w:sz w:val="28"/>
              <w:szCs w:val="28"/>
            </w:rPr>
            <w:t>5.</w:t>
          </w:r>
          <w:r>
            <w:rPr>
              <w:rFonts w:ascii="仿宋" w:hAnsi="仿宋" w:eastAsia="仿宋" w:cstheme="minorBidi"/>
              <w:i w:val="0"/>
              <w:iCs w:val="0"/>
              <w:sz w:val="28"/>
              <w:szCs w:val="28"/>
            </w:rPr>
            <w:tab/>
          </w:r>
          <w:r>
            <w:rPr>
              <w:rStyle w:val="49"/>
              <w:rFonts w:ascii="仿宋" w:hAnsi="仿宋" w:eastAsia="仿宋" w:cs="Arial"/>
              <w:i w:val="0"/>
              <w:iCs w:val="0"/>
              <w:sz w:val="28"/>
              <w:szCs w:val="28"/>
            </w:rPr>
            <w:t>雪亮工程</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_Toc78041449 \h </w:instrText>
          </w:r>
          <w:r>
            <w:rPr>
              <w:rFonts w:ascii="仿宋" w:hAnsi="仿宋" w:eastAsia="仿宋"/>
              <w:i w:val="0"/>
              <w:iCs w:val="0"/>
              <w:sz w:val="28"/>
              <w:szCs w:val="28"/>
            </w:rPr>
            <w:fldChar w:fldCharType="separate"/>
          </w:r>
          <w:r>
            <w:rPr>
              <w:rFonts w:ascii="仿宋" w:hAnsi="仿宋" w:eastAsia="仿宋"/>
              <w:i w:val="0"/>
              <w:iCs w:val="0"/>
              <w:sz w:val="28"/>
              <w:szCs w:val="28"/>
            </w:rPr>
            <w:t>36</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"_Toc78041450" </w:instrText>
          </w:r>
          <w:r>
            <w:fldChar w:fldCharType="separate"/>
          </w:r>
          <w:r>
            <w:rPr>
              <w:rStyle w:val="49"/>
              <w:rFonts w:ascii="仿宋" w:hAnsi="仿宋" w:eastAsia="仿宋" w:cs="Arial"/>
              <w:i w:val="0"/>
              <w:iCs w:val="0"/>
              <w:sz w:val="28"/>
              <w:szCs w:val="28"/>
            </w:rPr>
            <w:t>6.</w:t>
          </w:r>
          <w:r>
            <w:rPr>
              <w:rFonts w:ascii="仿宋" w:hAnsi="仿宋" w:eastAsia="仿宋" w:cstheme="minorBidi"/>
              <w:i w:val="0"/>
              <w:iCs w:val="0"/>
              <w:sz w:val="28"/>
              <w:szCs w:val="28"/>
            </w:rPr>
            <w:tab/>
          </w:r>
          <w:r>
            <w:rPr>
              <w:rStyle w:val="49"/>
              <w:rFonts w:ascii="仿宋" w:hAnsi="仿宋" w:eastAsia="仿宋" w:cs="Arial"/>
              <w:i w:val="0"/>
              <w:iCs w:val="0"/>
              <w:sz w:val="28"/>
              <w:szCs w:val="28"/>
            </w:rPr>
            <w:t>社会治理</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_Toc78041450 \h </w:instrText>
          </w:r>
          <w:r>
            <w:rPr>
              <w:rFonts w:ascii="仿宋" w:hAnsi="仿宋" w:eastAsia="仿宋"/>
              <w:i w:val="0"/>
              <w:iCs w:val="0"/>
              <w:sz w:val="28"/>
              <w:szCs w:val="28"/>
            </w:rPr>
            <w:fldChar w:fldCharType="separate"/>
          </w:r>
          <w:r>
            <w:rPr>
              <w:rFonts w:ascii="仿宋" w:hAnsi="仿宋" w:eastAsia="仿宋"/>
              <w:i w:val="0"/>
              <w:iCs w:val="0"/>
              <w:sz w:val="28"/>
              <w:szCs w:val="28"/>
            </w:rPr>
            <w:t>37</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"_Toc78041451" </w:instrText>
          </w:r>
          <w:r>
            <w:fldChar w:fldCharType="separate"/>
          </w:r>
          <w:r>
            <w:rPr>
              <w:rStyle w:val="49"/>
              <w:rFonts w:ascii="仿宋" w:hAnsi="仿宋" w:eastAsia="仿宋" w:cs="Arial"/>
              <w:i w:val="0"/>
              <w:iCs w:val="0"/>
              <w:sz w:val="28"/>
              <w:szCs w:val="28"/>
            </w:rPr>
            <w:t>7.</w:t>
          </w:r>
          <w:r>
            <w:rPr>
              <w:rFonts w:ascii="仿宋" w:hAnsi="仿宋" w:eastAsia="仿宋" w:cstheme="minorBidi"/>
              <w:i w:val="0"/>
              <w:iCs w:val="0"/>
              <w:sz w:val="28"/>
              <w:szCs w:val="28"/>
            </w:rPr>
            <w:tab/>
          </w:r>
          <w:r>
            <w:rPr>
              <w:rStyle w:val="49"/>
              <w:rFonts w:ascii="仿宋" w:hAnsi="仿宋" w:eastAsia="仿宋" w:cs="Arial"/>
              <w:i w:val="0"/>
              <w:iCs w:val="0"/>
              <w:sz w:val="28"/>
              <w:szCs w:val="28"/>
            </w:rPr>
            <w:t>智慧城管</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_Toc78041451 \h </w:instrText>
          </w:r>
          <w:r>
            <w:rPr>
              <w:rFonts w:ascii="仿宋" w:hAnsi="仿宋" w:eastAsia="仿宋"/>
              <w:i w:val="0"/>
              <w:iCs w:val="0"/>
              <w:sz w:val="28"/>
              <w:szCs w:val="28"/>
            </w:rPr>
            <w:fldChar w:fldCharType="separate"/>
          </w:r>
          <w:r>
            <w:rPr>
              <w:rFonts w:ascii="仿宋" w:hAnsi="仿宋" w:eastAsia="仿宋"/>
              <w:i w:val="0"/>
              <w:iCs w:val="0"/>
              <w:sz w:val="28"/>
              <w:szCs w:val="28"/>
            </w:rPr>
            <w:t>38</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"_Toc78041452" </w:instrText>
          </w:r>
          <w:r>
            <w:fldChar w:fldCharType="separate"/>
          </w:r>
          <w:r>
            <w:rPr>
              <w:rStyle w:val="49"/>
              <w:rFonts w:ascii="仿宋" w:hAnsi="仿宋" w:eastAsia="仿宋" w:cs="Arial"/>
              <w:i w:val="0"/>
              <w:iCs w:val="0"/>
              <w:sz w:val="28"/>
              <w:szCs w:val="28"/>
            </w:rPr>
            <w:t>8.</w:t>
          </w:r>
          <w:r>
            <w:rPr>
              <w:rFonts w:ascii="仿宋" w:hAnsi="仿宋" w:eastAsia="仿宋" w:cstheme="minorBidi"/>
              <w:i w:val="0"/>
              <w:iCs w:val="0"/>
              <w:sz w:val="28"/>
              <w:szCs w:val="28"/>
            </w:rPr>
            <w:tab/>
          </w:r>
          <w:r>
            <w:rPr>
              <w:rStyle w:val="49"/>
              <w:rFonts w:ascii="仿宋" w:hAnsi="仿宋" w:eastAsia="仿宋" w:cs="Arial"/>
              <w:i w:val="0"/>
              <w:iCs w:val="0"/>
              <w:sz w:val="28"/>
              <w:szCs w:val="28"/>
            </w:rPr>
            <w:t>智慧消防</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_Toc78041452 \h </w:instrText>
          </w:r>
          <w:r>
            <w:rPr>
              <w:rFonts w:ascii="仿宋" w:hAnsi="仿宋" w:eastAsia="仿宋"/>
              <w:i w:val="0"/>
              <w:iCs w:val="0"/>
              <w:sz w:val="28"/>
              <w:szCs w:val="28"/>
            </w:rPr>
            <w:fldChar w:fldCharType="separate"/>
          </w:r>
          <w:r>
            <w:rPr>
              <w:rFonts w:ascii="仿宋" w:hAnsi="仿宋" w:eastAsia="仿宋"/>
              <w:i w:val="0"/>
              <w:iCs w:val="0"/>
              <w:sz w:val="28"/>
              <w:szCs w:val="28"/>
            </w:rPr>
            <w:t>39</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"_Toc78041453" </w:instrText>
          </w:r>
          <w:r>
            <w:fldChar w:fldCharType="separate"/>
          </w:r>
          <w:r>
            <w:rPr>
              <w:rStyle w:val="49"/>
              <w:rFonts w:ascii="仿宋" w:hAnsi="仿宋" w:eastAsia="仿宋" w:cs="Arial"/>
              <w:i w:val="0"/>
              <w:iCs w:val="0"/>
              <w:sz w:val="28"/>
              <w:szCs w:val="28"/>
            </w:rPr>
            <w:t>9.</w:t>
          </w:r>
          <w:r>
            <w:rPr>
              <w:rFonts w:ascii="仿宋" w:hAnsi="仿宋" w:eastAsia="仿宋" w:cstheme="minorBidi"/>
              <w:i w:val="0"/>
              <w:iCs w:val="0"/>
              <w:sz w:val="28"/>
              <w:szCs w:val="28"/>
            </w:rPr>
            <w:tab/>
          </w:r>
          <w:r>
            <w:rPr>
              <w:rStyle w:val="49"/>
              <w:rFonts w:ascii="仿宋" w:hAnsi="仿宋" w:eastAsia="仿宋" w:cs="Arial"/>
              <w:i w:val="0"/>
              <w:iCs w:val="0"/>
              <w:sz w:val="28"/>
              <w:szCs w:val="28"/>
            </w:rPr>
            <w:t>市场监管</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_Toc78041453 \h </w:instrText>
          </w:r>
          <w:r>
            <w:rPr>
              <w:rFonts w:ascii="仿宋" w:hAnsi="仿宋" w:eastAsia="仿宋"/>
              <w:i w:val="0"/>
              <w:iCs w:val="0"/>
              <w:sz w:val="28"/>
              <w:szCs w:val="28"/>
            </w:rPr>
            <w:fldChar w:fldCharType="separate"/>
          </w:r>
          <w:r>
            <w:rPr>
              <w:rFonts w:ascii="仿宋" w:hAnsi="仿宋" w:eastAsia="仿宋"/>
              <w:i w:val="0"/>
              <w:iCs w:val="0"/>
              <w:sz w:val="28"/>
              <w:szCs w:val="28"/>
            </w:rPr>
            <w:t>40</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1050"/>
              <w:tab w:val="right" w:leader="dot" w:pos="8296"/>
            </w:tabs>
            <w:rPr>
              <w:rFonts w:ascii="仿宋" w:hAnsi="仿宋" w:eastAsia="仿宋" w:cstheme="minorBidi"/>
              <w:i w:val="0"/>
              <w:iCs w:val="0"/>
              <w:sz w:val="28"/>
              <w:szCs w:val="28"/>
            </w:rPr>
          </w:pPr>
          <w:r>
            <w:fldChar w:fldCharType="begin"/>
          </w:r>
          <w:r>
            <w:instrText xml:space="preserve"> HYPERLINK \l "_Toc78041454" </w:instrText>
          </w:r>
          <w:r>
            <w:fldChar w:fldCharType="separate"/>
          </w:r>
          <w:r>
            <w:rPr>
              <w:rStyle w:val="49"/>
              <w:rFonts w:ascii="仿宋" w:hAnsi="仿宋" w:eastAsia="仿宋" w:cs="Arial"/>
              <w:i w:val="0"/>
              <w:iCs w:val="0"/>
              <w:sz w:val="28"/>
              <w:szCs w:val="28"/>
            </w:rPr>
            <w:t>10.</w:t>
          </w:r>
          <w:r>
            <w:rPr>
              <w:rFonts w:ascii="仿宋" w:hAnsi="仿宋" w:eastAsia="仿宋" w:cstheme="minorBidi"/>
              <w:i w:val="0"/>
              <w:iCs w:val="0"/>
              <w:sz w:val="28"/>
              <w:szCs w:val="28"/>
            </w:rPr>
            <w:tab/>
          </w:r>
          <w:r>
            <w:rPr>
              <w:rStyle w:val="49"/>
              <w:rFonts w:ascii="仿宋" w:hAnsi="仿宋" w:eastAsia="仿宋" w:cs="Arial"/>
              <w:i w:val="0"/>
              <w:iCs w:val="0"/>
              <w:sz w:val="28"/>
              <w:szCs w:val="28"/>
            </w:rPr>
            <w:t>智慧党建</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_Toc78041454 \h </w:instrText>
          </w:r>
          <w:r>
            <w:rPr>
              <w:rFonts w:ascii="仿宋" w:hAnsi="仿宋" w:eastAsia="仿宋"/>
              <w:i w:val="0"/>
              <w:iCs w:val="0"/>
              <w:sz w:val="28"/>
              <w:szCs w:val="28"/>
            </w:rPr>
            <w:fldChar w:fldCharType="separate"/>
          </w:r>
          <w:r>
            <w:rPr>
              <w:rFonts w:ascii="仿宋" w:hAnsi="仿宋" w:eastAsia="仿宋"/>
              <w:i w:val="0"/>
              <w:iCs w:val="0"/>
              <w:sz w:val="28"/>
              <w:szCs w:val="28"/>
            </w:rPr>
            <w:t>42</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"_Toc78041455" </w:instrText>
          </w:r>
          <w:r>
            <w:fldChar w:fldCharType="separate"/>
          </w:r>
          <w:r>
            <w:rPr>
              <w:rStyle w:val="49"/>
              <w:rFonts w:ascii="仿宋" w:hAnsi="仿宋" w:eastAsia="仿宋" w:cs="Arial"/>
              <w:sz w:val="28"/>
              <w:szCs w:val="28"/>
            </w:rPr>
            <w:t>(五)</w:t>
          </w:r>
          <w:r>
            <w:rPr>
              <w:rFonts w:ascii="仿宋" w:hAnsi="仿宋" w:eastAsia="仿宋" w:cstheme="minorBidi"/>
              <w:smallCaps w:val="0"/>
              <w:sz w:val="28"/>
              <w:szCs w:val="28"/>
            </w:rPr>
            <w:tab/>
          </w:r>
          <w:r>
            <w:rPr>
              <w:rStyle w:val="49"/>
              <w:rFonts w:ascii="仿宋" w:hAnsi="仿宋" w:eastAsia="仿宋" w:cs="Arial"/>
              <w:sz w:val="28"/>
              <w:szCs w:val="28"/>
            </w:rPr>
            <w:t>产业经济领域工程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_Toc78041455 \h </w:instrText>
          </w:r>
          <w:r>
            <w:rPr>
              <w:rFonts w:ascii="仿宋" w:hAnsi="仿宋" w:eastAsia="仿宋"/>
              <w:sz w:val="28"/>
              <w:szCs w:val="28"/>
            </w:rPr>
            <w:fldChar w:fldCharType="separate"/>
          </w:r>
          <w:r>
            <w:rPr>
              <w:rFonts w:ascii="仿宋" w:hAnsi="仿宋" w:eastAsia="仿宋"/>
              <w:sz w:val="28"/>
              <w:szCs w:val="28"/>
            </w:rPr>
            <w:t>42</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"_Toc78041456"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智能制造</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_Toc78041456 \h </w:instrText>
          </w:r>
          <w:r>
            <w:rPr>
              <w:rFonts w:ascii="仿宋" w:hAnsi="仿宋" w:eastAsia="仿宋"/>
              <w:i w:val="0"/>
              <w:iCs w:val="0"/>
              <w:sz w:val="28"/>
              <w:szCs w:val="28"/>
            </w:rPr>
            <w:fldChar w:fldCharType="separate"/>
          </w:r>
          <w:r>
            <w:rPr>
              <w:rFonts w:ascii="仿宋" w:hAnsi="仿宋" w:eastAsia="仿宋"/>
              <w:i w:val="0"/>
              <w:iCs w:val="0"/>
              <w:sz w:val="28"/>
              <w:szCs w:val="28"/>
            </w:rPr>
            <w:t>42</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"_Toc78041457"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智能终端</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_Toc78041457 \h </w:instrText>
          </w:r>
          <w:r>
            <w:rPr>
              <w:rFonts w:ascii="仿宋" w:hAnsi="仿宋" w:eastAsia="仿宋"/>
              <w:i w:val="0"/>
              <w:iCs w:val="0"/>
              <w:sz w:val="28"/>
              <w:szCs w:val="28"/>
            </w:rPr>
            <w:fldChar w:fldCharType="separate"/>
          </w:r>
          <w:r>
            <w:rPr>
              <w:rFonts w:ascii="仿宋" w:hAnsi="仿宋" w:eastAsia="仿宋"/>
              <w:i w:val="0"/>
              <w:iCs w:val="0"/>
              <w:sz w:val="28"/>
              <w:szCs w:val="28"/>
            </w:rPr>
            <w:t>44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"_Toc78041458"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智慧物流</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_Toc78041458 \h </w:instrText>
          </w:r>
          <w:r>
            <w:rPr>
              <w:rFonts w:ascii="仿宋" w:hAnsi="仿宋" w:eastAsia="仿宋"/>
              <w:i w:val="0"/>
              <w:iCs w:val="0"/>
              <w:sz w:val="28"/>
              <w:szCs w:val="28"/>
            </w:rPr>
            <w:fldChar w:fldCharType="separate"/>
          </w:r>
          <w:r>
            <w:rPr>
              <w:rFonts w:ascii="仿宋" w:hAnsi="仿宋" w:eastAsia="仿宋"/>
              <w:i w:val="0"/>
              <w:iCs w:val="0"/>
              <w:sz w:val="28"/>
              <w:szCs w:val="28"/>
            </w:rPr>
            <w:t>44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"_Toc78041459" </w:instrText>
          </w:r>
          <w:r>
            <w:fldChar w:fldCharType="separate"/>
          </w:r>
          <w:r>
            <w:rPr>
              <w:rStyle w:val="49"/>
              <w:rFonts w:ascii="仿宋" w:hAnsi="仿宋" w:eastAsia="仿宋" w:cs="Arial"/>
              <w:i w:val="0"/>
              <w:iCs w:val="0"/>
              <w:sz w:val="28"/>
              <w:szCs w:val="28"/>
            </w:rPr>
            <w:t>4.</w:t>
          </w:r>
          <w:r>
            <w:rPr>
              <w:rFonts w:ascii="仿宋" w:hAnsi="仿宋" w:eastAsia="仿宋" w:cstheme="minorBidi"/>
              <w:i w:val="0"/>
              <w:iCs w:val="0"/>
              <w:sz w:val="28"/>
              <w:szCs w:val="28"/>
            </w:rPr>
            <w:tab/>
          </w:r>
          <w:r>
            <w:rPr>
              <w:rStyle w:val="49"/>
              <w:rFonts w:ascii="仿宋" w:hAnsi="仿宋" w:eastAsia="仿宋" w:cs="Arial"/>
              <w:i w:val="0"/>
              <w:iCs w:val="0"/>
              <w:sz w:val="28"/>
              <w:szCs w:val="28"/>
            </w:rPr>
            <w:t>智慧园区</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_Toc78041459 \h </w:instrText>
          </w:r>
          <w:r>
            <w:rPr>
              <w:rFonts w:ascii="仿宋" w:hAnsi="仿宋" w:eastAsia="仿宋"/>
              <w:i w:val="0"/>
              <w:iCs w:val="0"/>
              <w:sz w:val="28"/>
              <w:szCs w:val="28"/>
            </w:rPr>
            <w:fldChar w:fldCharType="separate"/>
          </w:r>
          <w:r>
            <w:rPr>
              <w:rFonts w:ascii="仿宋" w:hAnsi="仿宋" w:eastAsia="仿宋"/>
              <w:i w:val="0"/>
              <w:iCs w:val="0"/>
              <w:sz w:val="28"/>
              <w:szCs w:val="28"/>
            </w:rPr>
            <w:t>45</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"_Toc78041460" </w:instrText>
          </w:r>
          <w:r>
            <w:fldChar w:fldCharType="separate"/>
          </w:r>
          <w:r>
            <w:rPr>
              <w:rStyle w:val="49"/>
              <w:rFonts w:ascii="仿宋" w:hAnsi="仿宋" w:eastAsia="仿宋" w:cs="Arial"/>
              <w:i w:val="0"/>
              <w:iCs w:val="0"/>
              <w:sz w:val="28"/>
              <w:szCs w:val="28"/>
            </w:rPr>
            <w:t>5.</w:t>
          </w:r>
          <w:r>
            <w:rPr>
              <w:rFonts w:ascii="仿宋" w:hAnsi="仿宋" w:eastAsia="仿宋" w:cstheme="minorBidi"/>
              <w:i w:val="0"/>
              <w:iCs w:val="0"/>
              <w:sz w:val="28"/>
              <w:szCs w:val="28"/>
            </w:rPr>
            <w:tab/>
          </w:r>
          <w:r>
            <w:rPr>
              <w:rStyle w:val="49"/>
              <w:rFonts w:ascii="仿宋" w:hAnsi="仿宋" w:eastAsia="仿宋" w:cs="Arial"/>
              <w:i w:val="0"/>
              <w:iCs w:val="0"/>
              <w:sz w:val="28"/>
              <w:szCs w:val="28"/>
            </w:rPr>
            <w:t>智慧农业</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_Toc78041460 \h </w:instrText>
          </w:r>
          <w:r>
            <w:rPr>
              <w:rFonts w:ascii="仿宋" w:hAnsi="仿宋" w:eastAsia="仿宋"/>
              <w:i w:val="0"/>
              <w:iCs w:val="0"/>
              <w:sz w:val="28"/>
              <w:szCs w:val="28"/>
            </w:rPr>
            <w:fldChar w:fldCharType="separate"/>
          </w:r>
          <w:r>
            <w:rPr>
              <w:rFonts w:ascii="仿宋" w:hAnsi="仿宋" w:eastAsia="仿宋"/>
              <w:i w:val="0"/>
              <w:iCs w:val="0"/>
              <w:sz w:val="28"/>
              <w:szCs w:val="28"/>
            </w:rPr>
            <w:t>47</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"_Toc78041461" </w:instrText>
          </w:r>
          <w:r>
            <w:fldChar w:fldCharType="separate"/>
          </w:r>
          <w:r>
            <w:rPr>
              <w:rStyle w:val="49"/>
              <w:rFonts w:ascii="仿宋" w:hAnsi="仿宋" w:eastAsia="仿宋" w:cs="Arial"/>
              <w:i w:val="0"/>
              <w:iCs w:val="0"/>
              <w:sz w:val="28"/>
              <w:szCs w:val="28"/>
            </w:rPr>
            <w:t>6.</w:t>
          </w:r>
          <w:r>
            <w:rPr>
              <w:rFonts w:ascii="仿宋" w:hAnsi="仿宋" w:eastAsia="仿宋" w:cstheme="minorBidi"/>
              <w:i w:val="0"/>
              <w:iCs w:val="0"/>
              <w:sz w:val="28"/>
              <w:szCs w:val="28"/>
            </w:rPr>
            <w:tab/>
          </w:r>
          <w:r>
            <w:rPr>
              <w:rStyle w:val="49"/>
              <w:rFonts w:ascii="仿宋" w:hAnsi="仿宋" w:eastAsia="仿宋" w:cs="Arial"/>
              <w:i w:val="0"/>
              <w:iCs w:val="0"/>
              <w:sz w:val="28"/>
              <w:szCs w:val="28"/>
            </w:rPr>
            <w:t>工业互联网</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_Toc78041461 \h </w:instrText>
          </w:r>
          <w:r>
            <w:rPr>
              <w:rFonts w:ascii="仿宋" w:hAnsi="仿宋" w:eastAsia="仿宋"/>
              <w:i w:val="0"/>
              <w:iCs w:val="0"/>
              <w:sz w:val="28"/>
              <w:szCs w:val="28"/>
            </w:rPr>
            <w:fldChar w:fldCharType="separate"/>
          </w:r>
          <w:r>
            <w:rPr>
              <w:rFonts w:ascii="仿宋" w:hAnsi="仿宋" w:eastAsia="仿宋"/>
              <w:i w:val="0"/>
              <w:iCs w:val="0"/>
              <w:sz w:val="28"/>
              <w:szCs w:val="28"/>
            </w:rPr>
            <w:t>48</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"_Toc78041462" </w:instrText>
          </w:r>
          <w:r>
            <w:fldChar w:fldCharType="separate"/>
          </w:r>
          <w:r>
            <w:rPr>
              <w:rStyle w:val="49"/>
              <w:rFonts w:ascii="仿宋" w:hAnsi="仿宋" w:eastAsia="仿宋" w:cs="Arial"/>
              <w:i w:val="0"/>
              <w:iCs w:val="0"/>
              <w:sz w:val="28"/>
              <w:szCs w:val="28"/>
            </w:rPr>
            <w:t>7.</w:t>
          </w:r>
          <w:r>
            <w:rPr>
              <w:rFonts w:ascii="仿宋" w:hAnsi="仿宋" w:eastAsia="仿宋" w:cstheme="minorBidi"/>
              <w:i w:val="0"/>
              <w:iCs w:val="0"/>
              <w:sz w:val="28"/>
              <w:szCs w:val="28"/>
            </w:rPr>
            <w:tab/>
          </w:r>
          <w:r>
            <w:rPr>
              <w:rStyle w:val="49"/>
              <w:rFonts w:ascii="仿宋" w:hAnsi="仿宋" w:eastAsia="仿宋" w:cs="Arial"/>
              <w:i w:val="0"/>
              <w:iCs w:val="0"/>
              <w:sz w:val="28"/>
              <w:szCs w:val="28"/>
            </w:rPr>
            <w:t>智能网联</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_Toc78041462 \h </w:instrText>
          </w:r>
          <w:r>
            <w:rPr>
              <w:rFonts w:ascii="仿宋" w:hAnsi="仿宋" w:eastAsia="仿宋"/>
              <w:i w:val="0"/>
              <w:iCs w:val="0"/>
              <w:sz w:val="28"/>
              <w:szCs w:val="28"/>
            </w:rPr>
            <w:fldChar w:fldCharType="separate"/>
          </w:r>
          <w:r>
            <w:rPr>
              <w:rFonts w:ascii="仿宋" w:hAnsi="仿宋" w:eastAsia="仿宋"/>
              <w:i w:val="0"/>
              <w:iCs w:val="0"/>
              <w:sz w:val="28"/>
              <w:szCs w:val="28"/>
            </w:rPr>
            <w:t>49</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"_Toc78041463" </w:instrText>
          </w:r>
          <w:r>
            <w:fldChar w:fldCharType="separate"/>
          </w:r>
          <w:r>
            <w:rPr>
              <w:rStyle w:val="49"/>
              <w:rFonts w:ascii="仿宋" w:hAnsi="仿宋" w:eastAsia="仿宋" w:cs="Arial"/>
              <w:i w:val="0"/>
              <w:iCs w:val="0"/>
              <w:sz w:val="28"/>
              <w:szCs w:val="28"/>
            </w:rPr>
            <w:t>8.</w:t>
          </w:r>
          <w:r>
            <w:rPr>
              <w:rFonts w:ascii="仿宋" w:hAnsi="仿宋" w:eastAsia="仿宋" w:cstheme="minorBidi"/>
              <w:i w:val="0"/>
              <w:iCs w:val="0"/>
              <w:sz w:val="28"/>
              <w:szCs w:val="28"/>
            </w:rPr>
            <w:tab/>
          </w:r>
          <w:r>
            <w:rPr>
              <w:rStyle w:val="49"/>
              <w:rFonts w:ascii="仿宋" w:hAnsi="仿宋" w:eastAsia="仿宋" w:cs="Arial"/>
              <w:i w:val="0"/>
              <w:iCs w:val="0"/>
              <w:sz w:val="28"/>
              <w:szCs w:val="28"/>
            </w:rPr>
            <w:t>数字经济</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_Toc78041463 \h </w:instrText>
          </w:r>
          <w:r>
            <w:rPr>
              <w:rFonts w:ascii="仿宋" w:hAnsi="仿宋" w:eastAsia="仿宋"/>
              <w:i w:val="0"/>
              <w:iCs w:val="0"/>
              <w:sz w:val="28"/>
              <w:szCs w:val="28"/>
            </w:rPr>
            <w:fldChar w:fldCharType="separate"/>
          </w:r>
          <w:r>
            <w:rPr>
              <w:rFonts w:ascii="仿宋" w:hAnsi="仿宋" w:eastAsia="仿宋"/>
              <w:i w:val="0"/>
              <w:iCs w:val="0"/>
              <w:sz w:val="28"/>
              <w:szCs w:val="28"/>
            </w:rPr>
            <w:t>50</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"_Toc78041464" </w:instrText>
          </w:r>
          <w:r>
            <w:fldChar w:fldCharType="separate"/>
          </w:r>
          <w:r>
            <w:rPr>
              <w:rStyle w:val="49"/>
              <w:rFonts w:ascii="仿宋" w:hAnsi="仿宋" w:eastAsia="仿宋" w:cs="Arial"/>
              <w:sz w:val="28"/>
              <w:szCs w:val="28"/>
            </w:rPr>
            <w:t>(六)</w:t>
          </w:r>
          <w:r>
            <w:rPr>
              <w:rFonts w:ascii="仿宋" w:hAnsi="仿宋" w:eastAsia="仿宋" w:cstheme="minorBidi"/>
              <w:smallCaps w:val="0"/>
              <w:sz w:val="28"/>
              <w:szCs w:val="28"/>
            </w:rPr>
            <w:tab/>
          </w:r>
          <w:r>
            <w:rPr>
              <w:rStyle w:val="49"/>
              <w:rFonts w:ascii="仿宋" w:hAnsi="仿宋" w:eastAsia="仿宋" w:cs="Arial"/>
              <w:sz w:val="28"/>
              <w:szCs w:val="28"/>
            </w:rPr>
            <w:t>文明宜居领域工程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_Toc78041464 \h </w:instrText>
          </w:r>
          <w:r>
            <w:rPr>
              <w:rFonts w:ascii="仿宋" w:hAnsi="仿宋" w:eastAsia="仿宋"/>
              <w:sz w:val="28"/>
              <w:szCs w:val="28"/>
            </w:rPr>
            <w:fldChar w:fldCharType="separate"/>
          </w:r>
          <w:r>
            <w:rPr>
              <w:rFonts w:ascii="仿宋" w:hAnsi="仿宋" w:eastAsia="仿宋"/>
              <w:sz w:val="28"/>
              <w:szCs w:val="28"/>
            </w:rPr>
            <w:t>51</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"_Toc78041465"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智慧环保</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_Toc78041465 \h </w:instrText>
          </w:r>
          <w:r>
            <w:rPr>
              <w:rFonts w:ascii="仿宋" w:hAnsi="仿宋" w:eastAsia="仿宋"/>
              <w:i w:val="0"/>
              <w:iCs w:val="0"/>
              <w:sz w:val="28"/>
              <w:szCs w:val="28"/>
            </w:rPr>
            <w:fldChar w:fldCharType="separate"/>
          </w:r>
          <w:r>
            <w:rPr>
              <w:rFonts w:ascii="仿宋" w:hAnsi="仿宋" w:eastAsia="仿宋"/>
              <w:i w:val="0"/>
              <w:iCs w:val="0"/>
              <w:sz w:val="28"/>
              <w:szCs w:val="28"/>
            </w:rPr>
            <w:t>51</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"_Toc78041466"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智慧能源</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_Toc78041466 \h </w:instrText>
          </w:r>
          <w:r>
            <w:rPr>
              <w:rFonts w:ascii="仿宋" w:hAnsi="仿宋" w:eastAsia="仿宋"/>
              <w:i w:val="0"/>
              <w:iCs w:val="0"/>
              <w:sz w:val="28"/>
              <w:szCs w:val="28"/>
            </w:rPr>
            <w:fldChar w:fldCharType="separate"/>
          </w:r>
          <w:r>
            <w:rPr>
              <w:rFonts w:ascii="仿宋" w:hAnsi="仿宋" w:eastAsia="仿宋"/>
              <w:i w:val="0"/>
              <w:iCs w:val="0"/>
              <w:sz w:val="28"/>
              <w:szCs w:val="28"/>
            </w:rPr>
            <w:t>52</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"_Toc78041467"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智慧社区</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_Toc78041467 \h </w:instrText>
          </w:r>
          <w:r>
            <w:rPr>
              <w:rFonts w:ascii="仿宋" w:hAnsi="仿宋" w:eastAsia="仿宋"/>
              <w:i w:val="0"/>
              <w:iCs w:val="0"/>
              <w:sz w:val="28"/>
              <w:szCs w:val="28"/>
            </w:rPr>
            <w:fldChar w:fldCharType="separate"/>
          </w:r>
          <w:r>
            <w:rPr>
              <w:rFonts w:ascii="仿宋" w:hAnsi="仿宋" w:eastAsia="仿宋"/>
              <w:i w:val="0"/>
              <w:iCs w:val="0"/>
              <w:sz w:val="28"/>
              <w:szCs w:val="28"/>
            </w:rPr>
            <w:t>53</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"_Toc78041468" </w:instrText>
          </w:r>
          <w:r>
            <w:fldChar w:fldCharType="separate"/>
          </w:r>
          <w:r>
            <w:rPr>
              <w:rStyle w:val="49"/>
              <w:rFonts w:ascii="仿宋" w:hAnsi="仿宋" w:eastAsia="仿宋" w:cs="Arial"/>
              <w:i w:val="0"/>
              <w:iCs w:val="0"/>
              <w:sz w:val="28"/>
              <w:szCs w:val="28"/>
            </w:rPr>
            <w:t>4.</w:t>
          </w:r>
          <w:r>
            <w:rPr>
              <w:rFonts w:ascii="仿宋" w:hAnsi="仿宋" w:eastAsia="仿宋" w:cstheme="minorBidi"/>
              <w:i w:val="0"/>
              <w:iCs w:val="0"/>
              <w:sz w:val="28"/>
              <w:szCs w:val="28"/>
            </w:rPr>
            <w:tab/>
          </w:r>
          <w:r>
            <w:rPr>
              <w:rStyle w:val="49"/>
              <w:rFonts w:ascii="仿宋" w:hAnsi="仿宋" w:eastAsia="仿宋" w:cs="Arial"/>
              <w:i w:val="0"/>
              <w:iCs w:val="0"/>
              <w:sz w:val="28"/>
              <w:szCs w:val="28"/>
            </w:rPr>
            <w:t>智慧旅游</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_Toc78041468 \h </w:instrText>
          </w:r>
          <w:r>
            <w:rPr>
              <w:rFonts w:ascii="仿宋" w:hAnsi="仿宋" w:eastAsia="仿宋"/>
              <w:i w:val="0"/>
              <w:iCs w:val="0"/>
              <w:sz w:val="28"/>
              <w:szCs w:val="28"/>
            </w:rPr>
            <w:fldChar w:fldCharType="separate"/>
          </w:r>
          <w:r>
            <w:rPr>
              <w:rFonts w:ascii="仿宋" w:hAnsi="仿宋" w:eastAsia="仿宋"/>
              <w:i w:val="0"/>
              <w:iCs w:val="0"/>
              <w:sz w:val="28"/>
              <w:szCs w:val="28"/>
            </w:rPr>
            <w:t>54</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"_Toc78041469" </w:instrText>
          </w:r>
          <w:r>
            <w:fldChar w:fldCharType="separate"/>
          </w:r>
          <w:r>
            <w:rPr>
              <w:rStyle w:val="49"/>
              <w:rFonts w:ascii="仿宋" w:hAnsi="仿宋" w:eastAsia="仿宋" w:cs="Arial"/>
              <w:sz w:val="28"/>
              <w:szCs w:val="28"/>
            </w:rPr>
            <w:t>(七)</w:t>
          </w:r>
          <w:r>
            <w:rPr>
              <w:rFonts w:ascii="仿宋" w:hAnsi="仿宋" w:eastAsia="仿宋" w:cstheme="minorBidi"/>
              <w:smallCaps w:val="0"/>
              <w:sz w:val="28"/>
              <w:szCs w:val="28"/>
            </w:rPr>
            <w:tab/>
          </w:r>
          <w:r>
            <w:rPr>
              <w:rStyle w:val="49"/>
              <w:rFonts w:ascii="仿宋" w:hAnsi="仿宋" w:eastAsia="仿宋" w:cs="Arial"/>
              <w:sz w:val="28"/>
              <w:szCs w:val="28"/>
            </w:rPr>
            <w:t>望城特色智慧应用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_Toc78041469 \h </w:instrText>
          </w:r>
          <w:r>
            <w:rPr>
              <w:rFonts w:ascii="仿宋" w:hAnsi="仿宋" w:eastAsia="仿宋"/>
              <w:sz w:val="28"/>
              <w:szCs w:val="28"/>
            </w:rPr>
            <w:fldChar w:fldCharType="separate"/>
          </w:r>
          <w:r>
            <w:rPr>
              <w:rFonts w:ascii="仿宋" w:hAnsi="仿宋" w:eastAsia="仿宋"/>
              <w:sz w:val="28"/>
              <w:szCs w:val="28"/>
            </w:rPr>
            <w:t>55</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"_Toc78041470"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最多报一次</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_Toc78041470 \h </w:instrText>
          </w:r>
          <w:r>
            <w:rPr>
              <w:rFonts w:ascii="仿宋" w:hAnsi="仿宋" w:eastAsia="仿宋"/>
              <w:i w:val="0"/>
              <w:iCs w:val="0"/>
              <w:sz w:val="28"/>
              <w:szCs w:val="28"/>
            </w:rPr>
            <w:fldChar w:fldCharType="separate"/>
          </w:r>
          <w:r>
            <w:rPr>
              <w:rFonts w:ascii="仿宋" w:hAnsi="仿宋" w:eastAsia="仿宋"/>
              <w:i w:val="0"/>
              <w:iCs w:val="0"/>
              <w:sz w:val="28"/>
              <w:szCs w:val="28"/>
            </w:rPr>
            <w:t>55</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"_Toc78041471"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无证城市</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_Toc78041471 \h </w:instrText>
          </w:r>
          <w:r>
            <w:rPr>
              <w:rFonts w:ascii="仿宋" w:hAnsi="仿宋" w:eastAsia="仿宋"/>
              <w:i w:val="0"/>
              <w:iCs w:val="0"/>
              <w:sz w:val="28"/>
              <w:szCs w:val="28"/>
            </w:rPr>
            <w:fldChar w:fldCharType="separate"/>
          </w:r>
          <w:r>
            <w:rPr>
              <w:rFonts w:ascii="仿宋" w:hAnsi="仿宋" w:eastAsia="仿宋"/>
              <w:i w:val="0"/>
              <w:iCs w:val="0"/>
              <w:sz w:val="28"/>
              <w:szCs w:val="28"/>
            </w:rPr>
            <w:t>56</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"_Toc78041472"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时代雷锋</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_Toc78041472 \h </w:instrText>
          </w:r>
          <w:r>
            <w:rPr>
              <w:rFonts w:ascii="仿宋" w:hAnsi="仿宋" w:eastAsia="仿宋"/>
              <w:i w:val="0"/>
              <w:iCs w:val="0"/>
              <w:sz w:val="28"/>
              <w:szCs w:val="28"/>
            </w:rPr>
            <w:fldChar w:fldCharType="separate"/>
          </w:r>
          <w:r>
            <w:rPr>
              <w:rFonts w:ascii="仿宋" w:hAnsi="仿宋" w:eastAsia="仿宋"/>
              <w:i w:val="0"/>
              <w:iCs w:val="0"/>
              <w:sz w:val="28"/>
              <w:szCs w:val="28"/>
            </w:rPr>
            <w:t>56</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"_Toc78041473" </w:instrText>
          </w:r>
          <w:r>
            <w:fldChar w:fldCharType="separate"/>
          </w:r>
          <w:r>
            <w:rPr>
              <w:rStyle w:val="49"/>
              <w:rFonts w:ascii="仿宋" w:hAnsi="仿宋" w:eastAsia="仿宋" w:cs="Arial"/>
              <w:sz w:val="28"/>
              <w:szCs w:val="28"/>
            </w:rPr>
            <w:t>(八)</w:t>
          </w:r>
          <w:r>
            <w:rPr>
              <w:rFonts w:ascii="仿宋" w:hAnsi="仿宋" w:eastAsia="仿宋" w:cstheme="minorBidi"/>
              <w:smallCaps w:val="0"/>
              <w:sz w:val="28"/>
              <w:szCs w:val="28"/>
            </w:rPr>
            <w:tab/>
          </w:r>
          <w:r>
            <w:rPr>
              <w:rStyle w:val="49"/>
              <w:rFonts w:ascii="仿宋" w:hAnsi="仿宋" w:eastAsia="仿宋" w:cs="Arial"/>
              <w:sz w:val="28"/>
              <w:szCs w:val="28"/>
            </w:rPr>
            <w:t>安全可信体系工程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_Toc78041473 \h </w:instrText>
          </w:r>
          <w:r>
            <w:rPr>
              <w:rFonts w:ascii="仿宋" w:hAnsi="仿宋" w:eastAsia="仿宋"/>
              <w:sz w:val="28"/>
              <w:szCs w:val="28"/>
            </w:rPr>
            <w:fldChar w:fldCharType="separate"/>
          </w:r>
          <w:r>
            <w:rPr>
              <w:rFonts w:ascii="仿宋" w:hAnsi="仿宋" w:eastAsia="仿宋"/>
              <w:sz w:val="28"/>
              <w:szCs w:val="28"/>
            </w:rPr>
            <w:t>58</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"_Toc78041474" </w:instrText>
          </w:r>
          <w:r>
            <w:fldChar w:fldCharType="separate"/>
          </w:r>
          <w:r>
            <w:rPr>
              <w:rStyle w:val="49"/>
              <w:rFonts w:ascii="仿宋" w:hAnsi="仿宋" w:eastAsia="仿宋" w:cs="Arial"/>
              <w:sz w:val="28"/>
              <w:szCs w:val="28"/>
            </w:rPr>
            <w:t>(九)</w:t>
          </w:r>
          <w:r>
            <w:rPr>
              <w:rFonts w:ascii="仿宋" w:hAnsi="仿宋" w:eastAsia="仿宋" w:cstheme="minorBidi"/>
              <w:smallCaps w:val="0"/>
              <w:sz w:val="28"/>
              <w:szCs w:val="28"/>
            </w:rPr>
            <w:tab/>
          </w:r>
          <w:r>
            <w:rPr>
              <w:rStyle w:val="49"/>
              <w:rFonts w:ascii="仿宋" w:hAnsi="仿宋" w:eastAsia="仿宋" w:cs="Arial"/>
              <w:sz w:val="28"/>
              <w:szCs w:val="28"/>
            </w:rPr>
            <w:t>保障体系工程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_Toc78041474 \h </w:instrText>
          </w:r>
          <w:r>
            <w:rPr>
              <w:rFonts w:ascii="仿宋" w:hAnsi="仿宋" w:eastAsia="仿宋"/>
              <w:sz w:val="28"/>
              <w:szCs w:val="28"/>
            </w:rPr>
            <w:fldChar w:fldCharType="separate"/>
          </w:r>
          <w:r>
            <w:rPr>
              <w:rFonts w:ascii="仿宋" w:hAnsi="仿宋" w:eastAsia="仿宋"/>
              <w:sz w:val="28"/>
              <w:szCs w:val="28"/>
            </w:rPr>
            <w:t>58</w:t>
          </w:r>
          <w:r>
            <w:rPr>
              <w:rFonts w:ascii="仿宋" w:hAnsi="仿宋" w:eastAsia="仿宋"/>
              <w:sz w:val="28"/>
              <w:szCs w:val="28"/>
            </w:rPr>
            <w:fldChar w:fldCharType="end"/>
          </w:r>
          <w:r>
            <w:rPr>
              <w:rFonts w:ascii="仿宋" w:hAnsi="仿宋" w:eastAsia="仿宋"/>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"_Toc78041475" </w:instrText>
          </w:r>
          <w:r>
            <w:fldChar w:fldCharType="separate"/>
          </w:r>
          <w:r>
            <w:rPr>
              <w:rStyle w:val="49"/>
              <w:rFonts w:ascii="仿宋" w:hAnsi="仿宋" w:eastAsia="仿宋" w:cs="Arial"/>
              <w:i w:val="0"/>
              <w:iCs w:val="0"/>
              <w:sz w:val="28"/>
              <w:szCs w:val="28"/>
            </w:rPr>
            <w:t>1.</w:t>
          </w:r>
          <w:r>
            <w:rPr>
              <w:rFonts w:ascii="仿宋" w:hAnsi="仿宋" w:eastAsia="仿宋" w:cstheme="minorBidi"/>
              <w:i w:val="0"/>
              <w:iCs w:val="0"/>
              <w:sz w:val="28"/>
              <w:szCs w:val="28"/>
            </w:rPr>
            <w:tab/>
          </w:r>
          <w:r>
            <w:rPr>
              <w:rStyle w:val="49"/>
              <w:rFonts w:ascii="仿宋" w:hAnsi="仿宋" w:eastAsia="仿宋" w:cs="Arial"/>
              <w:i w:val="0"/>
              <w:iCs w:val="0"/>
              <w:sz w:val="28"/>
              <w:szCs w:val="28"/>
            </w:rPr>
            <w:t>标准规范体系</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_Toc78041475 \h </w:instrText>
          </w:r>
          <w:r>
            <w:rPr>
              <w:rFonts w:ascii="仿宋" w:hAnsi="仿宋" w:eastAsia="仿宋"/>
              <w:i w:val="0"/>
              <w:iCs w:val="0"/>
              <w:sz w:val="28"/>
              <w:szCs w:val="28"/>
            </w:rPr>
            <w:fldChar w:fldCharType="separate"/>
          </w:r>
          <w:r>
            <w:rPr>
              <w:rFonts w:ascii="仿宋" w:hAnsi="仿宋" w:eastAsia="仿宋"/>
              <w:i w:val="0"/>
              <w:iCs w:val="0"/>
              <w:sz w:val="28"/>
              <w:szCs w:val="28"/>
            </w:rPr>
            <w:t>58</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"_Toc78041476" </w:instrText>
          </w:r>
          <w:r>
            <w:fldChar w:fldCharType="separate"/>
          </w:r>
          <w:r>
            <w:rPr>
              <w:rStyle w:val="49"/>
              <w:rFonts w:ascii="仿宋" w:hAnsi="仿宋" w:eastAsia="仿宋" w:cs="Arial"/>
              <w:i w:val="0"/>
              <w:iCs w:val="0"/>
              <w:sz w:val="28"/>
              <w:szCs w:val="28"/>
            </w:rPr>
            <w:t>2.</w:t>
          </w:r>
          <w:r>
            <w:rPr>
              <w:rFonts w:ascii="仿宋" w:hAnsi="仿宋" w:eastAsia="仿宋" w:cstheme="minorBidi"/>
              <w:i w:val="0"/>
              <w:iCs w:val="0"/>
              <w:sz w:val="28"/>
              <w:szCs w:val="28"/>
            </w:rPr>
            <w:tab/>
          </w:r>
          <w:r>
            <w:rPr>
              <w:rStyle w:val="49"/>
              <w:rFonts w:ascii="仿宋" w:hAnsi="仿宋" w:eastAsia="仿宋" w:cs="Arial"/>
              <w:i w:val="0"/>
              <w:iCs w:val="0"/>
              <w:sz w:val="28"/>
              <w:szCs w:val="28"/>
            </w:rPr>
            <w:t>安全保障体系</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_Toc78041476 \h </w:instrText>
          </w:r>
          <w:r>
            <w:rPr>
              <w:rFonts w:ascii="仿宋" w:hAnsi="仿宋" w:eastAsia="仿宋"/>
              <w:i w:val="0"/>
              <w:iCs w:val="0"/>
              <w:sz w:val="28"/>
              <w:szCs w:val="28"/>
            </w:rPr>
            <w:fldChar w:fldCharType="separate"/>
          </w:r>
          <w:r>
            <w:rPr>
              <w:rFonts w:ascii="仿宋" w:hAnsi="仿宋" w:eastAsia="仿宋"/>
              <w:i w:val="0"/>
              <w:iCs w:val="0"/>
              <w:sz w:val="28"/>
              <w:szCs w:val="28"/>
            </w:rPr>
            <w:t>59</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19"/>
            <w:tabs>
              <w:tab w:val="left" w:pos="840"/>
              <w:tab w:val="right" w:leader="dot" w:pos="8296"/>
            </w:tabs>
            <w:rPr>
              <w:rFonts w:ascii="仿宋" w:hAnsi="仿宋" w:eastAsia="仿宋" w:cstheme="minorBidi"/>
              <w:i w:val="0"/>
              <w:iCs w:val="0"/>
              <w:sz w:val="28"/>
              <w:szCs w:val="28"/>
            </w:rPr>
          </w:pPr>
          <w:r>
            <w:fldChar w:fldCharType="begin"/>
          </w:r>
          <w:r>
            <w:instrText xml:space="preserve"> HYPERLINK \l "_Toc78041477" </w:instrText>
          </w:r>
          <w:r>
            <w:fldChar w:fldCharType="separate"/>
          </w:r>
          <w:r>
            <w:rPr>
              <w:rStyle w:val="49"/>
              <w:rFonts w:ascii="仿宋" w:hAnsi="仿宋" w:eastAsia="仿宋" w:cs="Arial"/>
              <w:i w:val="0"/>
              <w:iCs w:val="0"/>
              <w:sz w:val="28"/>
              <w:szCs w:val="28"/>
            </w:rPr>
            <w:t>3.</w:t>
          </w:r>
          <w:r>
            <w:rPr>
              <w:rFonts w:ascii="仿宋" w:hAnsi="仿宋" w:eastAsia="仿宋" w:cstheme="minorBidi"/>
              <w:i w:val="0"/>
              <w:iCs w:val="0"/>
              <w:sz w:val="28"/>
              <w:szCs w:val="28"/>
            </w:rPr>
            <w:tab/>
          </w:r>
          <w:r>
            <w:rPr>
              <w:rStyle w:val="49"/>
              <w:rFonts w:ascii="仿宋" w:hAnsi="仿宋" w:eastAsia="仿宋" w:cs="Arial"/>
              <w:i w:val="0"/>
              <w:iCs w:val="0"/>
              <w:sz w:val="28"/>
              <w:szCs w:val="28"/>
            </w:rPr>
            <w:t>运维管理体系</w:t>
          </w:r>
          <w:r>
            <w:rPr>
              <w:rFonts w:ascii="仿宋" w:hAnsi="仿宋" w:eastAsia="仿宋"/>
              <w:i w:val="0"/>
              <w:iCs w:val="0"/>
              <w:sz w:val="28"/>
              <w:szCs w:val="28"/>
            </w:rPr>
            <w:tab/>
          </w:r>
          <w:r>
            <w:rPr>
              <w:rFonts w:ascii="仿宋" w:hAnsi="仿宋" w:eastAsia="仿宋"/>
              <w:i w:val="0"/>
              <w:iCs w:val="0"/>
              <w:sz w:val="28"/>
              <w:szCs w:val="28"/>
            </w:rPr>
            <w:fldChar w:fldCharType="begin"/>
          </w:r>
          <w:r>
            <w:rPr>
              <w:rFonts w:ascii="仿宋" w:hAnsi="仿宋" w:eastAsia="仿宋"/>
              <w:i w:val="0"/>
              <w:iCs w:val="0"/>
              <w:sz w:val="28"/>
              <w:szCs w:val="28"/>
            </w:rPr>
            <w:instrText xml:space="preserve"> PAGEREF _Toc78041477 \h </w:instrText>
          </w:r>
          <w:r>
            <w:rPr>
              <w:rFonts w:ascii="仿宋" w:hAnsi="仿宋" w:eastAsia="仿宋"/>
              <w:i w:val="0"/>
              <w:iCs w:val="0"/>
              <w:sz w:val="28"/>
              <w:szCs w:val="28"/>
            </w:rPr>
            <w:fldChar w:fldCharType="separate"/>
          </w:r>
          <w:r>
            <w:rPr>
              <w:rFonts w:ascii="仿宋" w:hAnsi="仿宋" w:eastAsia="仿宋"/>
              <w:i w:val="0"/>
              <w:iCs w:val="0"/>
              <w:sz w:val="28"/>
              <w:szCs w:val="28"/>
            </w:rPr>
            <w:t>60</w:t>
          </w:r>
          <w:r>
            <w:rPr>
              <w:rFonts w:ascii="仿宋" w:hAnsi="仿宋" w:eastAsia="仿宋"/>
              <w:i w:val="0"/>
              <w:iCs w:val="0"/>
              <w:sz w:val="28"/>
              <w:szCs w:val="28"/>
            </w:rPr>
            <w:fldChar w:fldCharType="end"/>
          </w:r>
          <w:r>
            <w:rPr>
              <w:rFonts w:ascii="仿宋" w:hAnsi="仿宋" w:eastAsia="仿宋"/>
              <w:i w:val="0"/>
              <w:iCs w:val="0"/>
              <w:sz w:val="28"/>
              <w:szCs w:val="28"/>
            </w:rPr>
            <w:fldChar w:fldCharType="end"/>
          </w:r>
        </w:p>
        <w:p>
          <w:pPr>
            <w:pStyle w:val="27"/>
            <w:tabs>
              <w:tab w:val="left" w:pos="840"/>
            </w:tabs>
            <w:spacing w:before="0" w:after="0"/>
            <w:rPr>
              <w:rFonts w:ascii="仿宋" w:hAnsi="仿宋" w:eastAsia="仿宋" w:cstheme="minorBidi"/>
              <w:b w:val="0"/>
              <w:bCs w:val="0"/>
              <w:caps w:val="0"/>
              <w:sz w:val="28"/>
              <w:szCs w:val="28"/>
            </w:rPr>
          </w:pPr>
          <w:r>
            <w:fldChar w:fldCharType="begin"/>
          </w:r>
          <w:r>
            <w:instrText xml:space="preserve"> HYPERLINK \l "_Toc78041478" </w:instrText>
          </w:r>
          <w:r>
            <w:fldChar w:fldCharType="separate"/>
          </w:r>
          <w:r>
            <w:rPr>
              <w:rStyle w:val="49"/>
              <w:rFonts w:ascii="仿宋" w:hAnsi="仿宋" w:eastAsia="仿宋" w:cs="Arial"/>
              <w:sz w:val="28"/>
              <w:szCs w:val="28"/>
            </w:rPr>
            <w:t>五、</w:t>
          </w:r>
          <w:r>
            <w:rPr>
              <w:rFonts w:ascii="仿宋" w:hAnsi="仿宋" w:eastAsia="仿宋" w:cstheme="minorBidi"/>
              <w:b w:val="0"/>
              <w:bCs w:val="0"/>
              <w:caps w:val="0"/>
              <w:sz w:val="28"/>
              <w:szCs w:val="28"/>
            </w:rPr>
            <w:tab/>
          </w:r>
          <w:r>
            <w:rPr>
              <w:rStyle w:val="49"/>
              <w:rFonts w:ascii="仿宋" w:hAnsi="仿宋" w:eastAsia="仿宋" w:cs="Arial"/>
              <w:sz w:val="28"/>
              <w:szCs w:val="28"/>
            </w:rPr>
            <w:t>保障措施</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_Toc78041478 \h </w:instrText>
          </w:r>
          <w:r>
            <w:rPr>
              <w:rFonts w:ascii="仿宋" w:hAnsi="仿宋" w:eastAsia="仿宋"/>
              <w:sz w:val="28"/>
              <w:szCs w:val="28"/>
            </w:rPr>
            <w:fldChar w:fldCharType="separate"/>
          </w:r>
          <w:r>
            <w:rPr>
              <w:rFonts w:ascii="仿宋" w:hAnsi="仿宋" w:eastAsia="仿宋"/>
              <w:sz w:val="28"/>
              <w:szCs w:val="28"/>
            </w:rPr>
            <w:t>61</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"_Toc78041479" </w:instrText>
          </w:r>
          <w:r>
            <w:fldChar w:fldCharType="separate"/>
          </w:r>
          <w:r>
            <w:rPr>
              <w:rStyle w:val="49"/>
              <w:rFonts w:ascii="仿宋" w:hAnsi="仿宋" w:eastAsia="仿宋" w:cs="Arial"/>
              <w:sz w:val="28"/>
              <w:szCs w:val="28"/>
            </w:rPr>
            <w:t>(一)</w:t>
          </w:r>
          <w:r>
            <w:rPr>
              <w:rFonts w:ascii="仿宋" w:hAnsi="仿宋" w:eastAsia="仿宋" w:cstheme="minorBidi"/>
              <w:smallCaps w:val="0"/>
              <w:sz w:val="28"/>
              <w:szCs w:val="28"/>
            </w:rPr>
            <w:tab/>
          </w:r>
          <w:r>
            <w:rPr>
              <w:rStyle w:val="49"/>
              <w:rFonts w:ascii="仿宋" w:hAnsi="仿宋" w:eastAsia="仿宋" w:cs="Arial"/>
              <w:sz w:val="28"/>
              <w:szCs w:val="28"/>
            </w:rPr>
            <w:t>组织保障</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_Toc78041479 \h </w:instrText>
          </w:r>
          <w:r>
            <w:rPr>
              <w:rFonts w:ascii="仿宋" w:hAnsi="仿宋" w:eastAsia="仿宋"/>
              <w:sz w:val="28"/>
              <w:szCs w:val="28"/>
            </w:rPr>
            <w:fldChar w:fldCharType="separate"/>
          </w:r>
          <w:r>
            <w:rPr>
              <w:rFonts w:ascii="仿宋" w:hAnsi="仿宋" w:eastAsia="仿宋"/>
              <w:sz w:val="28"/>
              <w:szCs w:val="28"/>
            </w:rPr>
            <w:t>61</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"_Toc78041480" </w:instrText>
          </w:r>
          <w:r>
            <w:fldChar w:fldCharType="separate"/>
          </w:r>
          <w:r>
            <w:rPr>
              <w:rStyle w:val="49"/>
              <w:rFonts w:ascii="仿宋" w:hAnsi="仿宋" w:eastAsia="仿宋" w:cs="Arial"/>
              <w:sz w:val="28"/>
              <w:szCs w:val="28"/>
            </w:rPr>
            <w:t>(二)</w:t>
          </w:r>
          <w:r>
            <w:rPr>
              <w:rFonts w:ascii="仿宋" w:hAnsi="仿宋" w:eastAsia="仿宋" w:cstheme="minorBidi"/>
              <w:smallCaps w:val="0"/>
              <w:sz w:val="28"/>
              <w:szCs w:val="28"/>
            </w:rPr>
            <w:tab/>
          </w:r>
          <w:r>
            <w:rPr>
              <w:rStyle w:val="49"/>
              <w:rFonts w:ascii="仿宋" w:hAnsi="仿宋" w:eastAsia="仿宋" w:cs="Arial"/>
              <w:sz w:val="28"/>
              <w:szCs w:val="28"/>
            </w:rPr>
            <w:t>制度保障</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_Toc78041480 \h </w:instrText>
          </w:r>
          <w:r>
            <w:rPr>
              <w:rFonts w:ascii="仿宋" w:hAnsi="仿宋" w:eastAsia="仿宋"/>
              <w:sz w:val="28"/>
              <w:szCs w:val="28"/>
            </w:rPr>
            <w:fldChar w:fldCharType="separate"/>
          </w:r>
          <w:r>
            <w:rPr>
              <w:rFonts w:ascii="仿宋" w:hAnsi="仿宋" w:eastAsia="仿宋"/>
              <w:sz w:val="28"/>
              <w:szCs w:val="28"/>
            </w:rPr>
            <w:t>62</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"_Toc78041481" </w:instrText>
          </w:r>
          <w:r>
            <w:fldChar w:fldCharType="separate"/>
          </w:r>
          <w:r>
            <w:rPr>
              <w:rStyle w:val="49"/>
              <w:rFonts w:ascii="仿宋" w:hAnsi="仿宋" w:eastAsia="仿宋" w:cs="Arial"/>
              <w:sz w:val="28"/>
              <w:szCs w:val="28"/>
            </w:rPr>
            <w:t>(三)</w:t>
          </w:r>
          <w:r>
            <w:rPr>
              <w:rFonts w:ascii="仿宋" w:hAnsi="仿宋" w:eastAsia="仿宋" w:cstheme="minorBidi"/>
              <w:smallCaps w:val="0"/>
              <w:sz w:val="28"/>
              <w:szCs w:val="28"/>
            </w:rPr>
            <w:tab/>
          </w:r>
          <w:r>
            <w:rPr>
              <w:rStyle w:val="49"/>
              <w:rFonts w:ascii="仿宋" w:hAnsi="仿宋" w:eastAsia="仿宋" w:cs="Arial"/>
              <w:sz w:val="28"/>
              <w:szCs w:val="28"/>
            </w:rPr>
            <w:t>人才保障</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_Toc78041481 \h </w:instrText>
          </w:r>
          <w:r>
            <w:rPr>
              <w:rFonts w:ascii="仿宋" w:hAnsi="仿宋" w:eastAsia="仿宋"/>
              <w:sz w:val="28"/>
              <w:szCs w:val="28"/>
            </w:rPr>
            <w:fldChar w:fldCharType="separate"/>
          </w:r>
          <w:r>
            <w:rPr>
              <w:rFonts w:ascii="仿宋" w:hAnsi="仿宋" w:eastAsia="仿宋"/>
              <w:sz w:val="28"/>
              <w:szCs w:val="28"/>
            </w:rPr>
            <w:t>63</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"_Toc78041482" </w:instrText>
          </w:r>
          <w:r>
            <w:fldChar w:fldCharType="separate"/>
          </w:r>
          <w:r>
            <w:rPr>
              <w:rStyle w:val="49"/>
              <w:rFonts w:ascii="仿宋" w:hAnsi="仿宋" w:eastAsia="仿宋" w:cs="Arial"/>
              <w:sz w:val="28"/>
              <w:szCs w:val="28"/>
            </w:rPr>
            <w:t>(四)</w:t>
          </w:r>
          <w:r>
            <w:rPr>
              <w:rFonts w:ascii="仿宋" w:hAnsi="仿宋" w:eastAsia="仿宋" w:cstheme="minorBidi"/>
              <w:smallCaps w:val="0"/>
              <w:sz w:val="28"/>
              <w:szCs w:val="28"/>
            </w:rPr>
            <w:tab/>
          </w:r>
          <w:r>
            <w:rPr>
              <w:rStyle w:val="49"/>
              <w:rFonts w:ascii="仿宋" w:hAnsi="仿宋" w:eastAsia="仿宋" w:cs="Arial"/>
              <w:sz w:val="28"/>
              <w:szCs w:val="28"/>
            </w:rPr>
            <w:t>资金保障</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_Toc78041482 \h </w:instrText>
          </w:r>
          <w:r>
            <w:rPr>
              <w:rFonts w:ascii="仿宋" w:hAnsi="仿宋" w:eastAsia="仿宋"/>
              <w:sz w:val="28"/>
              <w:szCs w:val="28"/>
            </w:rPr>
            <w:fldChar w:fldCharType="separate"/>
          </w:r>
          <w:r>
            <w:rPr>
              <w:rFonts w:ascii="仿宋" w:hAnsi="仿宋" w:eastAsia="仿宋"/>
              <w:sz w:val="28"/>
              <w:szCs w:val="28"/>
            </w:rPr>
            <w:t>64</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"_Toc78041483" </w:instrText>
          </w:r>
          <w:r>
            <w:fldChar w:fldCharType="separate"/>
          </w:r>
          <w:r>
            <w:rPr>
              <w:rStyle w:val="49"/>
              <w:rFonts w:ascii="仿宋" w:hAnsi="仿宋" w:eastAsia="仿宋" w:cs="Arial"/>
              <w:sz w:val="28"/>
              <w:szCs w:val="28"/>
            </w:rPr>
            <w:t>(五)</w:t>
          </w:r>
          <w:r>
            <w:rPr>
              <w:rFonts w:ascii="仿宋" w:hAnsi="仿宋" w:eastAsia="仿宋" w:cstheme="minorBidi"/>
              <w:smallCaps w:val="0"/>
              <w:sz w:val="28"/>
              <w:szCs w:val="28"/>
            </w:rPr>
            <w:tab/>
          </w:r>
          <w:r>
            <w:rPr>
              <w:rStyle w:val="49"/>
              <w:rFonts w:ascii="仿宋" w:hAnsi="仿宋" w:eastAsia="仿宋" w:cs="Arial"/>
              <w:sz w:val="28"/>
              <w:szCs w:val="28"/>
            </w:rPr>
            <w:t>宣传保障</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_Toc78041483 \h </w:instrText>
          </w:r>
          <w:r>
            <w:rPr>
              <w:rFonts w:ascii="仿宋" w:hAnsi="仿宋" w:eastAsia="仿宋"/>
              <w:sz w:val="28"/>
              <w:szCs w:val="28"/>
            </w:rPr>
            <w:fldChar w:fldCharType="separate"/>
          </w:r>
          <w:r>
            <w:rPr>
              <w:rFonts w:ascii="仿宋" w:hAnsi="仿宋" w:eastAsia="仿宋"/>
              <w:sz w:val="28"/>
              <w:szCs w:val="28"/>
            </w:rPr>
            <w:t>65</w:t>
          </w:r>
          <w:r>
            <w:rPr>
              <w:rFonts w:ascii="仿宋" w:hAnsi="仿宋" w:eastAsia="仿宋"/>
              <w:sz w:val="28"/>
              <w:szCs w:val="28"/>
            </w:rPr>
            <w:fldChar w:fldCharType="end"/>
          </w:r>
          <w:r>
            <w:rPr>
              <w:rFonts w:ascii="仿宋" w:hAnsi="仿宋" w:eastAsia="仿宋"/>
              <w:sz w:val="28"/>
              <w:szCs w:val="28"/>
            </w:rPr>
            <w:fldChar w:fldCharType="end"/>
          </w:r>
        </w:p>
        <w:p>
          <w:pPr>
            <w:pStyle w:val="34"/>
            <w:tabs>
              <w:tab w:val="left" w:pos="840"/>
              <w:tab w:val="right" w:leader="dot" w:pos="8296"/>
            </w:tabs>
            <w:rPr>
              <w:rFonts w:ascii="仿宋" w:hAnsi="仿宋" w:eastAsia="仿宋" w:cstheme="minorBidi"/>
              <w:smallCaps w:val="0"/>
              <w:sz w:val="28"/>
              <w:szCs w:val="28"/>
            </w:rPr>
          </w:pPr>
          <w:r>
            <w:fldChar w:fldCharType="begin"/>
          </w:r>
          <w:r>
            <w:instrText xml:space="preserve"> HYPERLINK \l "_Toc78041484" </w:instrText>
          </w:r>
          <w:r>
            <w:fldChar w:fldCharType="separate"/>
          </w:r>
          <w:r>
            <w:rPr>
              <w:rStyle w:val="49"/>
              <w:rFonts w:ascii="仿宋" w:hAnsi="仿宋" w:eastAsia="仿宋" w:cs="Arial"/>
              <w:sz w:val="28"/>
              <w:szCs w:val="28"/>
            </w:rPr>
            <w:t>(六)</w:t>
          </w:r>
          <w:r>
            <w:rPr>
              <w:rFonts w:ascii="仿宋" w:hAnsi="仿宋" w:eastAsia="仿宋" w:cstheme="minorBidi"/>
              <w:smallCaps w:val="0"/>
              <w:sz w:val="28"/>
              <w:szCs w:val="28"/>
            </w:rPr>
            <w:tab/>
          </w:r>
          <w:r>
            <w:rPr>
              <w:rStyle w:val="49"/>
              <w:rFonts w:ascii="仿宋" w:hAnsi="仿宋" w:eastAsia="仿宋" w:cs="Arial"/>
              <w:sz w:val="28"/>
              <w:szCs w:val="28"/>
            </w:rPr>
            <w:t>运维保障</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_Toc78041484 \h </w:instrText>
          </w:r>
          <w:r>
            <w:rPr>
              <w:rFonts w:ascii="仿宋" w:hAnsi="仿宋" w:eastAsia="仿宋"/>
              <w:sz w:val="28"/>
              <w:szCs w:val="28"/>
            </w:rPr>
            <w:fldChar w:fldCharType="separate"/>
          </w:r>
          <w:r>
            <w:rPr>
              <w:rFonts w:ascii="仿宋" w:hAnsi="仿宋" w:eastAsia="仿宋"/>
              <w:sz w:val="28"/>
              <w:szCs w:val="28"/>
            </w:rPr>
            <w:t>65</w:t>
          </w:r>
          <w:r>
            <w:rPr>
              <w:rFonts w:ascii="仿宋" w:hAnsi="仿宋" w:eastAsia="仿宋"/>
              <w:sz w:val="28"/>
              <w:szCs w:val="28"/>
            </w:rPr>
            <w:fldChar w:fldCharType="end"/>
          </w:r>
          <w:r>
            <w:rPr>
              <w:rFonts w:ascii="仿宋" w:hAnsi="仿宋" w:eastAsia="仿宋"/>
              <w:sz w:val="28"/>
              <w:szCs w:val="28"/>
            </w:rPr>
            <w:fldChar w:fldCharType="end"/>
          </w:r>
        </w:p>
        <w:p>
          <w:pPr>
            <w:pStyle w:val="27"/>
            <w:spacing w:before="0" w:after="0"/>
            <w:rPr>
              <w:rFonts w:ascii="仿宋" w:hAnsi="仿宋" w:eastAsia="仿宋" w:cstheme="minorBidi"/>
              <w:b w:val="0"/>
              <w:bCs w:val="0"/>
              <w:caps w:val="0"/>
              <w:sz w:val="28"/>
              <w:szCs w:val="28"/>
            </w:rPr>
          </w:pPr>
          <w:r>
            <w:fldChar w:fldCharType="begin"/>
          </w:r>
          <w:r>
            <w:instrText xml:space="preserve"> HYPERLINK \l "_Toc78041485" </w:instrText>
          </w:r>
          <w:r>
            <w:fldChar w:fldCharType="separate"/>
          </w:r>
          <w:r>
            <w:rPr>
              <w:rStyle w:val="49"/>
              <w:rFonts w:ascii="仿宋" w:hAnsi="仿宋" w:eastAsia="仿宋" w:cs="Arial"/>
              <w:sz w:val="28"/>
              <w:szCs w:val="28"/>
            </w:rPr>
            <w:t>附录一 重大项目投资汇总表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_Toc78041485 \h </w:instrText>
          </w:r>
          <w:r>
            <w:rPr>
              <w:rFonts w:ascii="仿宋" w:hAnsi="仿宋" w:eastAsia="仿宋"/>
              <w:sz w:val="28"/>
              <w:szCs w:val="28"/>
            </w:rPr>
            <w:fldChar w:fldCharType="separate"/>
          </w:r>
          <w:r>
            <w:rPr>
              <w:rFonts w:ascii="仿宋" w:hAnsi="仿宋" w:eastAsia="仿宋"/>
              <w:sz w:val="28"/>
              <w:szCs w:val="28"/>
            </w:rPr>
            <w:t>67</w:t>
          </w:r>
          <w:r>
            <w:rPr>
              <w:rFonts w:ascii="仿宋" w:hAnsi="仿宋" w:eastAsia="仿宋"/>
              <w:sz w:val="28"/>
              <w:szCs w:val="28"/>
            </w:rPr>
            <w:fldChar w:fldCharType="end"/>
          </w:r>
          <w:r>
            <w:rPr>
              <w:rFonts w:ascii="仿宋" w:hAnsi="仿宋" w:eastAsia="仿宋"/>
              <w:sz w:val="28"/>
              <w:szCs w:val="28"/>
            </w:rPr>
            <w:fldChar w:fldCharType="end"/>
          </w:r>
        </w:p>
        <w:p>
          <w:pPr>
            <w:pStyle w:val="27"/>
            <w:spacing w:before="0" w:after="0"/>
            <w:rPr>
              <w:rFonts w:asciiTheme="minorHAnsi" w:hAnsiTheme="minorHAnsi" w:eastAsiaTheme="minorEastAsia" w:cstheme="minorBidi"/>
              <w:b w:val="0"/>
              <w:bCs w:val="0"/>
              <w:caps w:val="0"/>
              <w:sz w:val="21"/>
              <w:szCs w:val="22"/>
            </w:rPr>
          </w:pPr>
          <w:r>
            <w:fldChar w:fldCharType="begin"/>
          </w:r>
          <w:r>
            <w:instrText xml:space="preserve"> HYPERLINK \l "_Toc78041486" </w:instrText>
          </w:r>
          <w:r>
            <w:fldChar w:fldCharType="separate"/>
          </w:r>
          <w:r>
            <w:rPr>
              <w:rStyle w:val="49"/>
              <w:rFonts w:ascii="仿宋" w:hAnsi="仿宋" w:eastAsia="仿宋" w:cs="Arial"/>
              <w:sz w:val="28"/>
              <w:szCs w:val="28"/>
            </w:rPr>
            <w:t>附录二 重大项目表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_Toc78041486 \h </w:instrText>
          </w:r>
          <w:r>
            <w:rPr>
              <w:rFonts w:ascii="仿宋" w:hAnsi="仿宋" w:eastAsia="仿宋"/>
              <w:sz w:val="28"/>
              <w:szCs w:val="28"/>
            </w:rPr>
            <w:fldChar w:fldCharType="separate"/>
          </w:r>
          <w:r>
            <w:rPr>
              <w:rFonts w:ascii="仿宋" w:hAnsi="仿宋" w:eastAsia="仿宋"/>
              <w:sz w:val="28"/>
              <w:szCs w:val="28"/>
            </w:rPr>
            <w:t>69</w:t>
          </w:r>
          <w:r>
            <w:rPr>
              <w:rFonts w:ascii="仿宋" w:hAnsi="仿宋" w:eastAsia="仿宋"/>
              <w:sz w:val="28"/>
              <w:szCs w:val="28"/>
            </w:rPr>
            <w:fldChar w:fldCharType="end"/>
          </w:r>
          <w:r>
            <w:rPr>
              <w:rFonts w:ascii="仿宋" w:hAnsi="仿宋" w:eastAsia="仿宋"/>
              <w:sz w:val="28"/>
              <w:szCs w:val="28"/>
            </w:rPr>
            <w:fldChar w:fldCharType="end"/>
          </w:r>
        </w:p>
        <w:p>
          <w:pPr>
            <w:pStyle w:val="27"/>
            <w:tabs>
              <w:tab w:val="left" w:pos="840"/>
            </w:tabs>
            <w:spacing w:before="0" w:after="0"/>
            <w:rPr>
              <w:rFonts w:ascii="Arial" w:hAnsi="Arial" w:eastAsia="仿宋" w:cs="Arial"/>
              <w:sz w:val="24"/>
              <w:szCs w:val="24"/>
              <w:lang w:val="zh-CN"/>
            </w:rPr>
          </w:pPr>
          <w:r>
            <w:rPr>
              <w:rFonts w:ascii="仿宋" w:hAnsi="仿宋" w:eastAsia="仿宋" w:cs="Arial"/>
              <w:b w:val="0"/>
              <w:bCs w:val="0"/>
              <w:sz w:val="28"/>
              <w:szCs w:val="28"/>
              <w:lang w:val="zh-CN"/>
            </w:rPr>
            <w:fldChar w:fldCharType="end"/>
          </w:r>
        </w:p>
      </w:sdtContent>
    </w:sdt>
    <w:p>
      <w:pPr>
        <w:pStyle w:val="27"/>
        <w:tabs>
          <w:tab w:val="left" w:pos="840"/>
        </w:tabs>
        <w:spacing w:line="360" w:lineRule="auto"/>
        <w:rPr>
          <w:rFonts w:ascii="Arial" w:hAnsi="Arial" w:eastAsia="仿宋" w:cs="Arial"/>
          <w:sz w:val="24"/>
          <w:szCs w:val="24"/>
          <w:lang w:val="zh-CN"/>
        </w:r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r>
        <w:rPr>
          <w:rFonts w:ascii="Arial" w:hAnsi="Arial" w:cs="Arial"/>
          <w:sz w:val="24"/>
          <w:szCs w:val="24"/>
          <w:lang w:val="zh-CN"/>
        </w:rPr>
        <w:br w:type="page"/>
      </w:r>
    </w:p>
    <w:p>
      <w:pPr>
        <w:pStyle w:val="2"/>
        <w:rPr>
          <w:rFonts w:ascii="Arial" w:hAnsi="Arial" w:eastAsia="仿宋" w:cs="Arial"/>
          <w:sz w:val="24"/>
          <w:szCs w:val="24"/>
        </w:rPr>
      </w:pPr>
      <w:bookmarkStart w:id="0" w:name="_Toc78041411"/>
      <w:r>
        <w:rPr>
          <w:rFonts w:ascii="Arial" w:hAnsi="Arial" w:eastAsia="仿宋" w:cs="Arial"/>
          <w:sz w:val="24"/>
          <w:szCs w:val="24"/>
        </w:rPr>
        <w:t>规划背景</w:t>
      </w:r>
      <w:bookmarkEnd w:id="0"/>
    </w:p>
    <w:p>
      <w:pPr>
        <w:pStyle w:val="3"/>
        <w:ind w:left="602" w:hanging="602"/>
        <w:rPr>
          <w:rFonts w:ascii="Arial" w:hAnsi="Arial" w:eastAsia="仿宋" w:cs="Arial"/>
          <w:sz w:val="24"/>
          <w:szCs w:val="24"/>
        </w:rPr>
      </w:pPr>
      <w:bookmarkStart w:id="1" w:name="_Toc78041412"/>
      <w:r>
        <w:rPr>
          <w:rFonts w:ascii="Arial" w:hAnsi="Arial" w:eastAsia="仿宋" w:cs="Arial"/>
          <w:sz w:val="24"/>
          <w:szCs w:val="24"/>
        </w:rPr>
        <w:t>“十三五”期间取得的成就</w:t>
      </w:r>
      <w:bookmarkEnd w:id="1"/>
    </w:p>
    <w:p>
      <w:pPr>
        <w:pStyle w:val="4"/>
        <w:rPr>
          <w:rFonts w:ascii="Arial" w:hAnsi="Arial" w:eastAsia="仿宋" w:cs="Arial"/>
          <w:sz w:val="24"/>
          <w:szCs w:val="24"/>
        </w:rPr>
      </w:pPr>
      <w:bookmarkStart w:id="2" w:name="_Toc78041413"/>
      <w:bookmarkStart w:id="3" w:name="_Toc450671860"/>
      <w:r>
        <w:rPr>
          <w:rFonts w:ascii="Arial" w:hAnsi="Arial" w:eastAsia="仿宋" w:cs="Arial"/>
          <w:sz w:val="24"/>
          <w:szCs w:val="24"/>
        </w:rPr>
        <w:t>基础设施</w:t>
      </w:r>
      <w:r>
        <w:rPr>
          <w:rFonts w:hint="eastAsia" w:ascii="Arial" w:hAnsi="Arial" w:eastAsia="仿宋" w:cs="Arial"/>
          <w:sz w:val="24"/>
          <w:szCs w:val="24"/>
        </w:rPr>
        <w:t>建设不断完善</w:t>
      </w:r>
      <w:bookmarkEnd w:id="2"/>
    </w:p>
    <w:p>
      <w:pPr>
        <w:spacing w:line="360" w:lineRule="auto"/>
        <w:ind w:firstLine="480" w:firstLineChars="200"/>
        <w:jc w:val="both"/>
        <w:rPr>
          <w:rFonts w:ascii="Arial" w:hAnsi="Arial" w:eastAsia="仿宋" w:cs="Arial"/>
          <w:color w:val="000000" w:themeColor="text1"/>
          <w14:textFill>
            <w14:solidFill>
              <w14:schemeClr w14:val="tx1"/>
            </w14:solidFill>
          </w14:textFill>
        </w:rPr>
      </w:pPr>
      <w:r>
        <w:rPr>
          <w:rFonts w:ascii="Arial" w:hAnsi="Arial" w:eastAsia="仿宋" w:cs="Arial"/>
          <w:color w:val="000000"/>
        </w:rPr>
        <w:t>在</w:t>
      </w:r>
      <w:r>
        <w:rPr>
          <w:rFonts w:ascii="Arial" w:hAnsi="Arial" w:eastAsia="仿宋" w:cs="Arial"/>
          <w:b/>
          <w:bCs/>
          <w:color w:val="000000"/>
        </w:rPr>
        <w:t>基础通信网络方面，</w:t>
      </w:r>
      <w:r>
        <w:rPr>
          <w:rFonts w:ascii="Arial" w:hAnsi="Arial" w:eastAsia="仿宋" w:cs="Arial"/>
          <w:lang w:val="zh-CN"/>
        </w:rPr>
        <w:t>以国家下一代互联网试点城市、宽带中国试点城市、国家三网融合试点城市为契机，望城区大力进行基础通信网络的建设，目前已建成集有线通信、移动通信、广播电视、多媒体综合通信等功能齐全的、覆盖面广的现代化通信网络。</w:t>
      </w:r>
      <w:r>
        <w:rPr>
          <w:rFonts w:ascii="Arial" w:hAnsi="Arial" w:eastAsia="仿宋" w:cs="Arial"/>
          <w:color w:val="000000"/>
        </w:rPr>
        <w:t>在</w:t>
      </w:r>
      <w:r>
        <w:rPr>
          <w:rFonts w:ascii="Arial" w:hAnsi="Arial" w:eastAsia="仿宋" w:cs="Arial"/>
          <w:b/>
          <w:bCs/>
          <w:color w:val="000000"/>
        </w:rPr>
        <w:t>电子政务网络方面</w:t>
      </w:r>
      <w:r>
        <w:rPr>
          <w:rFonts w:ascii="Arial" w:hAnsi="Arial" w:eastAsia="仿宋" w:cs="Arial"/>
          <w:color w:val="000000"/>
        </w:rPr>
        <w:t>，</w:t>
      </w:r>
      <w:r>
        <w:rPr>
          <w:rFonts w:ascii="Arial" w:hAnsi="Arial" w:eastAsia="仿宋" w:cs="Arial"/>
          <w:color w:val="000000" w:themeColor="text1"/>
          <w:lang w:val="zh-CN"/>
          <w14:textFill>
            <w14:solidFill>
              <w14:schemeClr w14:val="tx1"/>
            </w14:solidFill>
          </w14:textFill>
        </w:rPr>
        <w:t>望城区电子政务外网于2013年升级建成，各单位均是以1000M链路接入电子政务外网；</w:t>
      </w:r>
      <w:r>
        <w:rPr>
          <w:rFonts w:ascii="Arial" w:hAnsi="Arial" w:eastAsia="仿宋" w:cs="Arial"/>
          <w:lang w:val="zh-CN"/>
        </w:rPr>
        <w:t>电子政务外网建成后已经形成了比较完善的电子政务服务体系，横向实现了包括各区直机关在内的各委办局单位的接入，纵向实现了与省、市、镇（街道）、村（社区）的连通。</w:t>
      </w:r>
      <w:r>
        <w:rPr>
          <w:rFonts w:ascii="Arial" w:hAnsi="Arial" w:eastAsia="仿宋" w:cs="Arial"/>
          <w:b/>
          <w:bCs/>
        </w:rPr>
        <w:t>在基础支撑体系方面，</w:t>
      </w:r>
      <w:r>
        <w:rPr>
          <w:rFonts w:ascii="Arial" w:hAnsi="Arial" w:eastAsia="仿宋" w:cs="Arial"/>
          <w:lang w:val="zh-CN"/>
        </w:rPr>
        <w:t xml:space="preserve"> 2019年建设</w:t>
      </w:r>
      <w:r>
        <w:rPr>
          <w:rFonts w:hint="eastAsia" w:ascii="Arial" w:hAnsi="Arial" w:eastAsia="仿宋" w:cs="Arial"/>
          <w:lang w:val="zh-CN"/>
        </w:rPr>
        <w:t>了</w:t>
      </w:r>
      <w:r>
        <w:rPr>
          <w:rFonts w:ascii="Arial" w:hAnsi="Arial" w:eastAsia="仿宋" w:cs="Arial"/>
          <w:lang w:val="zh-CN"/>
        </w:rPr>
        <w:t>新型智慧城市鲲鹏云平台与新型</w:t>
      </w:r>
      <w:r>
        <w:rPr>
          <w:rFonts w:ascii="Arial" w:hAnsi="Arial" w:eastAsia="仿宋" w:cs="Arial"/>
        </w:rPr>
        <w:t>智慧城市运营中心</w:t>
      </w:r>
      <w:r>
        <w:rPr>
          <w:rFonts w:ascii="Arial" w:hAnsi="Arial" w:eastAsia="仿宋" w:cs="Arial"/>
          <w:lang w:val="zh-CN"/>
        </w:rPr>
        <w:t>（IOC），打造了国内首个鲲鹏体系的新型智慧城市标杆。望城鲲鹏云平台已累计部署超过200台硬件设备，其中计算节点102台、存储节点22台，可对外提供11012个vCPU、45227GB的内存以及503TB的存储空间，已为8个委办局的41个业务系统提供了252台云服务器。鲲鹏云平台为全区新型智慧城市建设提供了“四统一”服务，即统一的计算、存储、网络、安全、运维服务，统一的前端物联感知服务，统一的基础数据治理及服务，统一的城市视图服务，具有算力强大、安全可靠、国产自主等特点；</w:t>
      </w:r>
      <w:r>
        <w:rPr>
          <w:rFonts w:ascii="Arial" w:hAnsi="Arial" w:eastAsia="仿宋" w:cs="Arial"/>
          <w:bCs/>
          <w:color w:val="000000"/>
        </w:rPr>
        <w:t>创新建设了视频云平台，整合全区的视频资源，充分挖掘和多维分析海量视频信息，实现对视频图像、社会事件等的智能分析和监测预警，为全区提供决策支撑，实现全区可视共享。</w:t>
      </w:r>
      <w:r>
        <w:rPr>
          <w:rFonts w:ascii="Arial" w:hAnsi="Arial" w:eastAsia="仿宋" w:cs="Arial"/>
          <w:lang w:val="zh-CN"/>
        </w:rPr>
        <w:t>在2020亚太智慧城市发展论坛上，望城区凭借在新型智慧城市建设上的规划创新和建设成果荣获“2020年中国领军智慧城区”称号，也是湖南省2020年唯一入选城区</w:t>
      </w:r>
      <w:r>
        <w:rPr>
          <w:rFonts w:ascii="Arial" w:hAnsi="Arial" w:eastAsia="仿宋" w:cs="Arial"/>
          <w:bCs/>
          <w:color w:val="000000"/>
        </w:rPr>
        <w:t>。</w:t>
      </w:r>
    </w:p>
    <w:p>
      <w:pPr>
        <w:pStyle w:val="4"/>
        <w:rPr>
          <w:rFonts w:ascii="Arial" w:hAnsi="Arial" w:eastAsia="仿宋" w:cs="Arial"/>
          <w:sz w:val="24"/>
          <w:szCs w:val="24"/>
        </w:rPr>
      </w:pPr>
      <w:bookmarkStart w:id="4" w:name="_Toc78041414"/>
      <w:r>
        <w:rPr>
          <w:rFonts w:hint="eastAsia" w:ascii="Arial" w:hAnsi="Arial" w:eastAsia="仿宋" w:cs="Arial"/>
          <w:sz w:val="24"/>
          <w:szCs w:val="24"/>
        </w:rPr>
        <w:t>数据共享体系基本形成</w:t>
      </w:r>
      <w:bookmarkEnd w:id="4"/>
    </w:p>
    <w:p>
      <w:pPr>
        <w:spacing w:line="360" w:lineRule="auto"/>
        <w:ind w:firstLine="600"/>
        <w:jc w:val="both"/>
        <w:rPr>
          <w:rFonts w:ascii="Arial" w:hAnsi="Arial" w:eastAsia="仿宋" w:cs="Arial"/>
          <w:bCs/>
          <w:color w:val="000000"/>
        </w:rPr>
      </w:pPr>
      <w:r>
        <w:rPr>
          <w:rFonts w:ascii="Arial" w:hAnsi="Arial" w:eastAsia="仿宋" w:cs="Arial"/>
          <w:b/>
          <w:bCs/>
          <w:color w:val="000000"/>
        </w:rPr>
        <w:t>信息共享意识统一，资源共享体系基本形成。</w:t>
      </w:r>
      <w:r>
        <w:rPr>
          <w:rFonts w:ascii="Arial" w:hAnsi="Arial" w:eastAsia="仿宋" w:cs="Arial"/>
          <w:bCs/>
          <w:color w:val="000000"/>
        </w:rPr>
        <w:t>望城区通过数据共享交换平台的建设，成为全区覆盖部门、分类以及服务最全，且提供数据单位最多的政府信息整合和数据共享服务的平台，截至目前，共归集区医疗保障局、区人力资源和社会保障局、民政局、自然资源和规划局望城分局、区交通运输局等27个区直部门的信息存量数据131项，共计1458832条，并完成了39个区直部门信息资源目录及数据资源目录的编制，共计目录461条，推动跨部门、跨地域、跨层级政务信息资源共享利用，较好的实现了政务信息的“网络互通、数据共享、业务协同、服务融合”。在长沙市数据局的支持下复用市政务云基础库80多类数据资源，建设了人口、法人、电子证照、城市部件等基础数据库，目前人口库已有120万人的基础信息，包括姓名、性别、出生日期、身份证号码、联系方式等关键字段；法人库目前已归集7.5万条数据，涵盖事业法人、企业法人，包括法人机构代码证、注册资金、参保信息、企业资产等基础信息；电子证照库区级证照已基本归集完毕，市级证照可随时共享；城市部件库也已归集区内城市部件信息。为进一步推动望城区政务服务、行政审批等工作的规范化、标准化、信息化打下技术基础，有利于进一步强化行政权力运行的监督，有利于进一步推动行政审批更加依法、规范、公开和高效，进一步提升机关工作效率，建设为民、务实、廉洁、高效的服务型政府。</w:t>
      </w:r>
    </w:p>
    <w:p>
      <w:pPr>
        <w:pStyle w:val="4"/>
        <w:rPr>
          <w:rFonts w:ascii="Arial" w:hAnsi="Arial" w:eastAsia="仿宋" w:cs="Arial"/>
          <w:sz w:val="24"/>
          <w:szCs w:val="24"/>
        </w:rPr>
      </w:pPr>
      <w:bookmarkStart w:id="5" w:name="_Toc78041415"/>
      <w:r>
        <w:rPr>
          <w:rFonts w:hint="eastAsia" w:ascii="Arial" w:hAnsi="Arial" w:eastAsia="仿宋" w:cs="Arial"/>
          <w:sz w:val="24"/>
          <w:szCs w:val="24"/>
        </w:rPr>
        <w:t>行业应用不断深化</w:t>
      </w:r>
      <w:bookmarkEnd w:id="5"/>
    </w:p>
    <w:p>
      <w:pPr>
        <w:spacing w:line="360" w:lineRule="auto"/>
        <w:ind w:firstLine="600"/>
        <w:jc w:val="both"/>
        <w:rPr>
          <w:rFonts w:ascii="Arial" w:hAnsi="Arial" w:eastAsia="仿宋" w:cs="Arial"/>
          <w:b/>
          <w:bCs/>
          <w:color w:val="000000"/>
        </w:rPr>
      </w:pPr>
      <w:r>
        <w:rPr>
          <w:rFonts w:hint="eastAsia" w:ascii="Arial" w:hAnsi="Arial" w:eastAsia="仿宋" w:cs="Arial"/>
          <w:b/>
          <w:bCs/>
          <w:color w:val="000000"/>
        </w:rPr>
        <w:t>（1）公共服务</w:t>
      </w:r>
    </w:p>
    <w:p>
      <w:pPr>
        <w:spacing w:line="360" w:lineRule="auto"/>
        <w:ind w:firstLine="600"/>
        <w:jc w:val="both"/>
        <w:rPr>
          <w:rFonts w:ascii="Arial" w:hAnsi="Arial" w:eastAsia="仿宋" w:cs="Arial"/>
          <w:color w:val="000000"/>
        </w:rPr>
      </w:pPr>
      <w:r>
        <w:rPr>
          <w:rFonts w:ascii="Arial" w:hAnsi="Arial" w:eastAsia="仿宋" w:cs="Arial"/>
          <w:b/>
          <w:bCs/>
          <w:color w:val="000000"/>
        </w:rPr>
        <w:t>公共服务初见成效，人民福祉不断改善。</w:t>
      </w:r>
      <w:r>
        <w:rPr>
          <w:rFonts w:ascii="Arial" w:hAnsi="Arial" w:eastAsia="仿宋" w:cs="Arial"/>
          <w:color w:val="000000"/>
        </w:rPr>
        <w:t>望城区政府充分重视公共服务信息化应用，围绕解决群众最直接、最关心、最现实的利益问题，在服务渠道、政务工作、教育文化、医疗卫生、社会保障、公众出行等方面重点发力，让人民群众享受到高效便捷的民生服务。</w:t>
      </w:r>
      <w:r>
        <w:rPr>
          <w:rFonts w:hint="eastAsia" w:ascii="Arial" w:hAnsi="Arial" w:eastAsia="仿宋" w:cs="Arial"/>
          <w:color w:val="000000"/>
        </w:rPr>
        <w:t xml:space="preserve"> </w:t>
      </w:r>
    </w:p>
    <w:p>
      <w:pPr>
        <w:spacing w:line="360" w:lineRule="auto"/>
        <w:ind w:firstLine="601"/>
        <w:jc w:val="both"/>
        <w:rPr>
          <w:rFonts w:ascii="Arial" w:hAnsi="Arial" w:eastAsia="仿宋" w:cs="Arial"/>
          <w:color w:val="000000"/>
        </w:rPr>
      </w:pPr>
      <w:r>
        <w:rPr>
          <w:rFonts w:ascii="Arial" w:hAnsi="Arial" w:eastAsia="仿宋" w:cs="Arial"/>
          <w:color w:val="000000"/>
        </w:rPr>
        <w:t>在</w:t>
      </w:r>
      <w:r>
        <w:rPr>
          <w:rFonts w:ascii="Arial" w:hAnsi="Arial" w:eastAsia="仿宋" w:cs="Arial"/>
          <w:b/>
          <w:bCs/>
          <w:color w:val="000000"/>
        </w:rPr>
        <w:t>服务渠道方面</w:t>
      </w:r>
      <w:r>
        <w:rPr>
          <w:rFonts w:ascii="Arial" w:hAnsi="Arial" w:eastAsia="仿宋" w:cs="Arial"/>
          <w:color w:val="000000"/>
        </w:rPr>
        <w:t>，建立了统一的门户网站和微信公众号、服务热线，为公众提供了丰富的服务渠道。在</w:t>
      </w:r>
      <w:r>
        <w:rPr>
          <w:rFonts w:ascii="Arial" w:hAnsi="Arial" w:eastAsia="仿宋" w:cs="Arial"/>
          <w:b/>
          <w:bCs/>
          <w:color w:val="000000"/>
        </w:rPr>
        <w:t>政务服务方面</w:t>
      </w:r>
      <w:r>
        <w:rPr>
          <w:rFonts w:ascii="Arial" w:hAnsi="Arial" w:eastAsia="仿宋" w:cs="Arial"/>
          <w:color w:val="000000"/>
        </w:rPr>
        <w:t>，将“一件事一次办”列入全区41个重大改革课题，把工程建设项目审批制度改革作为全区机构改革首要任务推进，并将“智慧政务”建设作为打造国内首个鲲鹏体系的新型智慧城市标杆的重点内容。通过建立线上服务与线下服务相结合的新型政务工作模式，积极打造核心亮点“七通八达”新模式，真正实现“永不关门”的24小时自助服务大厅。在</w:t>
      </w:r>
      <w:r>
        <w:rPr>
          <w:rFonts w:ascii="Arial" w:hAnsi="Arial" w:eastAsia="仿宋" w:cs="Arial"/>
          <w:b/>
          <w:bCs/>
          <w:color w:val="000000"/>
        </w:rPr>
        <w:t>教育服务方面</w:t>
      </w:r>
      <w:r>
        <w:rPr>
          <w:rFonts w:ascii="Arial" w:hAnsi="Arial" w:eastAsia="仿宋" w:cs="Arial"/>
          <w:color w:val="000000"/>
        </w:rPr>
        <w:t>，教育信息化工作形成了一系列的建设标准，教育信息化应用不断推进，有力的支撑了社会教育事业的发展。在</w:t>
      </w:r>
      <w:r>
        <w:rPr>
          <w:rFonts w:ascii="Arial" w:hAnsi="Arial" w:eastAsia="仿宋" w:cs="Arial"/>
          <w:b/>
          <w:bCs/>
          <w:color w:val="000000"/>
        </w:rPr>
        <w:t>医疗服务方面</w:t>
      </w:r>
      <w:r>
        <w:rPr>
          <w:rFonts w:ascii="Arial" w:hAnsi="Arial" w:eastAsia="仿宋" w:cs="Arial"/>
          <w:color w:val="000000"/>
        </w:rPr>
        <w:t>，医药卫生体制改革稳步推进，医疗卫生服务体系不断完善，服务能力不断提升，公共卫生与重大疾病防控工作成效显著，全民医保制度体系不断健全。在</w:t>
      </w:r>
      <w:r>
        <w:rPr>
          <w:rFonts w:ascii="Arial" w:hAnsi="Arial" w:eastAsia="仿宋" w:cs="Arial"/>
          <w:b/>
          <w:bCs/>
          <w:color w:val="000000"/>
        </w:rPr>
        <w:t>社保服务方面</w:t>
      </w:r>
      <w:r>
        <w:rPr>
          <w:rFonts w:ascii="Arial" w:hAnsi="Arial" w:eastAsia="仿宋" w:cs="Arial"/>
          <w:color w:val="000000"/>
        </w:rPr>
        <w:t>，立足就业优先，搭建平台帮扶群体就业，解决群众就业问题的同时为企业输送大量人才；推进人社信息化进程，“最多跑一次”实现率达到100%，变“群众跑腿”为“信息跑路”。在</w:t>
      </w:r>
      <w:r>
        <w:rPr>
          <w:rFonts w:ascii="Arial" w:hAnsi="Arial" w:eastAsia="仿宋" w:cs="Arial"/>
          <w:b/>
          <w:bCs/>
          <w:color w:val="000000"/>
        </w:rPr>
        <w:t>文化服务方面</w:t>
      </w:r>
      <w:r>
        <w:rPr>
          <w:rFonts w:ascii="Arial" w:hAnsi="Arial" w:eastAsia="仿宋" w:cs="Arial"/>
          <w:color w:val="000000"/>
        </w:rPr>
        <w:t>，区融媒体中心挂牌成立，望城电视实现高标清同步播出；积极开展智慧旅游建设，完成16个景区点的天网工程建设，全面提供视频监控、人流控制、环境监测等全方位旅游服务。在</w:t>
      </w:r>
      <w:r>
        <w:rPr>
          <w:rFonts w:ascii="Arial" w:hAnsi="Arial" w:eastAsia="仿宋" w:cs="Arial"/>
          <w:b/>
          <w:bCs/>
          <w:color w:val="000000"/>
        </w:rPr>
        <w:t>公众出行方面</w:t>
      </w:r>
      <w:r>
        <w:rPr>
          <w:rFonts w:ascii="Arial" w:hAnsi="Arial" w:eastAsia="仿宋" w:cs="Arial"/>
          <w:color w:val="000000"/>
        </w:rPr>
        <w:t>，区本级的智慧畅行系统能实现车辆运行轨迹、车辆综合信息、实时位置等动态监管功能，为公共交通出行提供全面数字化服务。</w:t>
      </w:r>
    </w:p>
    <w:p>
      <w:pPr>
        <w:spacing w:line="360" w:lineRule="auto"/>
        <w:ind w:firstLine="600"/>
        <w:jc w:val="both"/>
        <w:rPr>
          <w:rFonts w:ascii="Arial" w:hAnsi="Arial" w:eastAsia="仿宋" w:cs="Arial"/>
          <w:b/>
          <w:bCs/>
          <w:color w:val="000000"/>
        </w:rPr>
      </w:pPr>
      <w:r>
        <w:rPr>
          <w:rFonts w:hint="eastAsia" w:ascii="Arial" w:hAnsi="Arial" w:eastAsia="仿宋" w:cs="Arial"/>
          <w:b/>
          <w:bCs/>
          <w:color w:val="000000"/>
        </w:rPr>
        <w:t>（2）</w:t>
      </w:r>
      <w:r>
        <w:rPr>
          <w:rFonts w:ascii="Arial" w:hAnsi="Arial" w:eastAsia="仿宋" w:cs="Arial"/>
          <w:b/>
          <w:bCs/>
          <w:color w:val="000000"/>
        </w:rPr>
        <w:t>社会管理</w:t>
      </w:r>
    </w:p>
    <w:p>
      <w:pPr>
        <w:spacing w:line="360" w:lineRule="auto"/>
        <w:ind w:firstLine="600"/>
        <w:jc w:val="both"/>
        <w:rPr>
          <w:rFonts w:ascii="Arial" w:hAnsi="Arial" w:eastAsia="仿宋" w:cs="Arial"/>
          <w:lang w:val="zh-CN"/>
        </w:rPr>
      </w:pPr>
      <w:r>
        <w:rPr>
          <w:rFonts w:ascii="Arial" w:hAnsi="Arial" w:eastAsia="仿宋" w:cs="Arial"/>
          <w:color w:val="000000"/>
        </w:rPr>
        <w:t>在</w:t>
      </w:r>
      <w:r>
        <w:rPr>
          <w:rFonts w:ascii="Arial" w:hAnsi="Arial" w:eastAsia="仿宋" w:cs="Arial"/>
          <w:b/>
          <w:bCs/>
          <w:color w:val="000000"/>
        </w:rPr>
        <w:t>城市治理方面</w:t>
      </w:r>
      <w:r>
        <w:rPr>
          <w:rFonts w:ascii="Arial" w:hAnsi="Arial" w:eastAsia="仿宋" w:cs="Arial"/>
          <w:color w:val="000000"/>
        </w:rPr>
        <w:t>，</w:t>
      </w:r>
      <w:r>
        <w:rPr>
          <w:rFonts w:ascii="Arial" w:hAnsi="Arial" w:eastAsia="仿宋" w:cs="Arial"/>
          <w:lang w:val="zh-CN"/>
        </w:rPr>
        <w:t>城市治理不断创新，全区实现“一张网格管到底”，基本实现应急联动管理。</w:t>
      </w:r>
      <w:r>
        <w:rPr>
          <w:rFonts w:ascii="Arial" w:hAnsi="Arial" w:eastAsia="仿宋" w:cs="Arial"/>
        </w:rPr>
        <w:t>在</w:t>
      </w:r>
      <w:r>
        <w:rPr>
          <w:rFonts w:ascii="Arial" w:hAnsi="Arial" w:eastAsia="仿宋" w:cs="Arial"/>
          <w:b/>
          <w:bCs/>
        </w:rPr>
        <w:t>公共安全方面</w:t>
      </w:r>
      <w:r>
        <w:rPr>
          <w:rFonts w:ascii="Arial" w:hAnsi="Arial" w:eastAsia="仿宋" w:cs="Arial"/>
        </w:rPr>
        <w:t>，</w:t>
      </w:r>
      <w:r>
        <w:rPr>
          <w:rFonts w:ascii="Arial" w:hAnsi="Arial" w:eastAsia="仿宋" w:cs="Arial"/>
          <w:lang w:val="zh-CN"/>
        </w:rPr>
        <w:t>全区建设多个高清监控点位、电子警察和电子卡口，天网、雪亮工程持续推进，有效拓展了治安防控的可视空间，提升了立体化治安防控体系的整体防控性能，民众安全感满意度不断上升。</w:t>
      </w:r>
      <w:r>
        <w:rPr>
          <w:rFonts w:ascii="Arial" w:hAnsi="Arial" w:eastAsia="仿宋" w:cs="Arial"/>
        </w:rPr>
        <w:t>在</w:t>
      </w:r>
      <w:r>
        <w:rPr>
          <w:rFonts w:ascii="Arial" w:hAnsi="Arial" w:eastAsia="仿宋" w:cs="Arial"/>
          <w:b/>
          <w:bCs/>
        </w:rPr>
        <w:t>交通治理方面</w:t>
      </w:r>
      <w:r>
        <w:rPr>
          <w:rFonts w:ascii="Arial" w:hAnsi="Arial" w:eastAsia="仿宋" w:cs="Arial"/>
        </w:rPr>
        <w:t>，通过</w:t>
      </w:r>
      <w:r>
        <w:rPr>
          <w:rFonts w:ascii="Arial" w:hAnsi="Arial" w:eastAsia="仿宋" w:cs="Arial"/>
          <w:lang w:val="zh-CN"/>
        </w:rPr>
        <w:t>望城区智慧交通项目建设，在金星大道、银星路口、普瑞路口、月亮岛路口部署了智慧交通系统，规范道路安全秩序、保障市民安全有序出行，交通治理能力</w:t>
      </w:r>
      <w:r>
        <w:rPr>
          <w:rFonts w:ascii="Arial" w:hAnsi="Arial" w:eastAsia="仿宋" w:cs="Arial"/>
        </w:rPr>
        <w:t>不断完善。围绕缓堵保障、应急保障、智慧化交通管理等工作，提高了安全防控能力</w:t>
      </w:r>
      <w:r>
        <w:rPr>
          <w:rFonts w:ascii="Arial" w:hAnsi="Arial" w:eastAsia="仿宋" w:cs="Arial"/>
          <w:lang w:val="zh-CN"/>
        </w:rPr>
        <w:t>。</w:t>
      </w:r>
      <w:r>
        <w:rPr>
          <w:rFonts w:ascii="Arial" w:hAnsi="Arial" w:eastAsia="仿宋" w:cs="Arial"/>
          <w:color w:val="000000"/>
        </w:rPr>
        <w:t>在</w:t>
      </w:r>
      <w:r>
        <w:rPr>
          <w:rFonts w:ascii="Arial" w:hAnsi="Arial" w:eastAsia="仿宋" w:cs="Arial"/>
          <w:b/>
          <w:bCs/>
          <w:color w:val="000000"/>
        </w:rPr>
        <w:t>市场监管方面</w:t>
      </w:r>
      <w:r>
        <w:rPr>
          <w:rFonts w:ascii="Arial" w:hAnsi="Arial" w:eastAsia="仿宋" w:cs="Arial"/>
          <w:color w:val="000000"/>
        </w:rPr>
        <w:t>，</w:t>
      </w:r>
      <w:r>
        <w:rPr>
          <w:rFonts w:ascii="Arial" w:hAnsi="Arial" w:eastAsia="仿宋" w:cs="Arial"/>
          <w:lang w:val="zh-CN"/>
        </w:rPr>
        <w:t>区市场监督管理局率先推进深化商事制度改革，电子营业执照、企业“多证合一、一照一码”全面推行；加强了事中事后监管以及“双随机、一公开”监管、协同监管，强化价格行为监管，畅通消费维权通道。</w:t>
      </w:r>
    </w:p>
    <w:p>
      <w:pPr>
        <w:spacing w:line="360" w:lineRule="auto"/>
        <w:ind w:firstLine="600"/>
        <w:jc w:val="both"/>
        <w:rPr>
          <w:rFonts w:ascii="Arial" w:hAnsi="Arial" w:eastAsia="仿宋" w:cs="Arial"/>
          <w:b/>
          <w:bCs/>
          <w:color w:val="000000"/>
        </w:rPr>
      </w:pPr>
      <w:r>
        <w:rPr>
          <w:rFonts w:hint="eastAsia" w:ascii="Arial" w:hAnsi="Arial" w:eastAsia="仿宋" w:cs="Arial"/>
          <w:b/>
          <w:bCs/>
          <w:color w:val="000000"/>
        </w:rPr>
        <w:t>（3）</w:t>
      </w:r>
      <w:r>
        <w:rPr>
          <w:rFonts w:ascii="Arial" w:hAnsi="Arial" w:eastAsia="仿宋" w:cs="Arial"/>
          <w:b/>
          <w:bCs/>
          <w:color w:val="000000"/>
        </w:rPr>
        <w:t>产业经济</w:t>
      </w:r>
    </w:p>
    <w:p>
      <w:pPr>
        <w:spacing w:line="360" w:lineRule="auto"/>
        <w:ind w:firstLine="600"/>
        <w:jc w:val="both"/>
        <w:rPr>
          <w:rFonts w:ascii="Arial" w:hAnsi="Arial" w:eastAsia="仿宋" w:cs="Arial"/>
          <w:color w:val="000000"/>
        </w:rPr>
      </w:pPr>
      <w:r>
        <w:rPr>
          <w:rFonts w:ascii="Arial" w:hAnsi="Arial" w:eastAsia="仿宋" w:cs="Arial"/>
          <w:b/>
          <w:lang w:val="zh-CN"/>
        </w:rPr>
        <w:t>信息产业势头强劲，产业创新基础扎实。</w:t>
      </w:r>
      <w:r>
        <w:rPr>
          <w:rFonts w:ascii="Arial" w:hAnsi="Arial" w:eastAsia="仿宋" w:cs="Arial"/>
          <w:color w:val="000000"/>
        </w:rPr>
        <w:t>在</w:t>
      </w:r>
      <w:r>
        <w:rPr>
          <w:rFonts w:ascii="Arial" w:hAnsi="Arial" w:eastAsia="仿宋" w:cs="Arial"/>
          <w:b/>
          <w:bCs/>
          <w:color w:val="000000"/>
        </w:rPr>
        <w:t>工业与信息化融合方面</w:t>
      </w:r>
      <w:r>
        <w:rPr>
          <w:rFonts w:ascii="Arial" w:hAnsi="Arial" w:eastAsia="仿宋" w:cs="Arial"/>
          <w:color w:val="000000"/>
        </w:rPr>
        <w:t>，</w:t>
      </w:r>
      <w:r>
        <w:rPr>
          <w:rFonts w:ascii="Arial" w:hAnsi="Arial" w:eastAsia="仿宋" w:cs="Arial"/>
          <w:lang w:val="zh-CN"/>
        </w:rPr>
        <w:t>加快推动智能产业化和产业智能化，经开区智能制造带动创新转型升级发展势头强劲，重点围绕智能制造产业园、大数据产业园两大板块，拓展发展新空间。</w:t>
      </w:r>
      <w:r>
        <w:rPr>
          <w:rFonts w:ascii="Arial" w:hAnsi="Arial" w:eastAsia="仿宋" w:cs="Arial"/>
          <w:color w:val="000000"/>
        </w:rPr>
        <w:t>在</w:t>
      </w:r>
      <w:r>
        <w:rPr>
          <w:rFonts w:ascii="Arial" w:hAnsi="Arial" w:eastAsia="仿宋" w:cs="Arial"/>
          <w:b/>
          <w:bCs/>
          <w:color w:val="000000"/>
        </w:rPr>
        <w:t>农业现代化方面，</w:t>
      </w:r>
      <w:r>
        <w:rPr>
          <w:rFonts w:ascii="Arial" w:hAnsi="Arial" w:eastAsia="仿宋" w:cs="Arial"/>
          <w:bCs/>
          <w:color w:val="000000"/>
        </w:rPr>
        <w:t>全面强化产销对接，通过探索网络营销电子商务模式，促进农业生产与市场的高度对接。</w:t>
      </w:r>
      <w:r>
        <w:rPr>
          <w:rFonts w:ascii="Arial" w:hAnsi="Arial" w:eastAsia="仿宋" w:cs="Arial"/>
          <w:color w:val="000000"/>
        </w:rPr>
        <w:t>在</w:t>
      </w:r>
      <w:r>
        <w:rPr>
          <w:rFonts w:ascii="Arial" w:hAnsi="Arial" w:eastAsia="仿宋" w:cs="Arial"/>
          <w:b/>
          <w:bCs/>
          <w:color w:val="000000"/>
        </w:rPr>
        <w:t>创新创业服务方面，</w:t>
      </w:r>
      <w:r>
        <w:rPr>
          <w:rFonts w:ascii="Arial" w:hAnsi="Arial" w:eastAsia="仿宋" w:cs="Arial"/>
          <w:lang w:val="zh-CN"/>
        </w:rPr>
        <w:t>政策扶持力度</w:t>
      </w:r>
      <w:r>
        <w:rPr>
          <w:rFonts w:ascii="Arial" w:hAnsi="Arial" w:eastAsia="仿宋" w:cs="Arial"/>
          <w:bCs/>
          <w:color w:val="000000"/>
        </w:rPr>
        <w:t>不断加码，创新活动投入稳步增加，创新成效不断显现。在</w:t>
      </w:r>
      <w:r>
        <w:rPr>
          <w:rFonts w:ascii="Arial" w:hAnsi="Arial" w:eastAsia="仿宋" w:cs="Arial"/>
          <w:b/>
          <w:bCs/>
          <w:color w:val="000000"/>
        </w:rPr>
        <w:t>园区运营服务方面</w:t>
      </w:r>
      <w:r>
        <w:rPr>
          <w:rFonts w:ascii="Arial" w:hAnsi="Arial" w:eastAsia="仿宋" w:cs="Arial"/>
          <w:bCs/>
          <w:color w:val="000000"/>
        </w:rPr>
        <w:t>，通过智慧园区一二期工程建设，实现了对园区重点项目、重点企业、重点工作领域的全覆盖，实现了政务办公更智能、园区运营更精准、产业体系更融合、监管服务更便捷，上榜“2019中国智慧城市十大智慧园区”。</w:t>
      </w:r>
    </w:p>
    <w:p>
      <w:pPr>
        <w:spacing w:line="360" w:lineRule="auto"/>
        <w:ind w:firstLine="600"/>
        <w:jc w:val="both"/>
        <w:rPr>
          <w:rFonts w:ascii="Arial" w:hAnsi="Arial" w:eastAsia="仿宋" w:cs="Arial"/>
          <w:b/>
          <w:bCs/>
          <w:color w:val="000000"/>
        </w:rPr>
      </w:pPr>
      <w:r>
        <w:rPr>
          <w:rFonts w:hint="eastAsia" w:ascii="Arial" w:hAnsi="Arial" w:eastAsia="仿宋" w:cs="Arial"/>
          <w:b/>
          <w:bCs/>
          <w:color w:val="000000"/>
        </w:rPr>
        <w:t>（4）</w:t>
      </w:r>
      <w:r>
        <w:rPr>
          <w:rFonts w:ascii="Arial" w:hAnsi="Arial" w:eastAsia="仿宋" w:cs="Arial"/>
          <w:b/>
          <w:bCs/>
          <w:color w:val="000000"/>
        </w:rPr>
        <w:t>文明宜居</w:t>
      </w:r>
    </w:p>
    <w:p>
      <w:pPr>
        <w:spacing w:line="360" w:lineRule="auto"/>
        <w:ind w:firstLine="600"/>
        <w:jc w:val="both"/>
        <w:rPr>
          <w:rFonts w:ascii="Arial" w:hAnsi="Arial" w:eastAsia="仿宋" w:cs="Arial"/>
          <w:b/>
          <w:bCs/>
          <w:color w:val="000000"/>
        </w:rPr>
      </w:pPr>
      <w:r>
        <w:rPr>
          <w:rFonts w:ascii="Arial" w:hAnsi="Arial" w:eastAsia="仿宋" w:cs="Arial"/>
          <w:b/>
          <w:lang w:val="zh-CN"/>
        </w:rPr>
        <w:t>生态建设持续推进，幸福指数不断提高。</w:t>
      </w:r>
      <w:r>
        <w:rPr>
          <w:rFonts w:ascii="Arial" w:hAnsi="Arial" w:eastAsia="仿宋" w:cs="Arial"/>
          <w:color w:val="000000"/>
        </w:rPr>
        <w:t>在</w:t>
      </w:r>
      <w:r>
        <w:rPr>
          <w:rFonts w:ascii="Arial" w:hAnsi="Arial" w:eastAsia="仿宋" w:cs="Arial"/>
          <w:b/>
          <w:bCs/>
          <w:color w:val="000000"/>
        </w:rPr>
        <w:t>生态环境方面</w:t>
      </w:r>
      <w:r>
        <w:rPr>
          <w:rFonts w:ascii="Arial" w:hAnsi="Arial" w:eastAsia="仿宋" w:cs="Arial"/>
          <w:color w:val="000000"/>
        </w:rPr>
        <w:t>，</w:t>
      </w:r>
      <w:r>
        <w:rPr>
          <w:rFonts w:ascii="Arial" w:hAnsi="Arial" w:eastAsia="仿宋" w:cs="Arial"/>
          <w:bCs/>
          <w:color w:val="000000"/>
        </w:rPr>
        <w:t>望城区迈出生态优先、绿色发展的坚实步伐，利用移动信息化技术，实现空气、水资源、雨情等信息的动态采集、实时监控及执法监管，生态建设取得积极进展。</w:t>
      </w:r>
      <w:r>
        <w:rPr>
          <w:rFonts w:ascii="Arial" w:hAnsi="Arial" w:eastAsia="仿宋" w:cs="Arial"/>
          <w:color w:val="000000"/>
        </w:rPr>
        <w:t>在</w:t>
      </w:r>
      <w:r>
        <w:rPr>
          <w:rFonts w:ascii="Arial" w:hAnsi="Arial" w:eastAsia="仿宋" w:cs="Arial"/>
          <w:b/>
          <w:bCs/>
          <w:color w:val="000000"/>
        </w:rPr>
        <w:t>社区生活方面</w:t>
      </w:r>
      <w:r>
        <w:rPr>
          <w:rFonts w:ascii="Arial" w:hAnsi="Arial" w:eastAsia="仿宋" w:cs="Arial"/>
          <w:color w:val="000000"/>
        </w:rPr>
        <w:t>，各居家和社区养老平台建成</w:t>
      </w:r>
      <w:r>
        <w:rPr>
          <w:rFonts w:ascii="Arial" w:hAnsi="Arial" w:eastAsia="仿宋" w:cs="Arial"/>
          <w:bCs/>
          <w:color w:val="000000"/>
        </w:rPr>
        <w:t>运营，智慧社区APP上线，社区服务24小时“不打烊”，让全区老百姓的获得感、幸福感在家门口不断升级。在</w:t>
      </w:r>
      <w:r>
        <w:rPr>
          <w:rFonts w:ascii="Arial" w:hAnsi="Arial" w:eastAsia="仿宋" w:cs="Arial"/>
          <w:b/>
          <w:bCs/>
          <w:color w:val="000000"/>
        </w:rPr>
        <w:t>健康服务方面</w:t>
      </w:r>
      <w:r>
        <w:rPr>
          <w:rFonts w:ascii="Arial" w:hAnsi="Arial" w:eastAsia="仿宋" w:cs="Arial"/>
          <w:bCs/>
          <w:color w:val="000000"/>
        </w:rPr>
        <w:t>，通过建设“望城区智慧医疗健康信息平台”，以智慧医疗健康信息化为基础，健康服务政策为支撑，带动望城区健康产业发展新形态，助力实现全民健康，形成“健康望城”模式。</w:t>
      </w:r>
    </w:p>
    <w:p>
      <w:pPr>
        <w:pStyle w:val="4"/>
        <w:rPr>
          <w:rFonts w:ascii="Arial" w:hAnsi="Arial" w:eastAsia="仿宋" w:cs="Arial"/>
          <w:sz w:val="24"/>
          <w:szCs w:val="24"/>
        </w:rPr>
      </w:pPr>
      <w:bookmarkStart w:id="6" w:name="_Toc78041416"/>
      <w:r>
        <w:rPr>
          <w:rFonts w:ascii="Arial" w:hAnsi="Arial" w:eastAsia="仿宋" w:cs="Arial"/>
          <w:sz w:val="24"/>
          <w:szCs w:val="24"/>
        </w:rPr>
        <w:t>网络安全</w:t>
      </w:r>
      <w:r>
        <w:rPr>
          <w:rFonts w:hint="eastAsia" w:ascii="Arial" w:hAnsi="Arial" w:eastAsia="仿宋" w:cs="Arial"/>
          <w:sz w:val="24"/>
          <w:szCs w:val="24"/>
        </w:rPr>
        <w:t>不断加强</w:t>
      </w:r>
      <w:bookmarkEnd w:id="6"/>
    </w:p>
    <w:p>
      <w:pPr>
        <w:spacing w:line="360" w:lineRule="auto"/>
        <w:ind w:firstLine="600"/>
        <w:jc w:val="both"/>
        <w:rPr>
          <w:rFonts w:ascii="Arial" w:hAnsi="Arial" w:eastAsia="仿宋" w:cs="Arial"/>
          <w:lang w:val="zh-CN"/>
        </w:rPr>
      </w:pPr>
      <w:r>
        <w:rPr>
          <w:rFonts w:ascii="Arial" w:hAnsi="Arial" w:eastAsia="仿宋" w:cs="Arial"/>
          <w:bCs/>
        </w:rPr>
        <w:t>信息安全不断加强，防御能力持续改善。</w:t>
      </w:r>
      <w:r>
        <w:rPr>
          <w:rFonts w:ascii="Arial" w:hAnsi="Arial" w:eastAsia="仿宋" w:cs="Arial"/>
          <w:color w:val="000000"/>
          <w:lang w:bidi="ar"/>
        </w:rPr>
        <w:t>望城区委网络安全和信息化委员会办公室办建设</w:t>
      </w:r>
      <w:r>
        <w:rPr>
          <w:rFonts w:ascii="Arial" w:hAnsi="Arial" w:eastAsia="仿宋" w:cs="Arial"/>
          <w:b/>
          <w:bCs/>
          <w:color w:val="000000"/>
          <w:lang w:bidi="ar"/>
        </w:rPr>
        <w:t>长沙市望城区网络安全态势感知与监管通报管理平台</w:t>
      </w:r>
      <w:r>
        <w:rPr>
          <w:rFonts w:ascii="Arial" w:hAnsi="Arial" w:eastAsia="仿宋" w:cs="Arial"/>
          <w:color w:val="000000"/>
          <w:lang w:bidi="ar"/>
        </w:rPr>
        <w:t>，保障了网络空间安全平稳运行，切实提升全区技术管网治网能力；开通了互联网违法和不良信息举报平台，加大了网络平台的巡查和监管力度，着力提高社会公众参与网络治理的主动性和积极性。</w:t>
      </w:r>
    </w:p>
    <w:p>
      <w:pPr>
        <w:spacing w:line="360" w:lineRule="auto"/>
        <w:ind w:firstLine="600"/>
        <w:jc w:val="both"/>
        <w:rPr>
          <w:rFonts w:ascii="Arial" w:hAnsi="Arial" w:eastAsia="仿宋" w:cs="Arial"/>
          <w:lang w:val="zh-CN"/>
        </w:rPr>
      </w:pPr>
      <w:r>
        <w:rPr>
          <w:rFonts w:ascii="Arial" w:hAnsi="Arial" w:eastAsia="仿宋" w:cs="Arial"/>
          <w:lang w:val="zh-CN"/>
        </w:rPr>
        <w:t>同时望城新型智慧城市通过“</w:t>
      </w:r>
      <w:r>
        <w:rPr>
          <w:rFonts w:ascii="Arial" w:hAnsi="Arial" w:eastAsia="仿宋" w:cs="Arial"/>
          <w:b/>
          <w:lang w:val="zh-CN"/>
        </w:rPr>
        <w:t>一个中心</w:t>
      </w:r>
      <w:r>
        <w:rPr>
          <w:rFonts w:ascii="Arial" w:hAnsi="Arial" w:eastAsia="仿宋" w:cs="Arial"/>
          <w:lang w:val="zh-CN"/>
        </w:rPr>
        <w:t>，</w:t>
      </w:r>
      <w:r>
        <w:rPr>
          <w:rFonts w:ascii="Arial" w:hAnsi="Arial" w:eastAsia="仿宋" w:cs="Arial"/>
          <w:b/>
          <w:lang w:val="zh-CN"/>
        </w:rPr>
        <w:t>三重保护</w:t>
      </w:r>
      <w:r>
        <w:rPr>
          <w:rFonts w:ascii="Arial" w:hAnsi="Arial" w:eastAsia="仿宋" w:cs="Arial"/>
          <w:lang w:val="zh-CN"/>
        </w:rPr>
        <w:t>，</w:t>
      </w:r>
      <w:r>
        <w:rPr>
          <w:rFonts w:ascii="Arial" w:hAnsi="Arial" w:eastAsia="仿宋" w:cs="Arial"/>
          <w:b/>
          <w:lang w:val="zh-CN"/>
        </w:rPr>
        <w:t>五个层面</w:t>
      </w:r>
      <w:r>
        <w:rPr>
          <w:rFonts w:ascii="Arial" w:hAnsi="Arial" w:eastAsia="仿宋" w:cs="Arial"/>
          <w:lang w:val="zh-CN"/>
        </w:rPr>
        <w:t>”的安全技术体系模式，全面构建了望城新型智慧城市“安全保障三体系”，即“安全技术体系、安全管理体系、安全运维体系”，建立了具备事前防御、检测，事中防护和事后响应安全能力的职责分明、安全合规的综合安全防护体系。</w:t>
      </w:r>
    </w:p>
    <w:p>
      <w:pPr>
        <w:pStyle w:val="4"/>
        <w:rPr>
          <w:rFonts w:ascii="Arial" w:hAnsi="Arial" w:eastAsia="仿宋" w:cs="Arial"/>
          <w:sz w:val="24"/>
          <w:szCs w:val="24"/>
        </w:rPr>
      </w:pPr>
      <w:bookmarkStart w:id="7" w:name="_Toc78041417"/>
      <w:r>
        <w:rPr>
          <w:rFonts w:ascii="Arial" w:hAnsi="Arial" w:eastAsia="仿宋" w:cs="Arial"/>
          <w:sz w:val="24"/>
          <w:szCs w:val="24"/>
        </w:rPr>
        <w:t>机制保障</w:t>
      </w:r>
      <w:r>
        <w:rPr>
          <w:rFonts w:hint="eastAsia" w:ascii="Arial" w:hAnsi="Arial" w:eastAsia="仿宋" w:cs="Arial"/>
          <w:sz w:val="24"/>
          <w:szCs w:val="24"/>
        </w:rPr>
        <w:t>不断健全</w:t>
      </w:r>
      <w:bookmarkEnd w:id="7"/>
    </w:p>
    <w:p>
      <w:pPr>
        <w:spacing w:line="360" w:lineRule="auto"/>
        <w:ind w:firstLine="600"/>
        <w:jc w:val="both"/>
        <w:rPr>
          <w:rFonts w:ascii="Arial" w:hAnsi="Arial" w:eastAsia="仿宋" w:cs="Arial"/>
          <w:lang w:val="zh-CN"/>
        </w:rPr>
      </w:pPr>
      <w:r>
        <w:rPr>
          <w:rFonts w:ascii="Arial" w:hAnsi="Arial" w:eastAsia="仿宋" w:cs="Arial"/>
          <w:lang w:val="zh-CN"/>
        </w:rPr>
        <w:t>机制体制不断健全，保障能力不断加强。望城区政府成立了</w:t>
      </w:r>
      <w:r>
        <w:rPr>
          <w:rFonts w:ascii="Arial" w:hAnsi="Arial" w:eastAsia="仿宋" w:cs="Arial"/>
          <w:b/>
          <w:bCs/>
          <w:lang w:val="zh-CN"/>
        </w:rPr>
        <w:t>望城新型智慧城市建设领导小组</w:t>
      </w:r>
      <w:r>
        <w:rPr>
          <w:rFonts w:ascii="Arial" w:hAnsi="Arial" w:eastAsia="仿宋" w:cs="Arial"/>
          <w:lang w:val="zh-CN"/>
        </w:rPr>
        <w:t>，由领导小组统筹领导，实现各类智慧城市项目的统一调度、统筹指导，有序推进应用场景建设。成立了</w:t>
      </w:r>
      <w:r>
        <w:rPr>
          <w:rFonts w:ascii="Arial" w:hAnsi="Arial" w:eastAsia="仿宋" w:cs="Arial"/>
          <w:b/>
          <w:bCs/>
          <w:lang w:val="zh-CN"/>
        </w:rPr>
        <w:t>望城区数据资源中心</w:t>
      </w:r>
      <w:r>
        <w:rPr>
          <w:rFonts w:ascii="Arial" w:hAnsi="Arial" w:eastAsia="仿宋" w:cs="Arial"/>
          <w:lang w:val="zh-CN"/>
        </w:rPr>
        <w:t>，并加挂</w:t>
      </w:r>
      <w:r>
        <w:rPr>
          <w:rFonts w:ascii="Arial" w:hAnsi="Arial" w:eastAsia="仿宋" w:cs="Arial"/>
          <w:b/>
          <w:bCs/>
          <w:lang w:val="zh-CN"/>
        </w:rPr>
        <w:t>区智慧城市建设事务中心</w:t>
      </w:r>
      <w:r>
        <w:rPr>
          <w:rFonts w:ascii="Arial" w:hAnsi="Arial" w:eastAsia="仿宋" w:cs="Arial"/>
          <w:lang w:val="zh-CN"/>
        </w:rPr>
        <w:t>牌子，负责规划、统筹、协调和推广全区新型智慧城市建设相关工作，打造智慧城市大数据运营中心，构建全覆盖的智慧城市应用服务体系。明确智慧城市建设思路，完善工作机制，组织实施国家和地方数据技术标准，研究制定区数据资源采集、存储、使用、开放、共享等标准规范，制定、归集管理、整理利用全区数据资源目录体系，为望城区</w:t>
      </w:r>
      <w:r>
        <w:rPr>
          <w:rFonts w:hint="eastAsia" w:ascii="Arial" w:hAnsi="Arial" w:eastAsia="仿宋" w:cs="Arial"/>
          <w:lang w:val="zh-CN"/>
        </w:rPr>
        <w:t>大数据发展和应用</w:t>
      </w:r>
      <w:r>
        <w:rPr>
          <w:rFonts w:ascii="Arial" w:hAnsi="Arial" w:eastAsia="仿宋" w:cs="Arial"/>
          <w:lang w:val="zh-CN"/>
        </w:rPr>
        <w:t>建设工作提供机制保障，为经济发展提供了信息服务支撑。</w:t>
      </w:r>
    </w:p>
    <w:bookmarkEnd w:id="3"/>
    <w:p>
      <w:pPr>
        <w:pStyle w:val="3"/>
        <w:ind w:left="602" w:hanging="602"/>
        <w:rPr>
          <w:rFonts w:ascii="Arial" w:hAnsi="Arial" w:eastAsia="仿宋" w:cs="Arial"/>
          <w:sz w:val="24"/>
          <w:szCs w:val="24"/>
        </w:rPr>
      </w:pPr>
      <w:bookmarkStart w:id="8" w:name="_Toc78041418"/>
      <w:r>
        <w:rPr>
          <w:rFonts w:ascii="Arial" w:hAnsi="Arial" w:eastAsia="仿宋" w:cs="Arial"/>
          <w:sz w:val="24"/>
          <w:szCs w:val="24"/>
        </w:rPr>
        <w:t>存在的问题</w:t>
      </w:r>
      <w:bookmarkEnd w:id="8"/>
    </w:p>
    <w:p>
      <w:pPr>
        <w:pStyle w:val="4"/>
        <w:numPr>
          <w:ilvl w:val="0"/>
          <w:numId w:val="13"/>
        </w:numPr>
        <w:ind w:left="0" w:firstLine="0"/>
        <w:rPr>
          <w:rFonts w:ascii="Arial" w:hAnsi="Arial" w:eastAsia="仿宋" w:cs="Arial"/>
          <w:sz w:val="24"/>
          <w:szCs w:val="24"/>
        </w:rPr>
      </w:pPr>
      <w:bookmarkStart w:id="9" w:name="_Toc78041419"/>
      <w:bookmarkStart w:id="10" w:name="_Toc488161899"/>
      <w:bookmarkStart w:id="11" w:name="_Toc486872576"/>
      <w:r>
        <w:rPr>
          <w:rFonts w:ascii="Arial" w:hAnsi="Arial" w:eastAsia="仿宋" w:cs="Arial"/>
          <w:sz w:val="24"/>
          <w:szCs w:val="24"/>
        </w:rPr>
        <w:t>智能设施支撑手段尚待普及</w:t>
      </w:r>
      <w:bookmarkEnd w:id="9"/>
    </w:p>
    <w:p>
      <w:pPr>
        <w:pStyle w:val="66"/>
        <w:rPr>
          <w:rFonts w:eastAsia="仿宋"/>
          <w:szCs w:val="24"/>
        </w:rPr>
      </w:pPr>
      <w:r>
        <w:rPr>
          <w:rFonts w:eastAsia="仿宋"/>
          <w:szCs w:val="24"/>
        </w:rPr>
        <w:t>物联网、云计算、大数据、移动互联网、空间地理信息等新一代信息技术支撑尚待深入和普及。信息化工作仍聚焦在通信网络建设、业务数据应用、辅助办公等较为初级层次上。5G建设处于基础设施建设和推广阶段，基站覆盖规模、覆盖广度和深度均显不足，宽带网络覆盖不均衡，城中村地区、公共场所WLAN发展缓慢，覆盖度低且分散，稳定性、安全性没有保障。各委办局广泛存在“信息化与纸质化并存”，严重影响办事效率；信息化建设的主动性和积极性不足，缺乏利用信息化提升自身业务能力的思考；信息采集基础设施不足，大部分数据仍需要手工采集和上报，数据的有效性、真实性难以保证。</w:t>
      </w:r>
    </w:p>
    <w:p>
      <w:pPr>
        <w:pStyle w:val="4"/>
        <w:numPr>
          <w:ilvl w:val="0"/>
          <w:numId w:val="13"/>
        </w:numPr>
        <w:ind w:left="0" w:firstLine="0"/>
        <w:rPr>
          <w:rFonts w:ascii="Arial" w:hAnsi="Arial" w:eastAsia="仿宋" w:cs="Arial"/>
          <w:sz w:val="24"/>
          <w:szCs w:val="24"/>
        </w:rPr>
      </w:pPr>
      <w:bookmarkStart w:id="12" w:name="_Toc486872579"/>
      <w:bookmarkStart w:id="13" w:name="_Toc488161903"/>
      <w:bookmarkStart w:id="14" w:name="_Toc78041420"/>
      <w:r>
        <w:rPr>
          <w:rFonts w:ascii="Arial" w:hAnsi="Arial" w:eastAsia="仿宋" w:cs="Arial"/>
          <w:sz w:val="24"/>
          <w:szCs w:val="24"/>
        </w:rPr>
        <w:t>数据资源尚未完全</w:t>
      </w:r>
      <w:bookmarkEnd w:id="12"/>
      <w:bookmarkEnd w:id="13"/>
      <w:r>
        <w:rPr>
          <w:rFonts w:ascii="Arial" w:hAnsi="Arial" w:eastAsia="仿宋" w:cs="Arial"/>
          <w:sz w:val="24"/>
          <w:szCs w:val="24"/>
        </w:rPr>
        <w:t>共享开放</w:t>
      </w:r>
      <w:bookmarkEnd w:id="14"/>
    </w:p>
    <w:p>
      <w:pPr>
        <w:pStyle w:val="66"/>
        <w:rPr>
          <w:rFonts w:eastAsia="仿宋_GB2312"/>
          <w:szCs w:val="24"/>
        </w:rPr>
      </w:pPr>
      <w:r>
        <w:rPr>
          <w:rFonts w:eastAsia="仿宋"/>
          <w:szCs w:val="24"/>
        </w:rPr>
        <w:t>区本级数据资源、基础信息资源存在多头管理、协调难度大、缺乏统筹机制等多方面的问题，各条块业务系统尚处于互不相连的树状结构，还没有达到理想的互联互通互融状态，各部门的数据标准也尚不统一，缺乏有效的共享协同机制。各委办局信息化建设发展不均衡、建设模式单一、尚未实现全区统筹。法人基础数据库、地理信息基础数据库、城市部件库及公共视频资源受到条线分割、各自为政的束缚，部门间、行业间数据共享难度大；人口基础数据库通过市级系统导表方式获取，数据更新不及时、不全面、准确度不高；宏观经济库尚未建立。全区“纵强横弱”、“以我为主”、“分散建设”等信息孤岛现象依然存在，数据开放共享的体制机制尚不完备，缺失相关法律依据、开放标准和服务规范。海量信息资源有待深度开发利用，大数据在政府公共服务配置与宏观决策方面的支撑能力亟待提升。数据资源共享仅针对政府内部，公众用户由于缺乏便捷的政府数据获取渠道，数据开放的深度和广度不足且共享机制不健全，因而无法充分而合理的利用数据，尚未形成由政府主导、公司专业化运作数据共享开放新格局。这些问题导致了数字化向智慧化跨越发展存还在一定的屏障。</w:t>
      </w:r>
    </w:p>
    <w:p>
      <w:pPr>
        <w:pStyle w:val="4"/>
        <w:numPr>
          <w:ilvl w:val="0"/>
          <w:numId w:val="13"/>
        </w:numPr>
        <w:ind w:left="0" w:firstLine="0"/>
        <w:rPr>
          <w:rFonts w:ascii="Arial" w:hAnsi="Arial" w:eastAsia="仿宋" w:cs="Arial"/>
          <w:sz w:val="24"/>
          <w:szCs w:val="24"/>
        </w:rPr>
      </w:pPr>
      <w:bookmarkStart w:id="15" w:name="_Toc78041421"/>
      <w:r>
        <w:rPr>
          <w:rFonts w:hint="eastAsia" w:ascii="Arial" w:hAnsi="Arial" w:eastAsia="仿宋" w:cs="Arial"/>
          <w:sz w:val="24"/>
          <w:szCs w:val="24"/>
        </w:rPr>
        <w:t>大数据行业创新能力待提升</w:t>
      </w:r>
      <w:bookmarkEnd w:id="15"/>
    </w:p>
    <w:bookmarkEnd w:id="10"/>
    <w:bookmarkEnd w:id="11"/>
    <w:p>
      <w:pPr>
        <w:pStyle w:val="66"/>
        <w:rPr>
          <w:rFonts w:eastAsia="仿宋"/>
          <w:kern w:val="2"/>
          <w:szCs w:val="24"/>
        </w:rPr>
      </w:pPr>
      <w:r>
        <w:rPr>
          <w:rFonts w:hint="eastAsia" w:eastAsia="仿宋"/>
          <w:b/>
          <w:bCs/>
          <w:kern w:val="2"/>
          <w:szCs w:val="24"/>
        </w:rPr>
        <w:t>公共服务水平亟需优化提升。</w:t>
      </w:r>
      <w:r>
        <w:rPr>
          <w:rFonts w:eastAsia="仿宋"/>
          <w:kern w:val="2"/>
          <w:szCs w:val="24"/>
        </w:rPr>
        <w:t>居民感受、幸福感和获得感还需进一步提升。全区对外</w:t>
      </w:r>
      <w:r>
        <w:rPr>
          <w:rFonts w:eastAsia="仿宋"/>
          <w:szCs w:val="24"/>
        </w:rPr>
        <w:t>服务渠道分散，未建立统一对外服务的渠道入口，服务便捷性有待提升。政务服务未能全面实现并联审批和一窗式服务，市民、企业办事难、办事慢、办事繁的问题仍未有效解决，雷锋政务超市办理渠道单一，以纸质化材料的流转方式为主，网上办理为辅，事项办理渠道不能顺应“互联网+政务服务”的在线化、便捷化、移动化潮流</w:t>
      </w:r>
      <w:r>
        <w:rPr>
          <w:rFonts w:eastAsia="仿宋"/>
          <w:kern w:val="2"/>
          <w:szCs w:val="24"/>
        </w:rPr>
        <w:t>。教育发展不均衡，教育基础数据、优质教学资源、教育信息化及校园安防等公共服务体系建设有待完善；居民健康面临新的问题和挑战，深化医药卫生体制改革步入“深水期”“瓶颈期”，深层次矛盾问题日益凸显；</w:t>
      </w:r>
      <w:r>
        <w:rPr>
          <w:rFonts w:eastAsia="仿宋"/>
          <w:szCs w:val="24"/>
        </w:rPr>
        <w:t>社会保障体系建设仍需进一步加强，劳动就业、企业帮扶联系机制仍需完善，尚未形成就业、社会保障、人事人才、劳动关系等核心业务的人社一体化信息系统；</w:t>
      </w:r>
      <w:r>
        <w:rPr>
          <w:rFonts w:eastAsia="仿宋"/>
          <w:kern w:val="2"/>
          <w:szCs w:val="24"/>
        </w:rPr>
        <w:t>公共出行服务还有待提升，</w:t>
      </w:r>
      <w:r>
        <w:rPr>
          <w:rFonts w:eastAsia="仿宋"/>
          <w:szCs w:val="24"/>
        </w:rPr>
        <w:t>公交换乘时间长、乘坐舒适度差、机动车停车难等问题仍待解决，道路交通未形成统一的交通智能调度，交通信息服务尚未充分发挥城市治堵作用。</w:t>
      </w:r>
    </w:p>
    <w:p>
      <w:pPr>
        <w:pStyle w:val="66"/>
        <w:rPr>
          <w:rFonts w:eastAsia="仿宋"/>
          <w:szCs w:val="24"/>
        </w:rPr>
      </w:pPr>
      <w:bookmarkStart w:id="16" w:name="_Toc488161900"/>
      <w:bookmarkStart w:id="17" w:name="_Toc486872577"/>
      <w:r>
        <w:rPr>
          <w:rFonts w:eastAsia="仿宋"/>
          <w:b/>
          <w:bCs/>
          <w:kern w:val="2"/>
          <w:szCs w:val="24"/>
        </w:rPr>
        <w:t>城市治理能力有待持续加强</w:t>
      </w:r>
      <w:bookmarkEnd w:id="16"/>
      <w:bookmarkEnd w:id="17"/>
      <w:r>
        <w:rPr>
          <w:rFonts w:hint="eastAsia" w:eastAsia="仿宋"/>
          <w:b/>
          <w:bCs/>
          <w:kern w:val="2"/>
          <w:szCs w:val="24"/>
        </w:rPr>
        <w:t>。</w:t>
      </w:r>
      <w:r>
        <w:rPr>
          <w:rFonts w:eastAsia="仿宋"/>
          <w:szCs w:val="24"/>
        </w:rPr>
        <w:t>新型城镇化建设步伐有待进一步加快，城市化建设遗留问题凸显，交通、城市面貌等问题严重制约望城区快速发展；城市数字网格化管理有待提升，尚未利用智能化实现群众共同参与城市治理及监督；地下管网、城市部件等基础设施缺乏智能化感知和监控管理；政府公共安全视频资源与社会公共视频资源重复建设现象较多，整合共享力度小，联防联控有待提升；交通信号灯和电子警务设备的覆盖率和智能化水平不足，部分依赖于人工巡防；食品药品的追溯管控未实现，居民生活安全得不到有效保障；个人、法人信用信息整合力度不够，未充分利用大数据完善市场监管机制；疫情期间“人海战术”“各自为战”“表格抗疫”等现象大量存在，疫情调度和管控工作不够敏捷高效。</w:t>
      </w:r>
    </w:p>
    <w:p>
      <w:pPr>
        <w:pStyle w:val="66"/>
        <w:rPr>
          <w:rFonts w:eastAsia="仿宋"/>
          <w:szCs w:val="24"/>
        </w:rPr>
      </w:pPr>
      <w:bookmarkStart w:id="18" w:name="_Toc488161902"/>
      <w:bookmarkStart w:id="19" w:name="_Toc488161901"/>
      <w:r>
        <w:rPr>
          <w:rFonts w:eastAsia="仿宋"/>
          <w:b/>
          <w:bCs/>
          <w:kern w:val="2"/>
          <w:szCs w:val="24"/>
        </w:rPr>
        <w:t>信息融合产业转型尚显不足</w:t>
      </w:r>
      <w:bookmarkEnd w:id="18"/>
      <w:r>
        <w:rPr>
          <w:rFonts w:hint="eastAsia" w:eastAsia="仿宋"/>
          <w:b/>
          <w:bCs/>
          <w:kern w:val="2"/>
          <w:szCs w:val="24"/>
        </w:rPr>
        <w:t>。</w:t>
      </w:r>
      <w:r>
        <w:rPr>
          <w:rFonts w:eastAsia="仿宋"/>
          <w:szCs w:val="24"/>
        </w:rPr>
        <w:t>信息化支撑营商环境能力尚未凸显，</w:t>
      </w:r>
      <w:r>
        <w:rPr>
          <w:rFonts w:eastAsia="仿宋"/>
          <w:szCs w:val="24"/>
          <w:lang w:val="zh-CN"/>
        </w:rPr>
        <w:t>公共信息资源对企业开放程度低，基于数据开放的经济生态尚未形成。</w:t>
      </w:r>
      <w:r>
        <w:rPr>
          <w:rFonts w:eastAsia="仿宋"/>
          <w:szCs w:val="24"/>
        </w:rPr>
        <w:t>望城区在信息化工作方面投入的资金、人才、政策不够，产业信息化水平总体不高，对产业转型升级的支撑能力亟待提升。信息技术仍以垂直的行业应用为主，企业信息化应用水平仍处于初级阶段，企业经营管理方面的决策智能化程度较低。农业信息化水平仍然较低，农业技术推广方式简单，现代农业发展基础仍较薄弱，提质增效面临较大困难；电子商务产业体系建设明显滞后，部分乡镇企业仍沿用传统的线下销售模式，望城区域特色产品缺乏食品溯源、物流配送、线上销售一体化体系，品牌推广力度缺乏；文化生态旅游景区智能运营管理水平有待提升，缺乏资源实时调度、服务品牌宣传推广、信息及时发布、服务在线投诉等信息化体系。</w:t>
      </w:r>
    </w:p>
    <w:p>
      <w:pPr>
        <w:pStyle w:val="66"/>
        <w:rPr>
          <w:rFonts w:eastAsia="仿宋"/>
          <w:szCs w:val="24"/>
        </w:rPr>
      </w:pPr>
      <w:r>
        <w:rPr>
          <w:rFonts w:eastAsia="仿宋"/>
          <w:b/>
          <w:bCs/>
          <w:kern w:val="2"/>
          <w:szCs w:val="24"/>
        </w:rPr>
        <w:t>环境保护问题制约生态发展</w:t>
      </w:r>
      <w:bookmarkEnd w:id="19"/>
      <w:r>
        <w:rPr>
          <w:rFonts w:hint="eastAsia" w:eastAsia="仿宋"/>
          <w:b/>
          <w:bCs/>
          <w:kern w:val="2"/>
          <w:szCs w:val="24"/>
        </w:rPr>
        <w:t>。</w:t>
      </w:r>
      <w:r>
        <w:rPr>
          <w:rFonts w:eastAsia="仿宋"/>
          <w:szCs w:val="24"/>
        </w:rPr>
        <w:t>蓝天保卫战形势依然严峻，环境监测覆盖面不广，环境信息资源缺乏整合，联防联控力度不够。环境监测点位较少，尚存在大量监测盲点，监测数据有限，时效性较差，无法形成大数据分析和应用体系，孤立的数据对环境污染溯源、预测、考核、防治都无法形成有效管理；缺乏信息化的辅助手段，人工制表，周报、日报、季报、年报等缺乏数据服务和信息支撑，无法形成有力推动联防联控工作；缺乏信息化公众交流窗口，无法及时有效疏导老百姓关心的环境问题。区域内涝频发，缺乏从“源、供、排、污、灾”全过程量化监控预警与跨部门协同治理手段；监督、预警、执法、受理等业务尚未实现跨部门的统筹建设和应急联动，呈现“各自为政、互不干涉”的问题局面。环境治理共抓、共建、共享机制有待完善。城乡“数字鸿沟”尚待改善，智能化、数字化在文明宜居环境领域应用水平有待进一步提升。</w:t>
      </w:r>
    </w:p>
    <w:p>
      <w:pPr>
        <w:pStyle w:val="4"/>
        <w:numPr>
          <w:ilvl w:val="0"/>
          <w:numId w:val="13"/>
        </w:numPr>
        <w:ind w:left="0" w:firstLine="0"/>
        <w:rPr>
          <w:rFonts w:ascii="Arial" w:hAnsi="Arial" w:eastAsia="仿宋" w:cs="Arial"/>
          <w:sz w:val="24"/>
          <w:szCs w:val="24"/>
        </w:rPr>
      </w:pPr>
      <w:bookmarkStart w:id="20" w:name="_Toc78041422"/>
      <w:r>
        <w:rPr>
          <w:rFonts w:ascii="Arial" w:hAnsi="Arial" w:eastAsia="仿宋" w:cs="Arial"/>
          <w:sz w:val="24"/>
          <w:szCs w:val="24"/>
        </w:rPr>
        <w:t>安全自主可控意识有待强化</w:t>
      </w:r>
      <w:bookmarkEnd w:id="20"/>
    </w:p>
    <w:p>
      <w:pPr>
        <w:pStyle w:val="66"/>
        <w:rPr>
          <w:rFonts w:eastAsia="仿宋"/>
          <w:szCs w:val="24"/>
        </w:rPr>
      </w:pPr>
      <w:r>
        <w:rPr>
          <w:rFonts w:eastAsia="仿宋"/>
          <w:szCs w:val="24"/>
        </w:rPr>
        <w:t>现有信息系统安全防护措施有限，网络安全保障没有形成体系，尚未建设同城/异地的灾备中心，无业务及数据的灾备能力。工作人员信息安全意识有待提高，</w:t>
      </w:r>
      <w:r>
        <w:rPr>
          <w:rFonts w:eastAsia="仿宋"/>
          <w:color w:val="000000"/>
          <w:szCs w:val="24"/>
        </w:rPr>
        <w:t>安全</w:t>
      </w:r>
      <w:r>
        <w:rPr>
          <w:rFonts w:eastAsia="仿宋"/>
          <w:szCs w:val="24"/>
        </w:rPr>
        <w:t>技术及管理专尖人才缺乏，应急处理突发事件能力不够强，信息安全规章制度缺乏；部分委办局网络安全意识薄弱，安全保护手段单一，大部分信息系统未进行安全等级评测与定级，网络安全性低，部分业务系统部署在互联网或虚拟专网（VPN）上，存在安全隐患风险。</w:t>
      </w:r>
    </w:p>
    <w:p>
      <w:pPr>
        <w:pStyle w:val="4"/>
        <w:numPr>
          <w:ilvl w:val="0"/>
          <w:numId w:val="13"/>
        </w:numPr>
        <w:ind w:left="0" w:firstLine="0"/>
        <w:rPr>
          <w:rFonts w:ascii="Arial" w:hAnsi="Arial" w:eastAsia="仿宋" w:cs="Arial"/>
          <w:sz w:val="24"/>
          <w:szCs w:val="24"/>
        </w:rPr>
      </w:pPr>
      <w:bookmarkStart w:id="21" w:name="_Toc78041423"/>
      <w:bookmarkStart w:id="22" w:name="_Toc488161905"/>
      <w:r>
        <w:rPr>
          <w:rFonts w:hint="eastAsia" w:ascii="Arial" w:hAnsi="Arial" w:eastAsia="仿宋" w:cs="Arial"/>
          <w:sz w:val="24"/>
          <w:szCs w:val="24"/>
        </w:rPr>
        <w:t>大数据发展</w:t>
      </w:r>
      <w:r>
        <w:rPr>
          <w:rFonts w:ascii="Arial" w:hAnsi="Arial" w:eastAsia="仿宋" w:cs="Arial"/>
          <w:sz w:val="24"/>
          <w:szCs w:val="24"/>
        </w:rPr>
        <w:t>体制</w:t>
      </w:r>
      <w:r>
        <w:rPr>
          <w:rFonts w:hint="eastAsia" w:ascii="Arial" w:hAnsi="Arial" w:eastAsia="仿宋" w:cs="Arial"/>
          <w:sz w:val="24"/>
          <w:szCs w:val="24"/>
        </w:rPr>
        <w:t>机制</w:t>
      </w:r>
      <w:r>
        <w:rPr>
          <w:rFonts w:ascii="Arial" w:hAnsi="Arial" w:eastAsia="仿宋" w:cs="Arial"/>
          <w:sz w:val="24"/>
          <w:szCs w:val="24"/>
        </w:rPr>
        <w:t>需完善</w:t>
      </w:r>
      <w:bookmarkEnd w:id="21"/>
      <w:bookmarkEnd w:id="22"/>
    </w:p>
    <w:p>
      <w:pPr>
        <w:pStyle w:val="66"/>
        <w:rPr>
          <w:rFonts w:eastAsia="仿宋"/>
          <w:szCs w:val="24"/>
        </w:rPr>
      </w:pPr>
      <w:r>
        <w:rPr>
          <w:rFonts w:eastAsia="仿宋"/>
          <w:szCs w:val="24"/>
        </w:rPr>
        <w:t>大数据发展体制机制还需要完善。当前围绕</w:t>
      </w:r>
      <w:r>
        <w:rPr>
          <w:rFonts w:hint="eastAsia" w:eastAsia="仿宋"/>
          <w:szCs w:val="24"/>
        </w:rPr>
        <w:t>大数据</w:t>
      </w:r>
      <w:r>
        <w:rPr>
          <w:rFonts w:eastAsia="仿宋"/>
          <w:szCs w:val="24"/>
        </w:rPr>
        <w:t>建设快速推进，在行政体制和行政管理方式上做了一些调整和推进，新模式、新业态、新技术的培育和发展还需要信息化建设的进一步完善管理办法、技术支撑及标准规范；信息化监管能力还不够丰富，工作绩效考核评价、信息化推进机制和监督约束机制有待完善，监管手段和事中事后监管有待加强；电信监管体制改革有待改善，信息化法制建设需要进一步加快。</w:t>
      </w:r>
    </w:p>
    <w:p>
      <w:pPr>
        <w:pStyle w:val="2"/>
        <w:ind w:left="0" w:firstLine="0"/>
        <w:rPr>
          <w:rFonts w:ascii="Arial" w:hAnsi="Arial" w:eastAsia="仿宋" w:cs="Arial"/>
          <w:sz w:val="24"/>
          <w:szCs w:val="24"/>
        </w:rPr>
      </w:pPr>
      <w:bookmarkStart w:id="23" w:name="_Toc78041424"/>
      <w:r>
        <w:rPr>
          <w:rFonts w:ascii="Arial" w:hAnsi="Arial" w:eastAsia="仿宋" w:cs="Arial"/>
          <w:sz w:val="24"/>
          <w:szCs w:val="24"/>
        </w:rPr>
        <w:t>总体思路</w:t>
      </w:r>
      <w:bookmarkEnd w:id="23"/>
    </w:p>
    <w:p>
      <w:pPr>
        <w:pStyle w:val="3"/>
        <w:numPr>
          <w:ilvl w:val="0"/>
          <w:numId w:val="14"/>
        </w:numPr>
        <w:rPr>
          <w:rFonts w:ascii="Arial" w:hAnsi="Arial" w:eastAsia="仿宋" w:cs="Arial"/>
          <w:sz w:val="24"/>
          <w:szCs w:val="24"/>
        </w:rPr>
      </w:pPr>
      <w:bookmarkStart w:id="24" w:name="_Toc78041425"/>
      <w:r>
        <w:rPr>
          <w:rFonts w:ascii="Arial" w:hAnsi="Arial" w:eastAsia="仿宋" w:cs="Arial"/>
          <w:sz w:val="24"/>
          <w:szCs w:val="24"/>
        </w:rPr>
        <w:t>指导思想</w:t>
      </w:r>
      <w:bookmarkEnd w:id="24"/>
    </w:p>
    <w:p>
      <w:pPr>
        <w:spacing w:line="360" w:lineRule="auto"/>
        <w:ind w:firstLine="480" w:firstLineChars="200"/>
        <w:jc w:val="both"/>
        <w:rPr>
          <w:rFonts w:ascii="Arial" w:hAnsi="Arial" w:eastAsia="仿宋" w:cs="Arial"/>
        </w:rPr>
      </w:pPr>
      <w:bookmarkStart w:id="25" w:name="_Hlk66872026"/>
      <w:r>
        <w:rPr>
          <w:rFonts w:ascii="Arial" w:hAnsi="Arial" w:eastAsia="仿宋" w:cs="Arial"/>
        </w:rPr>
        <w:t>以习近平新时代中国特色社会主义思想和党的十九大精神为指导，深入学习贯彻习近平总书记考察湖南时为湖南发展提出的“三高四新”要求，充分认识“当前与长远、全局与一域、目标与路径、机遇与责任的有机统一”，践行“创新引领、开放崛起，生态优先、绿色发展，区域协调、共建共享”理念，紧紧抓住国家实施网络强国、数字中国、智慧社会等战略的新机遇，以数据为抓手，</w:t>
      </w:r>
      <w:r>
        <w:rPr>
          <w:rFonts w:hint="eastAsia" w:ascii="Arial" w:hAnsi="Arial" w:eastAsia="仿宋" w:cs="Arial"/>
        </w:rPr>
        <w:t>深化利用大数据、运用数字技术在全区各行业领域的应用</w:t>
      </w:r>
      <w:r>
        <w:rPr>
          <w:rFonts w:ascii="Arial" w:hAnsi="Arial" w:eastAsia="仿宋" w:cs="Arial"/>
        </w:rPr>
        <w:t>。部署“四精五有”城市建设，以清晰的目标引领城市发展，建设生态、智慧、活力的宜居城区；以科学的理念贯穿城市工作，打造共建共治共享的城市治理新格局；以务实的举措狠抓关键环节，用全局视野、长远眼光规划望城城市发展。</w:t>
      </w:r>
      <w:bookmarkEnd w:id="25"/>
    </w:p>
    <w:p>
      <w:pPr>
        <w:pStyle w:val="3"/>
        <w:ind w:left="602" w:hanging="602"/>
        <w:rPr>
          <w:rFonts w:ascii="Arial" w:hAnsi="Arial" w:eastAsia="仿宋" w:cs="Arial"/>
          <w:sz w:val="24"/>
          <w:szCs w:val="24"/>
        </w:rPr>
      </w:pPr>
      <w:bookmarkStart w:id="26" w:name="_Toc78041426"/>
      <w:r>
        <w:rPr>
          <w:rFonts w:ascii="Arial" w:hAnsi="Arial" w:eastAsia="仿宋" w:cs="Arial"/>
          <w:sz w:val="24"/>
          <w:szCs w:val="24"/>
        </w:rPr>
        <w:t>基本原则</w:t>
      </w:r>
      <w:bookmarkEnd w:id="26"/>
    </w:p>
    <w:p>
      <w:pPr>
        <w:spacing w:line="360" w:lineRule="auto"/>
        <w:ind w:firstLine="482" w:firstLineChars="200"/>
        <w:jc w:val="both"/>
        <w:rPr>
          <w:rFonts w:ascii="Arial" w:hAnsi="Arial" w:eastAsia="仿宋" w:cs="Arial"/>
        </w:rPr>
      </w:pPr>
      <w:r>
        <w:rPr>
          <w:rFonts w:ascii="Arial" w:hAnsi="Arial" w:eastAsia="仿宋" w:cs="Arial"/>
          <w:b/>
        </w:rPr>
        <w:t>（1）以人为本，普惠民生。</w:t>
      </w:r>
      <w:r>
        <w:rPr>
          <w:rFonts w:ascii="Arial" w:hAnsi="Arial" w:eastAsia="仿宋" w:cs="Arial"/>
        </w:rPr>
        <w:t>坚持以人</w:t>
      </w:r>
      <w:r>
        <w:rPr>
          <w:rFonts w:hint="eastAsia" w:ascii="Arial" w:hAnsi="Arial" w:eastAsia="仿宋" w:cs="Arial"/>
          <w:lang w:eastAsia="zh-CN"/>
        </w:rPr>
        <w:t>为</w:t>
      </w:r>
      <w:r>
        <w:rPr>
          <w:rFonts w:ascii="Arial" w:hAnsi="Arial" w:eastAsia="仿宋" w:cs="Arial"/>
        </w:rPr>
        <w:t>本，以人民为中心，</w:t>
      </w:r>
      <w:r>
        <w:rPr>
          <w:rFonts w:ascii="Arial" w:hAnsi="Arial" w:eastAsia="仿宋" w:cs="Arial"/>
          <w:color w:val="000000"/>
        </w:rPr>
        <w:t>切实保障改善民生和维护社会稳定，</w:t>
      </w:r>
      <w:r>
        <w:rPr>
          <w:rFonts w:ascii="Arial" w:hAnsi="Arial" w:eastAsia="仿宋" w:cs="Arial"/>
        </w:rPr>
        <w:t>突出雷锋精神为民、便民、惠民的理念，</w:t>
      </w:r>
      <w:r>
        <w:rPr>
          <w:rFonts w:ascii="Arial" w:hAnsi="Arial" w:eastAsia="仿宋" w:cs="Arial"/>
          <w:color w:val="000000"/>
        </w:rPr>
        <w:t>不断增强人民群众获得感幸福感安全感。</w:t>
      </w:r>
      <w:r>
        <w:rPr>
          <w:rFonts w:ascii="Arial" w:hAnsi="Arial" w:eastAsia="仿宋" w:cs="Arial"/>
        </w:rPr>
        <w:t>加快政府职能转变，明确服务职能，打造服务型政府，推动创新城市管理和公共服务供给方式，鼓励社会资源深入发掘公共服务数据，创新民生应用，优化公共资源配置，提升公共服务水平，让</w:t>
      </w:r>
      <w:r>
        <w:rPr>
          <w:rFonts w:hint="eastAsia" w:ascii="Arial" w:hAnsi="Arial" w:eastAsia="仿宋" w:cs="Arial"/>
        </w:rPr>
        <w:t>大数据</w:t>
      </w:r>
      <w:r>
        <w:rPr>
          <w:rFonts w:ascii="Arial" w:hAnsi="Arial" w:eastAsia="仿宋" w:cs="Arial"/>
        </w:rPr>
        <w:t>建设成果普惠民生。</w:t>
      </w:r>
    </w:p>
    <w:p>
      <w:pPr>
        <w:spacing w:line="360" w:lineRule="auto"/>
        <w:ind w:firstLine="482" w:firstLineChars="200"/>
        <w:jc w:val="both"/>
        <w:rPr>
          <w:rFonts w:ascii="Arial" w:hAnsi="Arial" w:eastAsia="仿宋" w:cs="Arial"/>
        </w:rPr>
      </w:pPr>
      <w:r>
        <w:rPr>
          <w:rFonts w:ascii="Arial" w:hAnsi="Arial" w:eastAsia="仿宋" w:cs="Arial"/>
          <w:b/>
        </w:rPr>
        <w:t>（2）统筹规划，集约共享。</w:t>
      </w:r>
      <w:r>
        <w:rPr>
          <w:rFonts w:ascii="Arial" w:hAnsi="Arial" w:eastAsia="仿宋" w:cs="Arial"/>
        </w:rPr>
        <w:t>坚持统筹规划，在一个智慧望城鲲鹏云平台、一个智慧城市运营中心IOC的基础上，实现一网、一屏综合管理全区所有社会治理类事件，实现应用系统和云支撑系统精准管理开发。在望城区新型智慧城市管理建设机制的基础上，建立跨层级、跨地域、跨系统、跨部门、跨业务的信息共享协同机制，突破区划、部门、行业界限和体制性障碍。充分整合信息基础设施和城市公共信息资源，消除部门、行业间信息孤岛，推动跨部门业务协同和信息资源共享开放。</w:t>
      </w:r>
    </w:p>
    <w:p>
      <w:pPr>
        <w:spacing w:line="360" w:lineRule="auto"/>
        <w:ind w:firstLine="482" w:firstLineChars="200"/>
        <w:jc w:val="both"/>
        <w:rPr>
          <w:rFonts w:ascii="Arial" w:hAnsi="Arial" w:eastAsia="仿宋" w:cs="Arial"/>
        </w:rPr>
      </w:pPr>
      <w:r>
        <w:rPr>
          <w:rFonts w:ascii="Arial" w:hAnsi="Arial" w:eastAsia="仿宋" w:cs="Arial"/>
          <w:b/>
        </w:rPr>
        <w:t>（3）迭代演进，融合创新。</w:t>
      </w:r>
      <w:r>
        <w:rPr>
          <w:rFonts w:ascii="Arial" w:hAnsi="Arial" w:eastAsia="仿宋" w:cs="Arial"/>
        </w:rPr>
        <w:t>以新建+改造双重模式开展业务应用建设，促进新老应用的融合创新，以“增量”带动“存量”。以创新发展为驱动，推进信息化建设与高质量发展、乡村振兴、生态文明建设、改善民生维护社会稳定、传承红色基因深度融合。加强政产学研用良性互动，探索大数据与传统产业协同发展的新业态、新模式，促进湖南成为</w:t>
      </w:r>
      <w:r>
        <w:rPr>
          <w:rFonts w:ascii="Arial" w:hAnsi="Arial" w:eastAsia="仿宋" w:cs="Arial"/>
          <w:color w:val="000000"/>
        </w:rPr>
        <w:t>先进制造业示范引领区、科技创新先进省份、内陆地区改革开放的示范和前沿。</w:t>
      </w:r>
    </w:p>
    <w:p>
      <w:pPr>
        <w:spacing w:line="360" w:lineRule="auto"/>
        <w:ind w:firstLine="482" w:firstLineChars="200"/>
        <w:jc w:val="both"/>
        <w:rPr>
          <w:rFonts w:ascii="Arial" w:hAnsi="Arial" w:eastAsia="仿宋" w:cs="Arial"/>
        </w:rPr>
      </w:pPr>
      <w:r>
        <w:rPr>
          <w:rFonts w:ascii="Arial" w:hAnsi="Arial" w:eastAsia="仿宋" w:cs="Arial"/>
          <w:b/>
        </w:rPr>
        <w:t>（4）政府引导，多元协同。</w:t>
      </w:r>
      <w:r>
        <w:rPr>
          <w:rFonts w:ascii="Arial" w:hAnsi="Arial" w:eastAsia="仿宋" w:cs="Arial"/>
        </w:rPr>
        <w:t>鼓励建设和运营模式创新，构建政府、社会资源良性互动、合作共建的</w:t>
      </w:r>
      <w:r>
        <w:rPr>
          <w:rFonts w:hint="eastAsia" w:ascii="Arial" w:hAnsi="Arial" w:eastAsia="仿宋" w:cs="Arial"/>
        </w:rPr>
        <w:t>大数据发展和应用</w:t>
      </w:r>
      <w:r>
        <w:rPr>
          <w:rFonts w:ascii="Arial" w:hAnsi="Arial" w:eastAsia="仿宋" w:cs="Arial"/>
        </w:rPr>
        <w:t>建设格局。加强政府在顶层设计、标准制定、政策保障等方面的引导作用，加大政策扶持和财政投入力度，培育信息化建设主体，完善互利共赢、安全高效的市场运作体系，激发市场活力，鼓励社会资金参与望城区</w:t>
      </w:r>
      <w:r>
        <w:rPr>
          <w:rFonts w:hint="eastAsia" w:ascii="Arial" w:hAnsi="Arial" w:eastAsia="仿宋" w:cs="Arial"/>
        </w:rPr>
        <w:t>大数据发展和应用</w:t>
      </w:r>
      <w:r>
        <w:rPr>
          <w:rFonts w:ascii="Arial" w:hAnsi="Arial" w:eastAsia="仿宋" w:cs="Arial"/>
        </w:rPr>
        <w:t>建设投资和运营。</w:t>
      </w:r>
    </w:p>
    <w:p>
      <w:pPr>
        <w:spacing w:line="360" w:lineRule="auto"/>
        <w:ind w:firstLine="482" w:firstLineChars="200"/>
        <w:jc w:val="both"/>
        <w:rPr>
          <w:rFonts w:ascii="Arial" w:hAnsi="Arial" w:eastAsia="仿宋" w:cs="Arial"/>
        </w:rPr>
      </w:pPr>
      <w:r>
        <w:rPr>
          <w:rFonts w:ascii="Arial" w:hAnsi="Arial" w:eastAsia="仿宋" w:cs="Arial"/>
          <w:b/>
        </w:rPr>
        <w:t>（5）自主可控，安全可信。</w:t>
      </w:r>
      <w:r>
        <w:rPr>
          <w:rFonts w:ascii="Arial" w:hAnsi="Arial" w:eastAsia="仿宋" w:cs="Arial"/>
        </w:rPr>
        <w:t>以安全可信为核心，推进信息创新技术的使用，构建安全可控的信息技术体系</w:t>
      </w:r>
      <w:r>
        <w:rPr>
          <w:rFonts w:hint="eastAsia" w:ascii="Arial" w:hAnsi="Arial" w:eastAsia="仿宋" w:cs="Arial"/>
        </w:rPr>
        <w:t>，重点提升政务信息化安全可控水平</w:t>
      </w:r>
      <w:r>
        <w:rPr>
          <w:rFonts w:ascii="Arial" w:hAnsi="Arial" w:eastAsia="仿宋" w:cs="Arial"/>
        </w:rPr>
        <w:t>。落实国家信息安全等级保护制度，强化网络和信息安全管理，健全网络和信息安全标准体系，加大依法管理网络和保护个人信息的力度，加强要害信息系统和信息基础设施安全保障，实现以国产芯片带动国产操作系统、服务器、大数据平台等一系列平台和应用的跨越式发展。</w:t>
      </w:r>
    </w:p>
    <w:p>
      <w:pPr>
        <w:pStyle w:val="3"/>
        <w:ind w:left="602" w:hanging="602"/>
        <w:rPr>
          <w:rFonts w:ascii="Arial" w:hAnsi="Arial" w:eastAsia="仿宋" w:cs="Arial"/>
          <w:sz w:val="24"/>
          <w:szCs w:val="24"/>
        </w:rPr>
      </w:pPr>
      <w:bookmarkStart w:id="27" w:name="_Toc78041427"/>
      <w:r>
        <w:rPr>
          <w:rFonts w:ascii="Arial" w:hAnsi="Arial" w:eastAsia="仿宋" w:cs="Arial"/>
          <w:sz w:val="24"/>
          <w:szCs w:val="24"/>
        </w:rPr>
        <w:t>总体目标</w:t>
      </w:r>
      <w:bookmarkEnd w:id="27"/>
    </w:p>
    <w:p>
      <w:pPr>
        <w:spacing w:line="360" w:lineRule="auto"/>
        <w:ind w:firstLine="480" w:firstLineChars="200"/>
        <w:jc w:val="both"/>
        <w:rPr>
          <w:rFonts w:ascii="Arial" w:hAnsi="Arial" w:eastAsia="仿宋" w:cs="Arial"/>
        </w:rPr>
      </w:pPr>
      <w:bookmarkStart w:id="28" w:name="_Hlk66872468"/>
      <w:r>
        <w:rPr>
          <w:rFonts w:hint="eastAsia" w:ascii="Arial" w:hAnsi="Arial" w:eastAsia="仿宋" w:cs="Arial"/>
        </w:rPr>
        <w:t>按照湖南省委、省政府实施“三高四新”的战略部署、长沙市大数据发展的决策部署，以及我区新型智慧城市“把握新型、注重融合、找准应用、紧盯统筹、守住安全、扭住运营”总体建设要求，强化省会城区担当，深化数字技术应用，夯实以鲲鹏云平台和信息网络为核心的数字化技术基座，坚持推进数据共享和开放，激活数据要素潜能，促进大数据在民生服务、城市治理、产业经济、生态宜居等各领域的创新应用，打造一批务实、管用的大数据应用场景，培育大数据产业生态发展，助力经济社会高质量发展，为实现我区由县城管理向城区管理跨越、加快建成美丽强盛幸福的现代化新望城贡献智慧力量。</w:t>
      </w:r>
      <w:r>
        <w:rPr>
          <w:rFonts w:ascii="Arial" w:hAnsi="Arial" w:eastAsia="仿宋" w:cs="Arial"/>
        </w:rPr>
        <w:t xml:space="preserve"> </w:t>
      </w:r>
    </w:p>
    <w:p>
      <w:pPr>
        <w:spacing w:line="360" w:lineRule="auto"/>
        <w:ind w:firstLine="480" w:firstLineChars="200"/>
        <w:jc w:val="both"/>
        <w:rPr>
          <w:rFonts w:ascii="Arial" w:hAnsi="Arial" w:eastAsia="仿宋" w:cs="Arial"/>
        </w:rPr>
      </w:pPr>
      <w:r>
        <w:rPr>
          <w:rFonts w:hint="eastAsia" w:ascii="Arial" w:hAnsi="Arial" w:eastAsia="仿宋" w:cs="Arial"/>
        </w:rPr>
        <w:t>到</w:t>
      </w:r>
      <w:r>
        <w:rPr>
          <w:rFonts w:ascii="Arial" w:hAnsi="Arial" w:eastAsia="仿宋" w:cs="Arial"/>
        </w:rPr>
        <w:t>2025年，望城区在民生服务、城市治理、产业经济、生态宜居领域的大数据应用取得重点突破，数字化技术基座运行智能可信，大数据“聚通用管”发展水平大幅跃升，实现民生服务全民能享、城市治理高效联动、产业升级创新发展、宜居环境低碳绿色，大数据产业生态有序发展，成为全省一流、全国前列的大数据应用示范区。</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基础设施“一云供给”</w:t>
      </w:r>
      <w:r>
        <w:rPr>
          <w:rFonts w:ascii="Arial" w:hAnsi="Arial" w:eastAsia="仿宋" w:cs="Arial"/>
        </w:rPr>
        <w:t>。</w:t>
      </w:r>
      <w:r>
        <w:rPr>
          <w:rFonts w:ascii="Arial" w:hAnsi="Arial" w:eastAsia="仿宋" w:cs="Arial"/>
          <w:color w:val="000000"/>
        </w:rPr>
        <w:t>构建以“宽带、无线、泛在、集成、融合”为特征的信息网络，</w:t>
      </w:r>
      <w:r>
        <w:rPr>
          <w:rFonts w:ascii="Arial" w:hAnsi="Arial" w:eastAsia="仿宋" w:cs="Arial"/>
        </w:rPr>
        <w:t>基于智慧望城鲲鹏云平台建成高速、智能、泛在、安全的城市基础设施体系，</w:t>
      </w:r>
      <w:r>
        <w:rPr>
          <w:rFonts w:ascii="Arial" w:hAnsi="Arial" w:eastAsia="仿宋" w:cs="Arial"/>
          <w:color w:val="000000"/>
        </w:rPr>
        <w:t>构筑主动防御的网络空间安全保障，</w:t>
      </w:r>
      <w:r>
        <w:rPr>
          <w:rFonts w:ascii="Arial" w:hAnsi="Arial" w:eastAsia="仿宋" w:cs="Arial"/>
        </w:rPr>
        <w:t>为各类</w:t>
      </w:r>
      <w:r>
        <w:rPr>
          <w:rFonts w:hint="eastAsia" w:ascii="Arial" w:hAnsi="Arial" w:eastAsia="仿宋" w:cs="Arial"/>
        </w:rPr>
        <w:t>大数据</w:t>
      </w:r>
      <w:r>
        <w:rPr>
          <w:rFonts w:ascii="Arial" w:hAnsi="Arial" w:eastAsia="仿宋" w:cs="Arial"/>
        </w:rPr>
        <w:t>应用场景统一提供计算、存储、网络、安全等基础服务，非涉密系统上云率达到90%以上。计算存储体系完善有效，为业务应用、数据分析、资源调度提供完备的基础资源和服务支撑。</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城市运行“一网统管”</w:t>
      </w:r>
      <w:r>
        <w:rPr>
          <w:rFonts w:ascii="Arial" w:hAnsi="Arial" w:eastAsia="仿宋" w:cs="Arial"/>
        </w:rPr>
        <w:t>。加强条块业务系统的深度融合，形成横向到边、纵向到底、互联互通的矩阵结构，从城市运行和应急处置向公共服务、公共管理、公共安全三大领域拓展和延伸。统一全网管理模式、数据格式、系统标准，完成硬件设施共建共用和应用系统互联互通，实现统一认证、多元链接、多端进入，充分发挥数据赋能、信息调度、趋势研判等作用，组织、指导、协调、赋能各相关政府职能部门开展工作。所有应用场景一网运行，服务入口统一至</w:t>
      </w:r>
      <w:r>
        <w:rPr>
          <w:rFonts w:hint="eastAsia" w:ascii="Arial" w:hAnsi="Arial" w:eastAsia="仿宋" w:cs="Arial"/>
        </w:rPr>
        <w:t>望事通</w:t>
      </w:r>
      <w:r>
        <w:rPr>
          <w:rFonts w:ascii="Arial" w:hAnsi="Arial" w:eastAsia="仿宋" w:cs="Arial"/>
        </w:rPr>
        <w:t>APP，为公众提供便捷、快速的服务</w:t>
      </w:r>
      <w:r>
        <w:rPr>
          <w:rFonts w:hint="eastAsia" w:ascii="Arial" w:hAnsi="Arial" w:eastAsia="仿宋" w:cs="Arial"/>
        </w:rPr>
        <w:t>。</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统筹调度“一屏揽尽”</w:t>
      </w:r>
      <w:r>
        <w:rPr>
          <w:rFonts w:ascii="Arial" w:hAnsi="Arial" w:eastAsia="仿宋" w:cs="Arial"/>
        </w:rPr>
        <w:t>。智慧城市运营中心（IOC）充分发挥智慧大脑中枢作用，构建城市运行智能监测体系、管理运营体系，通过预警预报、自动控制、大数据决策等形式，映射与服务实体城市管理的“综合性”需求，充分挖掘和智能分析各领域运行态势，完备应急指挥、态势感知、决策分析、协同调度等功能，有效支撑城市资源管理和优化利用，实现城市更精细化的管理、经济更精准化转型、民生更便捷化服务、城市更智慧化的调度。</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立体感知“全景可视”</w:t>
      </w:r>
      <w:r>
        <w:rPr>
          <w:rFonts w:ascii="Arial" w:hAnsi="Arial" w:eastAsia="仿宋" w:cs="Arial"/>
        </w:rPr>
        <w:t>。分步推进城市部件电子化、智能化，拓展高清探头覆盖范围，完善全域感知体系，初步建成物联、数联、智联三位一体新型物联网，建成集“城市交通、基础设施、公共安全、生态环境”于一体的物联感知体系，城市生命线物联网监测预警覆盖率达到50%以上。依托时空信息云平台、视频云平台，实现全区城市治理一张图上数据资源、治理要素的全息全景呈现，显著提高城市精细化、可视化、智能化管理水平。</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资源管理“数据融合”</w:t>
      </w:r>
      <w:r>
        <w:rPr>
          <w:rFonts w:ascii="Arial" w:hAnsi="Arial" w:eastAsia="仿宋" w:cs="Arial"/>
        </w:rPr>
        <w:t>。数据资源融合共享，复用市政务云的基础库数据资源，实现环保、水务、能源、工业等各行业领域信息融合共享，充分实现对全区城市数据的有效汇聚和智能处理，非涉密系统信息资源部门间共享率超过85%，非涉密公共信息资源开放率超过70%。数据治理体系建设完备，数据资源实现分类采集、集中汇聚、统筹管理，能够为全区各类智慧应用和产业发展提供数据资源和智能支撑。推动产业数字化转型，以智慧应用落地有效促进产业数字化、数字产业化，推动数字经济增长50%以上。</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高效协同“智慧治理”</w:t>
      </w:r>
      <w:r>
        <w:rPr>
          <w:rFonts w:ascii="Arial" w:hAnsi="Arial" w:eastAsia="仿宋" w:cs="Arial"/>
        </w:rPr>
        <w:t>。加强人工智能、区块链、大数据运用，极大增强核心计算力，提高数据流转运用的频次和效率，全面提高跨部门、跨层级、跨领域的业务协同能力及效率。基本形成全态感知、精细高效的智慧治理新格局和“1+N”治理支撑体系，各领域数字化治理能力进入高度智慧化状态。</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解决问题“切实管用”</w:t>
      </w:r>
      <w:r>
        <w:rPr>
          <w:rFonts w:ascii="Arial" w:hAnsi="Arial" w:eastAsia="仿宋" w:cs="Arial"/>
        </w:rPr>
        <w:t>。以问题解决、目标实现为导向，站在人民群众切身利益的角度，从小处着眼从具体问题入手，实现以人</w:t>
      </w:r>
      <w:r>
        <w:rPr>
          <w:rFonts w:hint="eastAsia" w:ascii="Arial" w:hAnsi="Arial" w:eastAsia="仿宋" w:cs="Arial"/>
          <w:lang w:eastAsia="zh-CN"/>
        </w:rPr>
        <w:t>民</w:t>
      </w:r>
      <w:r>
        <w:rPr>
          <w:rFonts w:ascii="Arial" w:hAnsi="Arial" w:eastAsia="仿宋" w:cs="Arial"/>
        </w:rPr>
        <w:t>为</w:t>
      </w:r>
      <w:r>
        <w:rPr>
          <w:rFonts w:ascii="Arial" w:hAnsi="Arial" w:eastAsia="仿宋" w:cs="Arial"/>
          <w:bCs/>
        </w:rPr>
        <w:t>中心的“办事不出门、服务送上门”</w:t>
      </w:r>
      <w:r>
        <w:rPr>
          <w:rFonts w:ascii="Arial" w:hAnsi="Arial" w:eastAsia="仿宋" w:cs="Arial"/>
        </w:rPr>
        <w:t>，公众和企业政务服务事项的随手办、掌上办比例大于70%</w:t>
      </w:r>
      <w:r>
        <w:rPr>
          <w:rFonts w:ascii="Arial" w:hAnsi="Arial" w:eastAsia="仿宋" w:cs="Arial"/>
          <w:bCs/>
        </w:rPr>
        <w:t>，</w:t>
      </w:r>
      <w:r>
        <w:rPr>
          <w:rFonts w:ascii="Arial" w:hAnsi="Arial" w:eastAsia="仿宋" w:cs="Arial"/>
        </w:rPr>
        <w:t>建设完成解决实际问题的应用场景。</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数字赋能“管理爱用”</w:t>
      </w:r>
      <w:r>
        <w:rPr>
          <w:rFonts w:ascii="Arial" w:hAnsi="Arial" w:eastAsia="仿宋" w:cs="Arial"/>
        </w:rPr>
        <w:t>。数字赋能城市治理相适应的机制体制全面确立，大数据智能分析广泛应用于各领域决策管理，为管理提效、为产业赋能、为企业服务，基层干部和管理者都爱用。</w:t>
      </w:r>
    </w:p>
    <w:p>
      <w:pPr>
        <w:spacing w:line="360" w:lineRule="auto"/>
        <w:ind w:firstLine="480" w:firstLineChars="200"/>
        <w:jc w:val="both"/>
        <w:rPr>
          <w:rFonts w:ascii="Arial" w:hAnsi="Arial" w:eastAsia="仿宋" w:cs="Arial"/>
        </w:rPr>
      </w:pPr>
      <w:r>
        <w:rPr>
          <w:rFonts w:ascii="Arial" w:hAnsi="Arial" w:eastAsia="仿宋" w:cs="Arial"/>
        </w:rPr>
        <w:t>——</w:t>
      </w:r>
      <w:r>
        <w:rPr>
          <w:rFonts w:ascii="Arial" w:hAnsi="Arial" w:eastAsia="仿宋" w:cs="Arial"/>
          <w:b/>
          <w:bCs/>
        </w:rPr>
        <w:t>场景贴合“群众受用”</w:t>
      </w:r>
      <w:r>
        <w:rPr>
          <w:rFonts w:ascii="Arial" w:hAnsi="Arial" w:eastAsia="仿宋" w:cs="Arial"/>
        </w:rPr>
        <w:t>。以广泛应用场景为第一优先级，完成智慧政务、智慧社区、智慧农业等与群众生活密切相关的应用场景建设，让老百姓受用，获得感和幸福感显著增强。</w:t>
      </w:r>
      <w:bookmarkEnd w:id="28"/>
    </w:p>
    <w:p>
      <w:pPr>
        <w:pStyle w:val="2"/>
        <w:ind w:left="0" w:firstLine="0"/>
        <w:rPr>
          <w:rFonts w:ascii="Arial" w:hAnsi="Arial" w:eastAsia="仿宋" w:cs="Arial"/>
          <w:sz w:val="24"/>
          <w:szCs w:val="24"/>
        </w:rPr>
      </w:pPr>
      <w:bookmarkStart w:id="29" w:name="_Toc78041428"/>
      <w:r>
        <w:rPr>
          <w:rFonts w:ascii="Arial" w:hAnsi="Arial" w:eastAsia="仿宋" w:cs="Arial"/>
          <w:sz w:val="24"/>
          <w:szCs w:val="24"/>
        </w:rPr>
        <w:t>主要任务</w:t>
      </w:r>
      <w:bookmarkEnd w:id="29"/>
    </w:p>
    <w:p>
      <w:pPr>
        <w:spacing w:line="360" w:lineRule="auto"/>
        <w:ind w:firstLine="482" w:firstLineChars="200"/>
        <w:outlineLvl w:val="2"/>
        <w:rPr>
          <w:rFonts w:ascii="Arial" w:hAnsi="Arial" w:eastAsia="仿宋" w:cs="Arial"/>
          <w:b/>
          <w:bCs/>
        </w:rPr>
      </w:pPr>
      <w:bookmarkStart w:id="30" w:name="_Toc78041429"/>
      <w:bookmarkStart w:id="31" w:name="_Hlk66872347"/>
      <w:r>
        <w:rPr>
          <w:rFonts w:ascii="Arial" w:hAnsi="Arial" w:eastAsia="仿宋" w:cs="Arial"/>
          <w:b/>
          <w:bCs/>
        </w:rPr>
        <w:t>1.夯实大数据发展承载基础</w:t>
      </w:r>
      <w:bookmarkEnd w:id="30"/>
    </w:p>
    <w:p>
      <w:pPr>
        <w:spacing w:line="360" w:lineRule="auto"/>
        <w:ind w:firstLine="482" w:firstLineChars="200"/>
        <w:jc w:val="both"/>
        <w:rPr>
          <w:rFonts w:ascii="Arial" w:hAnsi="Arial" w:eastAsia="仿宋" w:cs="Arial"/>
          <w:kern w:val="2"/>
        </w:rPr>
      </w:pPr>
      <w:r>
        <w:rPr>
          <w:rFonts w:hint="eastAsia" w:ascii="Arial" w:hAnsi="Arial" w:eastAsia="仿宋" w:cs="Arial"/>
          <w:b/>
          <w:bCs/>
          <w:kern w:val="2"/>
        </w:rPr>
        <w:t>一是加快建设新一代信息网络设施。</w:t>
      </w:r>
      <w:r>
        <w:rPr>
          <w:rFonts w:hint="eastAsia" w:ascii="Arial" w:hAnsi="Arial" w:eastAsia="仿宋" w:cs="Arial"/>
          <w:kern w:val="2"/>
        </w:rPr>
        <w:t>优化和提升全区网络结构和网络带宽，在重点小区、重点场所大力推进“万兆光纤进楼、千兆光纤到户”行动，推动全区宽带网络承载能力全面升级，推动</w:t>
      </w:r>
      <w:r>
        <w:rPr>
          <w:rFonts w:ascii="Arial" w:hAnsi="Arial" w:eastAsia="仿宋" w:cs="Arial"/>
          <w:kern w:val="2"/>
        </w:rPr>
        <w:t>NB-IoT普遍覆盖。推进5G网络规模化建设部署，加快推动5G在园区、产业基地、核心商圈、旅游景点等场景应用。深入推进IPv6规模部署，逐步实现各类设备、应用、终端等全面支持IPv6。建设基于1.4GHz频段的无线宽带政务网，满足应急状态下海量数据、高宽带视频传输和无线应急通信等业务需要。</w:t>
      </w:r>
      <w:r>
        <w:rPr>
          <w:rFonts w:ascii="Arial" w:hAnsi="Arial" w:eastAsia="仿宋" w:cs="Arial"/>
          <w:b/>
          <w:bCs/>
          <w:kern w:val="2"/>
        </w:rPr>
        <w:t>二是提升鲲鹏云平台的自主创新能力。</w:t>
      </w:r>
      <w:r>
        <w:rPr>
          <w:rFonts w:ascii="Arial" w:hAnsi="Arial" w:eastAsia="仿宋" w:cs="Arial"/>
          <w:kern w:val="2"/>
        </w:rPr>
        <w:t>进一步增强鲲鹏云平台</w:t>
      </w:r>
      <w:r>
        <w:rPr>
          <w:rFonts w:hint="eastAsia" w:ascii="Arial" w:hAnsi="Arial" w:eastAsia="仿宋" w:cs="Arial"/>
          <w:kern w:val="2"/>
        </w:rPr>
        <w:t>的原始创新、集成创新和再创新能力，为全面支撑智慧城市建设、支撑各领域的大数据应用提供有力保障。</w:t>
      </w:r>
      <w:r>
        <w:rPr>
          <w:rFonts w:hint="eastAsia" w:ascii="Arial" w:hAnsi="Arial" w:eastAsia="仿宋" w:cs="Arial"/>
          <w:b/>
          <w:bCs/>
          <w:kern w:val="2"/>
        </w:rPr>
        <w:t>三是加快构建新型融合基础设施。</w:t>
      </w:r>
      <w:r>
        <w:rPr>
          <w:rFonts w:hint="eastAsia" w:ascii="Arial" w:hAnsi="Arial" w:eastAsia="仿宋" w:cs="Arial"/>
          <w:kern w:val="2"/>
        </w:rPr>
        <w:t>推行智慧灯杆试点建设，通过集成城市传感器、</w:t>
      </w:r>
      <w:r>
        <w:rPr>
          <w:rFonts w:ascii="Arial" w:hAnsi="Arial" w:eastAsia="仿宋" w:cs="Arial"/>
          <w:kern w:val="2"/>
        </w:rPr>
        <w:t>WiFi/微基站、监控、智能充电等功能，实现根据车流量自动调节亮度、远程照明控制、故障主动报警、灯具线缆防盗、远程抄表等功能，有效提升能源综合利用的智能、经济、安全水平。建设统一的物联网管理平台，实现城市各物联系统从底层数据采集、设备全生命周期管理、数据传输、大数据分析等各环节的规范运作和高效处理。</w:t>
      </w:r>
    </w:p>
    <w:p>
      <w:pPr>
        <w:spacing w:line="360" w:lineRule="auto"/>
        <w:ind w:firstLine="482" w:firstLineChars="200"/>
        <w:outlineLvl w:val="2"/>
        <w:rPr>
          <w:rFonts w:ascii="Arial" w:hAnsi="Arial" w:eastAsia="仿宋" w:cs="Arial"/>
          <w:b/>
          <w:bCs/>
        </w:rPr>
      </w:pPr>
      <w:bookmarkStart w:id="32" w:name="_Toc78041430"/>
      <w:r>
        <w:rPr>
          <w:rFonts w:ascii="Arial" w:hAnsi="Arial" w:eastAsia="仿宋" w:cs="Arial"/>
          <w:b/>
          <w:bCs/>
        </w:rPr>
        <w:t>2.完善大数据发展支撑体系</w:t>
      </w:r>
      <w:bookmarkEnd w:id="32"/>
    </w:p>
    <w:p>
      <w:pPr>
        <w:spacing w:line="360" w:lineRule="auto"/>
        <w:ind w:firstLine="480" w:firstLineChars="200"/>
        <w:jc w:val="both"/>
        <w:rPr>
          <w:rFonts w:ascii="Arial" w:hAnsi="Arial" w:eastAsia="仿宋" w:cs="Arial"/>
          <w:kern w:val="2"/>
        </w:rPr>
      </w:pPr>
      <w:r>
        <w:rPr>
          <w:rFonts w:hint="eastAsia" w:ascii="Arial" w:hAnsi="Arial" w:eastAsia="仿宋" w:cs="Arial"/>
          <w:kern w:val="2"/>
        </w:rPr>
        <w:t>以智慧城市运营中心（</w:t>
      </w:r>
      <w:r>
        <w:rPr>
          <w:rFonts w:ascii="Arial" w:hAnsi="Arial" w:eastAsia="仿宋" w:cs="Arial"/>
          <w:kern w:val="2"/>
        </w:rPr>
        <w:t>IOC）为核心夯实大数据发展支撑体系。</w:t>
      </w:r>
      <w:r>
        <w:rPr>
          <w:rFonts w:ascii="Arial" w:hAnsi="Arial" w:eastAsia="仿宋" w:cs="Arial"/>
          <w:b/>
          <w:bCs/>
          <w:kern w:val="2"/>
        </w:rPr>
        <w:t>一是规范数据采集，加快数据资源汇聚共享。</w:t>
      </w:r>
      <w:r>
        <w:rPr>
          <w:rFonts w:ascii="Arial" w:hAnsi="Arial" w:eastAsia="仿宋" w:cs="Arial"/>
          <w:kern w:val="2"/>
        </w:rPr>
        <w:t>编制数据采集目录体系，建立“人、地、物、情、事、组织”社会治理等各类要素的数据采集标准。完善数据采集平台，加强数据采集、存储、分发管理，推动网格化数据、物联网数据、政务数据和第三方社会数据的适配接入和集中汇聚，为打造一体化数据资源池提供有力支撑。依托视频云平台，加快推动各界视频资源的统一接入和按需共享。</w:t>
      </w:r>
      <w:r>
        <w:rPr>
          <w:rFonts w:ascii="Arial" w:hAnsi="Arial" w:eastAsia="仿宋" w:cs="Arial"/>
          <w:b/>
          <w:bCs/>
          <w:kern w:val="2"/>
        </w:rPr>
        <w:t>二是完善数据资源中心，提升数据服务能力。</w:t>
      </w:r>
      <w:r>
        <w:rPr>
          <w:rFonts w:ascii="Arial" w:hAnsi="Arial" w:eastAsia="仿宋" w:cs="Arial"/>
          <w:kern w:val="2"/>
        </w:rPr>
        <w:t>以智慧城市数据共享交换体系为基础，建设数据湖、数据资源目录和数据中台，</w:t>
      </w:r>
      <w:r>
        <w:rPr>
          <w:rFonts w:hint="eastAsia" w:ascii="Arial" w:hAnsi="Arial" w:eastAsia="仿宋" w:cs="Arial"/>
          <w:kern w:val="2"/>
        </w:rPr>
        <w:t>打造安全可靠、开放共享的城市数据资源体系，提升数据服务能力，有效支撑各领域智慧化应用。</w:t>
      </w:r>
      <w:r>
        <w:rPr>
          <w:rFonts w:hint="eastAsia" w:ascii="Arial" w:hAnsi="Arial" w:eastAsia="仿宋" w:cs="Arial"/>
          <w:b/>
          <w:bCs/>
          <w:kern w:val="2"/>
        </w:rPr>
        <w:t>三是完善数据治理体系，促进数据流通。</w:t>
      </w:r>
      <w:r>
        <w:rPr>
          <w:rFonts w:hint="eastAsia" w:ascii="Arial" w:hAnsi="Arial" w:eastAsia="仿宋" w:cs="Arial"/>
          <w:kern w:val="2"/>
        </w:rPr>
        <w:t>完善数据治理规则，制定适用于大数据环境下的数据管理政策规范和标准体系，保证数据在统一的框架下有序流动。分行业制定数据分级分类管理办法，指导企业提升数据管理能力，促进社会数据的共享、流动与使用。建立覆盖采集汇聚、共享开放、开发利用等环节的全生命周期技术规范和管理标准，建立数据质量审查、数据交换、整合共享、数据安全等监督评估机制，加强内部共享和动态更新，确保数据的完整、准确和鲜活。</w:t>
      </w:r>
      <w:r>
        <w:rPr>
          <w:rFonts w:hint="eastAsia" w:ascii="Arial" w:hAnsi="Arial" w:eastAsia="仿宋" w:cs="Arial"/>
          <w:b/>
          <w:bCs/>
          <w:kern w:val="2"/>
        </w:rPr>
        <w:t>四是升级鲲鹏云时空信息平台，形成全区“一张图”。</w:t>
      </w:r>
      <w:r>
        <w:rPr>
          <w:rFonts w:hint="eastAsia" w:ascii="Arial" w:hAnsi="Arial" w:eastAsia="仿宋" w:cs="Arial"/>
          <w:kern w:val="2"/>
        </w:rPr>
        <w:t>整合全区高精度遥感影像、管线专题、生态环境专题等多类地理空间数据，实现各类数据与地图融合，“一张图”汇聚、展现全区城市部件、交通管理、人口法人、视频资源等各类数据，推动城市治理动态感知、治理体系现代化迈向新台阶。</w:t>
      </w:r>
      <w:r>
        <w:rPr>
          <w:rFonts w:hint="eastAsia" w:ascii="Arial" w:hAnsi="Arial" w:eastAsia="仿宋" w:cs="Arial"/>
          <w:b/>
          <w:bCs/>
          <w:kern w:val="2"/>
        </w:rPr>
        <w:t>五是建设人工智能和</w:t>
      </w:r>
      <w:r>
        <w:rPr>
          <w:rFonts w:ascii="Arial" w:hAnsi="Arial" w:eastAsia="仿宋" w:cs="Arial"/>
          <w:b/>
          <w:bCs/>
          <w:kern w:val="2"/>
        </w:rPr>
        <w:t>IOC主题分析平台。</w:t>
      </w:r>
      <w:r>
        <w:rPr>
          <w:rFonts w:ascii="Arial" w:hAnsi="Arial" w:eastAsia="仿宋" w:cs="Arial"/>
          <w:kern w:val="2"/>
        </w:rPr>
        <w:t>结合视频云平台和各应用场景主题库数据分析区委区政府、视频影像事件分析、AI人工智能大数据及算法等建设，建成人工智能和IOC主题分析决策平台，实现全区社会治理数据赋能和决策分析预警感知，为及各部门提供辅助决策和分析服务。</w:t>
      </w:r>
    </w:p>
    <w:p>
      <w:pPr>
        <w:spacing w:line="360" w:lineRule="auto"/>
        <w:ind w:firstLine="482" w:firstLineChars="200"/>
        <w:outlineLvl w:val="2"/>
        <w:rPr>
          <w:rFonts w:ascii="Arial" w:hAnsi="Arial" w:eastAsia="仿宋" w:cs="Arial"/>
          <w:b/>
          <w:bCs/>
        </w:rPr>
      </w:pPr>
      <w:bookmarkStart w:id="33" w:name="_Toc78041431"/>
      <w:r>
        <w:rPr>
          <w:rFonts w:ascii="Arial" w:hAnsi="Arial" w:eastAsia="仿宋" w:cs="Arial"/>
          <w:b/>
          <w:bCs/>
        </w:rPr>
        <w:t>3.加快打造大数据示范应用</w:t>
      </w:r>
      <w:bookmarkEnd w:id="33"/>
    </w:p>
    <w:p>
      <w:pPr>
        <w:spacing w:line="360" w:lineRule="auto"/>
        <w:ind w:firstLine="480" w:firstLineChars="200"/>
        <w:jc w:val="both"/>
        <w:rPr>
          <w:rFonts w:ascii="Arial" w:hAnsi="Arial" w:eastAsia="仿宋" w:cs="Arial"/>
          <w:kern w:val="2"/>
        </w:rPr>
      </w:pPr>
      <w:r>
        <w:rPr>
          <w:rFonts w:hint="eastAsia" w:ascii="Arial" w:hAnsi="Arial" w:eastAsia="仿宋" w:cs="Arial"/>
          <w:kern w:val="2"/>
        </w:rPr>
        <w:t>在民生服务、城市治理、产业经济、生态宜居四大领域加快打造一批务实、管用的大数据应用场景。</w:t>
      </w:r>
      <w:r>
        <w:rPr>
          <w:rFonts w:hint="eastAsia" w:ascii="Arial" w:hAnsi="Arial" w:eastAsia="仿宋" w:cs="Arial"/>
          <w:b/>
          <w:bCs/>
          <w:kern w:val="2"/>
        </w:rPr>
        <w:t>一是弘扬雷锋精神，建设全民能享的大数据应用服务。</w:t>
      </w:r>
      <w:r>
        <w:rPr>
          <w:rFonts w:hint="eastAsia" w:ascii="Arial" w:hAnsi="Arial" w:eastAsia="仿宋" w:cs="Arial"/>
          <w:kern w:val="2"/>
        </w:rPr>
        <w:t>整合资讯、新闻、服务、办事等</w:t>
      </w:r>
      <w:r>
        <w:rPr>
          <w:rFonts w:ascii="Arial" w:hAnsi="Arial" w:eastAsia="仿宋" w:cs="Arial"/>
          <w:kern w:val="2"/>
        </w:rPr>
        <w:t>APP、小程序服务资源，建设望事通APP，打造面向群众的统一服务门户，运用大数据分析服务运行情况，为政府流程优化、群众服务精细化提供支撑。利用省公安厅八大类电子证照信息，运用区块链技术构建电子证照系统，避免办事过程中繁杂的填报和证明程序，打造无证城市。</w:t>
      </w:r>
      <w:r>
        <w:rPr>
          <w:rFonts w:hint="eastAsia" w:ascii="Arial" w:hAnsi="Arial" w:eastAsia="仿宋" w:cs="Arial"/>
          <w:kern w:val="2"/>
        </w:rPr>
        <w:t>统筹推进政务协同办公、信息报送、督查督办等基础应用，形成基于政务外网的一体化协同办公体系。</w:t>
      </w:r>
      <w:r>
        <w:rPr>
          <w:rFonts w:ascii="Arial" w:hAnsi="Arial" w:eastAsia="仿宋" w:cs="Arial"/>
          <w:kern w:val="2"/>
        </w:rPr>
        <w:t>建设覆盖教育、医疗、社保、养老等领域的大数据应用系统，以优化提升民生服务、激发社会活力、促进大数</w:t>
      </w:r>
      <w:r>
        <w:rPr>
          <w:rFonts w:hint="eastAsia" w:ascii="Arial" w:hAnsi="Arial" w:eastAsia="仿宋" w:cs="Arial"/>
          <w:kern w:val="2"/>
        </w:rPr>
        <w:t>据应用市场化服务为重点，引导调动政府、企业、社会组织等多方积极性，鼓励提供基于大数据的专业化、个性化服务，形成需求导向、多方参与、便捷惠民的信息服务供给体系，让老百姓随时随地感受雷锋式的民生服务。</w:t>
      </w:r>
      <w:r>
        <w:rPr>
          <w:rFonts w:hint="eastAsia" w:ascii="Arial" w:hAnsi="Arial" w:eastAsia="仿宋" w:cs="Arial"/>
          <w:b/>
          <w:bCs/>
          <w:kern w:val="2"/>
        </w:rPr>
        <w:t>二是创新管理转型，建设高效联动的大数据城市治理体系。</w:t>
      </w:r>
      <w:r>
        <w:rPr>
          <w:rFonts w:hint="eastAsia" w:ascii="Arial" w:hAnsi="Arial" w:eastAsia="仿宋" w:cs="Arial"/>
          <w:kern w:val="2"/>
        </w:rPr>
        <w:t>依托城市交通、基础设施、公共安全、生态环境等领域的物联感知体系，在时空信息平台基础上构建数字孪生城市，提供基于三维数据更新、编辑、查询统计、分析测量、分析挖掘、空间分析、信息提取、模拟推演等功能。依托数字孪生平台，建设智慧交通、智慧应急、智慧城管等与时空位置强相关的智慧应用，为城市运行状况提供规划建设、实时监测、快速预警、主动预防和决策指挥，提高跨部门、跨层级、跨领域的业务协同能力及效率，实现城市治理高效联动。</w:t>
      </w:r>
      <w:r>
        <w:rPr>
          <w:rFonts w:hint="eastAsia" w:ascii="Arial" w:hAnsi="Arial" w:eastAsia="仿宋" w:cs="Arial"/>
          <w:b/>
          <w:bCs/>
          <w:kern w:val="2"/>
        </w:rPr>
        <w:t>三是深化利用数字技术，促进产业数字化转型。</w:t>
      </w:r>
      <w:r>
        <w:rPr>
          <w:rFonts w:hint="eastAsia" w:ascii="Arial" w:hAnsi="Arial" w:eastAsia="仿宋" w:cs="Arial"/>
          <w:kern w:val="2"/>
        </w:rPr>
        <w:t>积极实施“上云用数赋智”行动，推动数据赋能全产业链协同转型。深化数字技术与制造产业融合，建设工业互联网平台，再造制造产业设计、生产流程，打造智能车间、智慧工厂、数字企业，支撑制造产业数字化、网络化、智能化转型。深化利用“互联网</w:t>
      </w:r>
      <w:r>
        <w:rPr>
          <w:rFonts w:ascii="Arial" w:hAnsi="Arial" w:eastAsia="仿宋" w:cs="Arial"/>
          <w:kern w:val="2"/>
        </w:rPr>
        <w:t>+”技术及思维，推进农业生产智能化、农业经营网络、农业服务信息化。</w:t>
      </w:r>
      <w:r>
        <w:rPr>
          <w:rFonts w:ascii="Arial" w:hAnsi="Arial" w:eastAsia="仿宋" w:cs="Arial"/>
          <w:b/>
          <w:bCs/>
          <w:kern w:val="2"/>
        </w:rPr>
        <w:t>四是优化资源利用，打造低碳绿</w:t>
      </w:r>
      <w:r>
        <w:rPr>
          <w:rFonts w:hint="eastAsia" w:ascii="Arial" w:hAnsi="Arial" w:eastAsia="仿宋" w:cs="Arial"/>
          <w:b/>
          <w:bCs/>
          <w:kern w:val="2"/>
        </w:rPr>
        <w:t>色的生态宜居环境。</w:t>
      </w:r>
      <w:r>
        <w:rPr>
          <w:rFonts w:hint="eastAsia" w:ascii="Arial" w:hAnsi="Arial" w:eastAsia="仿宋" w:cs="Arial"/>
          <w:kern w:val="2"/>
        </w:rPr>
        <w:t>强化环保、水务、能源、气象等资源整合与新技术应用，打造生态环境监测管理新模式，支撑城市资源管理和优化利用，推行低碳绿色发展模式，为打造山清水秀希望之城，争当洞庭湖生态环境治理排头兵、争创国家生态文明建设示范区提供有力支撑。</w:t>
      </w:r>
    </w:p>
    <w:p>
      <w:pPr>
        <w:spacing w:line="360" w:lineRule="auto"/>
        <w:ind w:firstLine="482" w:firstLineChars="200"/>
        <w:outlineLvl w:val="2"/>
        <w:rPr>
          <w:rFonts w:ascii="Arial" w:hAnsi="Arial" w:eastAsia="仿宋" w:cs="Arial"/>
          <w:b/>
          <w:bCs/>
        </w:rPr>
      </w:pPr>
      <w:bookmarkStart w:id="34" w:name="_Toc78041432"/>
      <w:r>
        <w:rPr>
          <w:rFonts w:ascii="Arial" w:hAnsi="Arial" w:eastAsia="仿宋" w:cs="Arial"/>
          <w:b/>
          <w:bCs/>
        </w:rPr>
        <w:t>4.培育大数据产业生态发展</w:t>
      </w:r>
      <w:bookmarkEnd w:id="34"/>
    </w:p>
    <w:p>
      <w:pPr>
        <w:spacing w:line="360" w:lineRule="auto"/>
        <w:ind w:firstLine="482" w:firstLineChars="200"/>
        <w:jc w:val="both"/>
        <w:rPr>
          <w:rFonts w:ascii="Arial" w:hAnsi="Arial" w:eastAsia="仿宋" w:cs="Arial"/>
          <w:kern w:val="2"/>
        </w:rPr>
      </w:pPr>
      <w:r>
        <w:rPr>
          <w:rFonts w:hint="eastAsia" w:ascii="Arial" w:hAnsi="Arial" w:eastAsia="仿宋" w:cs="Arial"/>
          <w:b/>
          <w:bCs/>
          <w:kern w:val="2"/>
        </w:rPr>
        <w:t>一是推进数字产业融合发展。</w:t>
      </w:r>
      <w:r>
        <w:rPr>
          <w:rFonts w:hint="eastAsia" w:ascii="Arial" w:hAnsi="Arial" w:eastAsia="仿宋" w:cs="Arial"/>
          <w:kern w:val="2"/>
        </w:rPr>
        <w:t>以全区、全市新型智慧城市建设为契机，以证通云计算大数据科技产业园为核心载体，推动大数据、云计算及互联网等数字产业融合发展、做大做强，打造数字经济引领区、产业集聚区。</w:t>
      </w:r>
      <w:r>
        <w:rPr>
          <w:rFonts w:hint="eastAsia" w:ascii="Arial" w:hAnsi="Arial" w:eastAsia="仿宋" w:cs="Arial"/>
          <w:b/>
          <w:bCs/>
          <w:kern w:val="2"/>
        </w:rPr>
        <w:t>二是完善大数据全生命周期产业体系。</w:t>
      </w:r>
      <w:r>
        <w:rPr>
          <w:rFonts w:hint="eastAsia" w:ascii="Arial" w:hAnsi="Arial" w:eastAsia="仿宋" w:cs="Arial"/>
          <w:kern w:val="2"/>
        </w:rPr>
        <w:t>引培专业化数据采集和数据清洗服务企业提供数据采集服务，以证通电子、华为企业为重点做优做强存储处理服务，引培数据建模、数据分析挖掘、数据可视化等数据科技企业提供数据应用服务，完善大数据全生命周期产业体系。</w:t>
      </w:r>
      <w:r>
        <w:rPr>
          <w:rFonts w:hint="eastAsia" w:ascii="Arial" w:hAnsi="Arial" w:eastAsia="仿宋" w:cs="Arial"/>
          <w:b/>
          <w:bCs/>
          <w:kern w:val="2"/>
        </w:rPr>
        <w:t>三是培育新兴产业，推进大数据产业生态发展。</w:t>
      </w:r>
      <w:r>
        <w:rPr>
          <w:rFonts w:hint="eastAsia" w:ascii="Arial" w:hAnsi="Arial" w:eastAsia="仿宋" w:cs="Arial"/>
          <w:kern w:val="2"/>
        </w:rPr>
        <w:t>以应用场景牵引、智慧项目引领、营商环境优化、智慧园区承载支撑，培育人工智能产业，进一步推进大数据产业生态健康发展、可持续发展。</w:t>
      </w:r>
    </w:p>
    <w:p>
      <w:pPr>
        <w:spacing w:line="360" w:lineRule="auto"/>
        <w:ind w:firstLine="482" w:firstLineChars="200"/>
        <w:outlineLvl w:val="2"/>
        <w:rPr>
          <w:rFonts w:ascii="Arial" w:hAnsi="Arial" w:eastAsia="仿宋" w:cs="Arial"/>
          <w:b/>
          <w:bCs/>
        </w:rPr>
      </w:pPr>
      <w:bookmarkStart w:id="35" w:name="_Toc78041433"/>
      <w:r>
        <w:rPr>
          <w:rFonts w:ascii="Arial" w:hAnsi="Arial" w:eastAsia="仿宋" w:cs="Arial"/>
          <w:b/>
          <w:bCs/>
        </w:rPr>
        <w:t>5.加固大数据安全保障能力</w:t>
      </w:r>
      <w:bookmarkEnd w:id="35"/>
    </w:p>
    <w:p>
      <w:pPr>
        <w:spacing w:line="360" w:lineRule="auto"/>
        <w:ind w:firstLine="482" w:firstLineChars="200"/>
        <w:jc w:val="both"/>
        <w:rPr>
          <w:rFonts w:ascii="Arial" w:hAnsi="Arial" w:eastAsia="仿宋" w:cs="Arial"/>
          <w:color w:val="000000"/>
        </w:rPr>
      </w:pPr>
      <w:r>
        <w:rPr>
          <w:rFonts w:hint="eastAsia" w:ascii="Arial" w:hAnsi="Arial" w:eastAsia="仿宋" w:cs="Arial"/>
          <w:b/>
          <w:bCs/>
          <w:kern w:val="2"/>
        </w:rPr>
        <w:t>一是健全大数据安全法规制度。</w:t>
      </w:r>
      <w:r>
        <w:rPr>
          <w:rFonts w:hint="eastAsia" w:ascii="Arial" w:hAnsi="Arial" w:eastAsia="仿宋" w:cs="Arial"/>
          <w:kern w:val="2"/>
        </w:rPr>
        <w:t>遵循《中华人民共和国数据安全法》，健全安全管理组织机构和安全管理制度，强化核心数据、涉密数据的安全管控</w:t>
      </w:r>
      <w:r>
        <w:rPr>
          <w:rFonts w:ascii="Arial" w:hAnsi="Arial" w:eastAsia="仿宋" w:cs="Arial"/>
          <w:kern w:val="2"/>
        </w:rPr>
        <w:t>,建立数据安全分级分类保护制度，建立集中统一、高效权威的数据安全风险评估、报告、信息共享、监测预警机制，建立数据安全应急处置机制，建立数据安全审查制度，健全大数据安全标准和法规体系。建立健全政务开放的数据安全管理制度，落实数据安全保护责任，保障政务数据安全。加强市场监管，保障数据产业市场公平竞争，促进经济发展，营造良好的营商环境。</w:t>
      </w:r>
      <w:r>
        <w:rPr>
          <w:rFonts w:ascii="Arial" w:hAnsi="Arial" w:eastAsia="仿宋" w:cs="Arial"/>
          <w:b/>
          <w:bCs/>
          <w:kern w:val="2"/>
        </w:rPr>
        <w:t>二是健全大数据安全技术保障。</w:t>
      </w:r>
      <w:r>
        <w:rPr>
          <w:rFonts w:ascii="Arial" w:hAnsi="Arial" w:eastAsia="仿宋" w:cs="Arial"/>
          <w:kern w:val="2"/>
        </w:rPr>
        <w:t>统筹数据开发利用、隐私</w:t>
      </w:r>
      <w:r>
        <w:rPr>
          <w:rFonts w:hint="eastAsia" w:ascii="Arial" w:hAnsi="Arial" w:eastAsia="仿宋" w:cs="Arial"/>
          <w:kern w:val="2"/>
        </w:rPr>
        <w:t>保护和公共安全，加强涉及国家利益、商业秘密、个人隐私、个人信息、保密商务信息的数据保护，加快隐私保护技术、国产密码等技术的推广和应用。推广采用安全可信产品和服务，提升基础设施关键设备安全可靠水平。新建政务信息化项目原则上全部采用安全可靠的技术和产品，实现安可应用和政务信息化建设同谋划、同部署、同促进、同发展。建设稳定可信的区级大数据安全保障平台，加强数据安全教育和人才培训，定期举办大数据与网络安全攻防演练。加强身份认证、分布式计算安全、分布式存储安全、细粒度安全审计、实时安全等大数据安全技术的应用，全面提升我区大数据安全服务效能。</w:t>
      </w:r>
    </w:p>
    <w:bookmarkEnd w:id="31"/>
    <w:p>
      <w:pPr>
        <w:pStyle w:val="2"/>
        <w:ind w:left="0" w:firstLine="0"/>
        <w:rPr>
          <w:rFonts w:ascii="Arial" w:hAnsi="Arial" w:eastAsia="仿宋" w:cs="Arial"/>
          <w:sz w:val="24"/>
          <w:szCs w:val="24"/>
        </w:rPr>
      </w:pPr>
      <w:bookmarkStart w:id="36" w:name="_Toc78041434"/>
      <w:r>
        <w:rPr>
          <w:rFonts w:ascii="Arial" w:hAnsi="Arial" w:eastAsia="仿宋" w:cs="Arial"/>
          <w:sz w:val="24"/>
          <w:szCs w:val="24"/>
        </w:rPr>
        <w:t>重点工程</w:t>
      </w:r>
      <w:bookmarkEnd w:id="36"/>
    </w:p>
    <w:p>
      <w:pPr>
        <w:pStyle w:val="3"/>
        <w:numPr>
          <w:ilvl w:val="0"/>
          <w:numId w:val="15"/>
        </w:numPr>
        <w:rPr>
          <w:rFonts w:ascii="Arial" w:hAnsi="Arial" w:eastAsia="仿宋" w:cs="Arial"/>
          <w:sz w:val="24"/>
          <w:szCs w:val="24"/>
        </w:rPr>
      </w:pPr>
      <w:bookmarkStart w:id="37" w:name="_Toc78041435"/>
      <w:bookmarkStart w:id="38" w:name="_Hlk66879049"/>
      <w:bookmarkStart w:id="39" w:name="_Toc16427380"/>
      <w:bookmarkStart w:id="40" w:name="_Toc12549665"/>
      <w:bookmarkStart w:id="41" w:name="_Toc11770721"/>
      <w:bookmarkStart w:id="42" w:name="_Hlk66873360"/>
      <w:r>
        <w:rPr>
          <w:rFonts w:ascii="Arial" w:hAnsi="Arial" w:eastAsia="仿宋" w:cs="Arial"/>
          <w:sz w:val="24"/>
          <w:szCs w:val="24"/>
        </w:rPr>
        <w:t>新型基础设施</w:t>
      </w:r>
      <w:bookmarkEnd w:id="37"/>
    </w:p>
    <w:bookmarkEnd w:id="38"/>
    <w:p>
      <w:pPr>
        <w:spacing w:line="360" w:lineRule="auto"/>
        <w:ind w:firstLine="480" w:firstLineChars="200"/>
        <w:jc w:val="both"/>
        <w:rPr>
          <w:rFonts w:ascii="Arial" w:hAnsi="Arial" w:eastAsia="仿宋" w:cs="Arial"/>
          <w:bCs/>
        </w:rPr>
      </w:pPr>
      <w:bookmarkStart w:id="43" w:name="_Hlk66879579"/>
      <w:r>
        <w:rPr>
          <w:rFonts w:ascii="Arial" w:hAnsi="Arial" w:eastAsia="仿宋" w:cs="Arial"/>
          <w:bCs/>
        </w:rPr>
        <w:t>建设与完善基础设施，是</w:t>
      </w:r>
      <w:r>
        <w:rPr>
          <w:rFonts w:hint="eastAsia" w:ascii="Arial" w:hAnsi="Arial" w:eastAsia="仿宋" w:cs="Arial"/>
          <w:bCs/>
        </w:rPr>
        <w:t>大数据发展</w:t>
      </w:r>
      <w:r>
        <w:rPr>
          <w:rFonts w:ascii="Arial" w:hAnsi="Arial" w:eastAsia="仿宋" w:cs="Arial"/>
          <w:bCs/>
        </w:rPr>
        <w:t>的首要任务。按照规划引导、统筹建设、资源共享、规范管理原则，以加快提升信息基础设施服务水平和普遍服务能力为主线，加大建设投入，</w:t>
      </w:r>
      <w:r>
        <w:rPr>
          <w:rFonts w:ascii="Arial" w:hAnsi="Arial" w:eastAsia="仿宋" w:cs="Arial"/>
        </w:rPr>
        <w:t>基于智慧望城鲲鹏云平台</w:t>
      </w:r>
      <w:r>
        <w:rPr>
          <w:rFonts w:ascii="Arial" w:hAnsi="Arial" w:eastAsia="仿宋" w:cs="Arial"/>
          <w:bCs/>
        </w:rPr>
        <w:t>实现基础资源支撑能级较大幅度提升，为</w:t>
      </w:r>
      <w:r>
        <w:rPr>
          <w:rFonts w:hint="eastAsia" w:ascii="Arial" w:hAnsi="Arial" w:eastAsia="仿宋" w:cs="Arial"/>
          <w:bCs/>
        </w:rPr>
        <w:t>大数据发展</w:t>
      </w:r>
      <w:r>
        <w:rPr>
          <w:rFonts w:ascii="Arial" w:hAnsi="Arial" w:eastAsia="仿宋" w:cs="Arial"/>
          <w:bCs/>
        </w:rPr>
        <w:t>建设提供全面的基础支撑。</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城市光网工程</w:t>
      </w:r>
    </w:p>
    <w:p>
      <w:pPr>
        <w:spacing w:line="360" w:lineRule="auto"/>
        <w:ind w:firstLine="480" w:firstLineChars="200"/>
        <w:jc w:val="both"/>
        <w:rPr>
          <w:rFonts w:ascii="Arial" w:hAnsi="Arial" w:eastAsia="仿宋" w:cs="Arial"/>
          <w:bCs/>
        </w:rPr>
      </w:pPr>
      <w:r>
        <w:rPr>
          <w:rFonts w:ascii="Arial" w:hAnsi="Arial" w:eastAsia="仿宋" w:cs="Arial"/>
          <w:bCs/>
        </w:rPr>
        <w:t>全面推进城区光纤成片改造，加大城乡宽带接入网建设，辅以无线方式进行补充，基本实现望城区“百兆到户、千兆进楼”的网络覆盖能力</w:t>
      </w:r>
      <w:r>
        <w:rPr>
          <w:rFonts w:hint="eastAsia" w:ascii="Arial" w:hAnsi="Arial" w:eastAsia="仿宋" w:cs="Arial"/>
          <w:bCs/>
        </w:rPr>
        <w:t>，在重点小区、重点场所大力推进“万兆光纤进楼、千兆光纤到户”行动，推动全区宽带网络承载能力全面升级</w:t>
      </w:r>
      <w:r>
        <w:rPr>
          <w:rFonts w:ascii="Arial" w:hAnsi="Arial" w:eastAsia="仿宋" w:cs="Arial"/>
          <w:bCs/>
        </w:rPr>
        <w:t>。“城市光网”将极大的提升业务体检，加速用户高清视频业务体验，提升运营商为用户提升娱乐、生活和商务一体化信息服务的能力。以通信企业及广电部门为重点，统筹规划、集约建设，提升骨干网传输能力和交换能力，改善网络服务质量，保障网络与信息安全。实现中心城区和乡镇的光纤到楼（FTTB）实现全覆盖，家庭普及率达到70%，城市和农村家庭宽带接入能力达100Mbps以上，在城市提供1Gbps家庭宽带服务。</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1.4GHz无线政务网工程</w:t>
      </w:r>
    </w:p>
    <w:p>
      <w:pPr>
        <w:spacing w:line="360" w:lineRule="auto"/>
        <w:ind w:firstLine="480" w:firstLineChars="200"/>
        <w:jc w:val="both"/>
        <w:rPr>
          <w:rFonts w:ascii="Arial" w:hAnsi="Arial" w:eastAsia="仿宋" w:cs="Arial"/>
          <w:bCs/>
        </w:rPr>
      </w:pPr>
      <w:r>
        <w:rPr>
          <w:rFonts w:ascii="Arial" w:hAnsi="Arial" w:eastAsia="仿宋" w:cs="Arial"/>
          <w:bCs/>
        </w:rPr>
        <w:t>建设基于1.4GHz频段的无线宽带政务网，实现专网覆盖望城区主要城区及热点区域，建设融合的指挥体系，建设面向实战的应用软件，满足应急状态下海量数据、高宽带视频传输和无线应急通信等业务需要，由1.4GHz专网运营商建设及运营，实现主城区和热点区域1.4G基站建设以及核心网等中心设备部署。</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城市热点WiFi覆盖工程</w:t>
      </w:r>
    </w:p>
    <w:p>
      <w:pPr>
        <w:spacing w:line="360" w:lineRule="auto"/>
        <w:ind w:firstLine="480" w:firstLineChars="200"/>
        <w:jc w:val="both"/>
        <w:rPr>
          <w:rFonts w:ascii="Arial" w:hAnsi="Arial" w:eastAsia="仿宋" w:cs="Arial"/>
          <w:bCs/>
        </w:rPr>
      </w:pPr>
      <w:r>
        <w:rPr>
          <w:rFonts w:ascii="Arial" w:hAnsi="Arial" w:eastAsia="仿宋" w:cs="Arial"/>
          <w:bCs/>
        </w:rPr>
        <w:t>推进城市热点覆盖，增补、改造现有WiFi热点，实现重点地区100%覆盖，重点公益场所实现高速WiFi6网络覆盖。对居委会、社区公共服务站、客运站、文体场所、社区公园、重点企业等多个热点地区完成WiFi覆盖，使市民获得完美的无线接入体验。</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无线城市5G工程</w:t>
      </w:r>
    </w:p>
    <w:p>
      <w:pPr>
        <w:spacing w:line="360" w:lineRule="auto"/>
        <w:ind w:firstLine="480" w:firstLineChars="200"/>
        <w:jc w:val="both"/>
        <w:rPr>
          <w:rFonts w:ascii="Arial" w:hAnsi="Arial" w:eastAsia="仿宋" w:cs="Arial"/>
          <w:bCs/>
        </w:rPr>
      </w:pPr>
      <w:r>
        <w:rPr>
          <w:rFonts w:ascii="Arial" w:hAnsi="Arial" w:eastAsia="仿宋" w:cs="Arial"/>
          <w:bCs/>
        </w:rPr>
        <w:t>统筹规划5G通用和专有行业领域频谱资源，为工业物联网、车联网等行业领域预留足够5G频谱资源。以运营商为建设运营主体，优先在产业基地、重点工业园区、重点高校、核心商圈等区域开展建设，形成预商用网络，进行基于5G网络的VR/AR、MEC云技术、无人驾驶、工业互联等应用验证。打造“绿色5G”，积极采用新型绿色节能供电技术，降低5G网络基站能耗，在加强5G网络供电保障的同时，构建绿色、节能和可持续发展的新型通信网络。结合物联网技术开展逐步进行物联感知建设，推动5G技术在教育、医疗、交通等方面的应用。</w:t>
      </w:r>
    </w:p>
    <w:bookmarkEnd w:id="43"/>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构建区块链基础设施</w:t>
      </w:r>
    </w:p>
    <w:p>
      <w:pPr>
        <w:spacing w:line="360" w:lineRule="auto"/>
        <w:ind w:firstLine="480" w:firstLineChars="200"/>
        <w:jc w:val="both"/>
        <w:rPr>
          <w:rFonts w:ascii="Arial" w:hAnsi="Arial" w:eastAsia="仿宋" w:cs="Arial"/>
          <w:bCs/>
        </w:rPr>
      </w:pPr>
      <w:r>
        <w:rPr>
          <w:rFonts w:ascii="Arial" w:hAnsi="Arial" w:eastAsia="仿宋" w:cs="Arial"/>
          <w:bCs/>
        </w:rPr>
        <w:t>打造望城特色“智信、智管、智理”区块链应用服务生态。面向全区政务系统区块链应用需求，依托电子政务外网，建设内外互通、资源共享的区块链政务服务网络，提升区块链政务应用支撑能力，实现政务数据跨部门、跨系统共同维护和利用。</w:t>
      </w:r>
    </w:p>
    <w:p>
      <w:pPr>
        <w:spacing w:line="360" w:lineRule="auto"/>
        <w:ind w:firstLine="480" w:firstLineChars="200"/>
        <w:jc w:val="both"/>
        <w:rPr>
          <w:rFonts w:ascii="Arial" w:hAnsi="Arial" w:eastAsia="仿宋" w:cs="Arial"/>
          <w:bCs/>
        </w:rPr>
      </w:pPr>
      <w:r>
        <w:rPr>
          <w:rFonts w:ascii="Arial" w:hAnsi="Arial" w:eastAsia="仿宋" w:cs="Arial"/>
          <w:bCs/>
        </w:rPr>
        <w:t>建设运营集中化、操作规范化、管理可视化的区块链能力平台，实现对区块链政府服务网络节点、用户、应用的集中管理与一体化运营，打造赋能现代化治理体系的价值网。统一区块链数据标准、管理规范和操作规则，对区块链应用、资源、用户进行集中管理与穿透式监管，实现要素数据化、数据可视化、视图动态化。</w:t>
      </w:r>
    </w:p>
    <w:p>
      <w:pPr>
        <w:spacing w:line="360" w:lineRule="auto"/>
        <w:ind w:firstLine="480" w:firstLineChars="200"/>
        <w:jc w:val="both"/>
        <w:rPr>
          <w:rFonts w:ascii="Arial" w:hAnsi="Arial" w:eastAsia="仿宋" w:cs="Arial"/>
          <w:bCs/>
        </w:rPr>
      </w:pPr>
      <w:r>
        <w:rPr>
          <w:rFonts w:ascii="Arial" w:hAnsi="Arial" w:eastAsia="仿宋" w:cs="Arial"/>
          <w:bCs/>
        </w:rPr>
        <w:t>强化应用管理能力建设，加强区块链政务专网公共节点的接入管理、用户和权限管理、专网内应用的管理、CA证书管理、预置应用管理以及运行监控和统计分析，推动区块链智能合约部署和更新、网络运行状态实时监控、服务资源动态分配和相关运行数据的高效采集。</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加快部署智能交通基础设施</w:t>
      </w:r>
    </w:p>
    <w:p>
      <w:pPr>
        <w:spacing w:line="360" w:lineRule="auto"/>
        <w:ind w:firstLine="480" w:firstLineChars="200"/>
        <w:jc w:val="both"/>
        <w:rPr>
          <w:rFonts w:ascii="Arial" w:hAnsi="Arial" w:eastAsia="仿宋" w:cs="Arial"/>
          <w:bCs/>
        </w:rPr>
      </w:pPr>
      <w:r>
        <w:rPr>
          <w:rFonts w:ascii="Arial" w:hAnsi="Arial" w:eastAsia="仿宋" w:cs="Arial"/>
          <w:bCs/>
        </w:rPr>
        <w:t>推进道路设施数字化改造，加快交通信号灯、交通电子标识等交通标志标识、交通管理信息、道路感知系统的智能化升级和改造，加快桥梁、隧道等道路关键节点窄带物联网（NB-IOT）等网络部署。推动LTE网络升级与部署，在高速公路及重点区域部署5G、C-V2X网络，提供超低时延、超高可靠、超大带宽的5G-V2X车路协同网络，构建高级别“人、车、路、云”融合协同的自动驾驶环境。搭建基于5G技术的智能网联云控平台，与智能网联交通大脑连接，支持高级别自动驾驶实时协同感知与控制，服务区级交通管理调度。</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打造智慧能源新基建</w:t>
      </w:r>
    </w:p>
    <w:p>
      <w:pPr>
        <w:spacing w:line="360" w:lineRule="auto"/>
        <w:ind w:firstLine="480" w:firstLineChars="200"/>
        <w:jc w:val="both"/>
        <w:rPr>
          <w:rFonts w:ascii="Arial" w:hAnsi="Arial" w:eastAsia="仿宋" w:cs="Arial"/>
          <w:bCs/>
        </w:rPr>
      </w:pPr>
      <w:r>
        <w:rPr>
          <w:rFonts w:ascii="Arial" w:hAnsi="Arial" w:eastAsia="仿宋" w:cs="Arial"/>
          <w:bCs/>
        </w:rPr>
        <w:t>以坚强智能电网和泛在电力物联网为支撑，构建“源、网、荷、储”各环节高度协调，生产和消费双向互动，集中与分布相结合的能源服务网络。推进电力设施智能化改造，加快城市变电站改造，依托变电站重要能源物理节点，推进变电站、5G基站、边缘数据中心站、储能站、充换电站等多站融合建设，打造“多站合一”的电力综合体。构建城市能源综合利用的监测预警和管控平台，为电、油、气及新能源等供需两侧足量、持续、清洁、高效提供智能分析和综合调节支撑，提高城市能源综合利用的智能、绿色、经济、安全水平。</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智慧灯杆试点</w:t>
      </w:r>
    </w:p>
    <w:p>
      <w:pPr>
        <w:spacing w:line="360" w:lineRule="auto"/>
        <w:ind w:firstLine="480" w:firstLineChars="200"/>
        <w:jc w:val="both"/>
        <w:rPr>
          <w:rFonts w:ascii="Arial" w:hAnsi="Arial" w:eastAsia="仿宋" w:cs="Arial"/>
          <w:bCs/>
        </w:rPr>
      </w:pPr>
      <w:r>
        <w:rPr>
          <w:rFonts w:ascii="Arial" w:hAnsi="Arial" w:eastAsia="仿宋" w:cs="Arial"/>
          <w:bCs/>
        </w:rPr>
        <w:t>通过集成城市传感器、WiFi/微基站、监控、智能充电等功能，实现根据车流量自动调节亮度、远程照明控制、故障主动报警、灯具线缆防盗、远程抄表等功能，有效控制能源消耗，提升公共照明管理水平，降低维护和管理成本，并利用信息处理技术对海量感知信息进行处理和分析，对包括民生、环境、公共安全等在内的各种需求做出智能化响应和智能化决策支持。</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智慧照明系统</w:t>
      </w:r>
    </w:p>
    <w:p>
      <w:pPr>
        <w:spacing w:line="360" w:lineRule="auto"/>
        <w:ind w:firstLine="480" w:firstLineChars="200"/>
        <w:jc w:val="both"/>
        <w:rPr>
          <w:rFonts w:ascii="Arial" w:hAnsi="Arial" w:eastAsia="仿宋" w:cs="Arial"/>
          <w:bCs/>
        </w:rPr>
      </w:pPr>
      <w:r>
        <w:rPr>
          <w:rFonts w:ascii="Arial" w:hAnsi="Arial" w:eastAsia="仿宋" w:cs="Arial"/>
          <w:bCs/>
        </w:rPr>
        <w:t>将路灯管理所路灯智能控制终端迁入指挥中心统一监控，实现数据共享，系统发现异常直接发送信息给维护人员。研究接入单灯控制系统。</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构建统一的人工智能平台</w:t>
      </w:r>
    </w:p>
    <w:p>
      <w:pPr>
        <w:spacing w:line="360" w:lineRule="auto"/>
        <w:ind w:firstLine="480" w:firstLineChars="200"/>
        <w:jc w:val="both"/>
        <w:rPr>
          <w:rFonts w:ascii="Arial" w:hAnsi="Arial" w:eastAsia="仿宋" w:cs="Arial"/>
          <w:bCs/>
        </w:rPr>
      </w:pPr>
      <w:r>
        <w:rPr>
          <w:rFonts w:ascii="Arial" w:hAnsi="Arial" w:eastAsia="仿宋" w:cs="Arial"/>
        </w:rPr>
        <w:t>基于各领域业务经验、领域知识、标准案例和应用场景等，梳理共性人工智能能力需求，在智慧城市运营中心IOC建设的基础上，</w:t>
      </w:r>
      <w:r>
        <w:rPr>
          <w:rFonts w:ascii="Arial" w:hAnsi="Arial" w:eastAsia="仿宋" w:cs="Arial"/>
          <w:bCs/>
        </w:rPr>
        <w:t>建设人工智能平台。</w:t>
      </w:r>
      <w:r>
        <w:rPr>
          <w:rFonts w:ascii="Arial" w:hAnsi="Arial" w:eastAsia="仿宋" w:cs="Arial"/>
        </w:rPr>
        <w:t>汇聚相关视频识别、图像识别、文字分析识别、语音处理、语言处理等人工智能算法与工具，建成集感知智能、决策智能、认知智能和行为智能于一体的人工智能共性能力平台，为各部门人工智能应用提供平台、工具以及资源等服务。</w:t>
      </w:r>
    </w:p>
    <w:p>
      <w:pPr>
        <w:spacing w:line="360" w:lineRule="auto"/>
        <w:ind w:firstLine="480" w:firstLineChars="200"/>
        <w:jc w:val="both"/>
        <w:rPr>
          <w:rFonts w:ascii="Arial" w:hAnsi="Arial" w:eastAsia="仿宋" w:cs="Arial"/>
        </w:rPr>
      </w:pPr>
      <w:r>
        <w:rPr>
          <w:rFonts w:ascii="Arial" w:hAnsi="Arial" w:eastAsia="仿宋" w:cs="Arial"/>
        </w:rPr>
        <w:t>通过统一开发部署和授权调用，提供机器学习、知识图谱等常用算法调用服务和第三方算法调用接口服务，降低各领域应用人工智能技术的创新成本。建设AI训练和竞赛平台，</w:t>
      </w:r>
      <w:r>
        <w:rPr>
          <w:rFonts w:ascii="Arial" w:hAnsi="Arial" w:eastAsia="仿宋" w:cs="Arial"/>
          <w:bCs/>
        </w:rPr>
        <w:t>为各部门提供数据分析建模服务</w:t>
      </w:r>
      <w:r>
        <w:rPr>
          <w:rFonts w:ascii="Arial" w:hAnsi="Arial" w:eastAsia="仿宋" w:cs="Arial"/>
        </w:rPr>
        <w:t>，为社区综合管理和服务优化提供智能支撑，结合数据开放活动，举办AI能力大赛，提升人工智能应用水平。</w:t>
      </w:r>
    </w:p>
    <w:p>
      <w:pPr>
        <w:spacing w:line="360" w:lineRule="auto"/>
        <w:ind w:firstLine="480" w:firstLineChars="200"/>
        <w:jc w:val="both"/>
        <w:rPr>
          <w:rFonts w:ascii="Arial" w:hAnsi="Arial" w:eastAsia="仿宋" w:cs="Arial"/>
          <w:bCs/>
        </w:rPr>
      </w:pPr>
      <w:r>
        <w:rPr>
          <w:rFonts w:ascii="Arial" w:hAnsi="Arial" w:eastAsia="仿宋" w:cs="Arial"/>
          <w:bCs/>
        </w:rPr>
        <w:t>提供国有自主产权AI芯片、训练和推理框架、AI开发平台、应用使能（文字识别服务、视频分析服务、人脸识别服务、自然语言处理服务等），聚合各厂商AI技术，提供全方位的人工智能能力，降低人工智能开发难度，加速人工智能应用和推广。可面向AI+政务服务、AI+交通、AI+公安、AI+教育等领域，开展人工智能应用创新试点。</w:t>
      </w:r>
    </w:p>
    <w:p>
      <w:pPr>
        <w:spacing w:line="360" w:lineRule="auto"/>
        <w:ind w:firstLine="480" w:firstLineChars="200"/>
        <w:jc w:val="both"/>
        <w:rPr>
          <w:rFonts w:ascii="Arial" w:hAnsi="Arial" w:eastAsia="仿宋" w:cs="Arial"/>
          <w:bCs/>
        </w:rPr>
      </w:pPr>
      <w:r>
        <w:rPr>
          <w:rFonts w:ascii="Arial" w:hAnsi="Arial" w:eastAsia="仿宋" w:cs="Arial"/>
          <w:bCs/>
        </w:rPr>
        <w:t>将人工智能与视频分析结合起来应用到城市管理实战，尤其是对重点场所视频图像中常发、多发及严重事件的智能分析，直接决定了应急指挥、日常态事件管理等实战应用的效果。</w:t>
      </w:r>
    </w:p>
    <w:p>
      <w:pPr>
        <w:pStyle w:val="63"/>
        <w:numPr>
          <w:ilvl w:val="0"/>
          <w:numId w:val="16"/>
        </w:numPr>
        <w:spacing w:line="360" w:lineRule="auto"/>
        <w:ind w:firstLineChars="0"/>
        <w:rPr>
          <w:rFonts w:ascii="Arial" w:hAnsi="Arial" w:eastAsia="仿宋" w:cs="Arial"/>
          <w:b/>
          <w:bCs/>
          <w:sz w:val="24"/>
          <w:szCs w:val="24"/>
        </w:rPr>
      </w:pPr>
      <w:r>
        <w:rPr>
          <w:rFonts w:ascii="Arial" w:hAnsi="Arial" w:eastAsia="仿宋" w:cs="Arial"/>
          <w:b/>
          <w:bCs/>
          <w:sz w:val="24"/>
          <w:szCs w:val="24"/>
        </w:rPr>
        <w:t>构建统一的物联网管理平台</w:t>
      </w:r>
    </w:p>
    <w:p>
      <w:pPr>
        <w:spacing w:line="360" w:lineRule="auto"/>
        <w:ind w:firstLine="480" w:firstLineChars="200"/>
        <w:jc w:val="both"/>
        <w:rPr>
          <w:rFonts w:ascii="Arial" w:hAnsi="Arial" w:eastAsia="仿宋" w:cs="Arial"/>
          <w:bCs/>
        </w:rPr>
      </w:pPr>
      <w:r>
        <w:rPr>
          <w:rFonts w:ascii="Arial" w:hAnsi="Arial" w:eastAsia="仿宋" w:cs="Arial"/>
          <w:bCs/>
        </w:rPr>
        <w:t>建立由末端海量传感器、物联网传输网络、后端物理网平台构成的统一城市级物联网感知网，通过物理网平台的亿级容量、百万并发的特性，实现城市各物联系统从底层数据采集、设备全生命周期管理、数据传输、大数据分析等各环节的规范运作和高效处理。</w:t>
      </w:r>
    </w:p>
    <w:p>
      <w:pPr>
        <w:spacing w:line="360" w:lineRule="auto"/>
        <w:ind w:firstLine="480" w:firstLineChars="200"/>
        <w:jc w:val="both"/>
        <w:rPr>
          <w:rFonts w:ascii="Arial" w:hAnsi="Arial" w:eastAsia="仿宋" w:cs="Arial"/>
          <w:bCs/>
        </w:rPr>
      </w:pPr>
      <w:r>
        <w:rPr>
          <w:rFonts w:ascii="Arial" w:hAnsi="Arial" w:eastAsia="仿宋" w:cs="Arial"/>
          <w:bCs/>
        </w:rPr>
        <w:t>物联网管理平台包含设备管理，连接管理，感知数据管理，业务支撑，综合服务，安全管理及系统管理七大功能块，另外在设备感知层，物联网管理平台提供一系列软件SDK可供感知设备或网关集成，从而实现终端设备快速接入物联网管理平台。</w:t>
      </w:r>
    </w:p>
    <w:p>
      <w:pPr>
        <w:pStyle w:val="3"/>
        <w:ind w:left="482" w:hanging="482" w:hangingChars="200"/>
        <w:rPr>
          <w:rFonts w:ascii="Arial" w:hAnsi="Arial" w:eastAsia="仿宋" w:cs="Arial"/>
          <w:sz w:val="24"/>
          <w:szCs w:val="24"/>
        </w:rPr>
      </w:pPr>
      <w:bookmarkStart w:id="44" w:name="_Toc78041436"/>
      <w:bookmarkStart w:id="45" w:name="_Hlk66879040"/>
      <w:r>
        <w:rPr>
          <w:rFonts w:ascii="Arial" w:hAnsi="Arial" w:eastAsia="仿宋" w:cs="Arial"/>
          <w:sz w:val="24"/>
          <w:szCs w:val="24"/>
        </w:rPr>
        <w:t>智慧城市运营中心(IOC)</w:t>
      </w:r>
      <w:bookmarkEnd w:id="44"/>
    </w:p>
    <w:bookmarkEnd w:id="45"/>
    <w:p>
      <w:pPr>
        <w:spacing w:line="360" w:lineRule="auto"/>
        <w:ind w:firstLine="480" w:firstLineChars="200"/>
        <w:jc w:val="both"/>
        <w:rPr>
          <w:rFonts w:ascii="Arial" w:hAnsi="Arial" w:eastAsia="仿宋" w:cs="Arial"/>
        </w:rPr>
      </w:pPr>
      <w:bookmarkStart w:id="46" w:name="_Hlk66879564"/>
      <w:r>
        <w:rPr>
          <w:rFonts w:ascii="Arial" w:hAnsi="Arial" w:eastAsia="仿宋" w:cs="Arial"/>
        </w:rPr>
        <w:t>提升智慧城市运营中心IOC对市政设施、人口、交通、环境、安全应急等重点领域运行状况的全面感知和精准管控能力，</w:t>
      </w:r>
      <w:r>
        <w:rPr>
          <w:rFonts w:ascii="Arial" w:hAnsi="Arial" w:eastAsia="仿宋" w:cs="Arial"/>
          <w:bCs/>
        </w:rPr>
        <w:t>多维度搜集城市数据</w:t>
      </w:r>
      <w:r>
        <w:rPr>
          <w:rFonts w:ascii="Arial" w:hAnsi="Arial" w:eastAsia="仿宋" w:cs="Arial"/>
        </w:rPr>
        <w:t>，推动城市资源数字化，全方位掌握城市运行状况，设定预防预案，智能处理城市运行中可能出现的各类突发事件。构建城市智慧协同管理体系，助推城市监测预警、联动应急指挥体系的完善。</w:t>
      </w:r>
    </w:p>
    <w:p>
      <w:pPr>
        <w:spacing w:line="360" w:lineRule="auto"/>
        <w:ind w:firstLine="480" w:firstLineChars="200"/>
        <w:jc w:val="both"/>
        <w:rPr>
          <w:rFonts w:ascii="Arial" w:hAnsi="Arial" w:eastAsia="仿宋" w:cs="Arial"/>
        </w:rPr>
      </w:pPr>
      <w:r>
        <w:rPr>
          <w:rFonts w:ascii="Arial" w:hAnsi="Arial" w:eastAsia="仿宋" w:cs="Arial"/>
        </w:rPr>
        <w:t>推动建设望城区城市智慧大脑的数据中台、应用中台、AI中台，构建全区共建共享共用的数据资源体系和应用支撑体系，打造全</w:t>
      </w:r>
      <w:r>
        <w:rPr>
          <w:rFonts w:ascii="Arial" w:hAnsi="Arial" w:eastAsia="仿宋" w:cs="Arial"/>
          <w:color w:val="000000"/>
        </w:rPr>
        <w:t>区</w:t>
      </w:r>
      <w:r>
        <w:rPr>
          <w:rFonts w:ascii="Arial" w:hAnsi="Arial" w:eastAsia="仿宋" w:cs="Arial"/>
        </w:rPr>
        <w:t>一脑通用的智能中枢，提升城市治理的科学化和精细化。强化望城区的数据资源治理，规范政务数据权属责任、交互机制和共享要求，创新数据网格采集机制，打造城市数字孪生体，丰富城市智慧大脑应用。</w:t>
      </w:r>
    </w:p>
    <w:p>
      <w:pPr>
        <w:spacing w:line="360" w:lineRule="auto"/>
        <w:ind w:firstLine="480" w:firstLineChars="200"/>
        <w:jc w:val="both"/>
        <w:rPr>
          <w:rFonts w:ascii="Arial" w:hAnsi="Arial" w:eastAsia="仿宋" w:cs="Arial"/>
        </w:rPr>
      </w:pPr>
      <w:r>
        <w:rPr>
          <w:rFonts w:ascii="Arial" w:hAnsi="Arial" w:eastAsia="仿宋" w:cs="Arial"/>
        </w:rPr>
        <w:t>通过纳入长沙市统一运管、统一运维、统一云管和统一网管平台，逐步实现对既有计算存储资源和网络资源的弹性调度、优化布局和有效利用。</w:t>
      </w:r>
    </w:p>
    <w:p>
      <w:pPr>
        <w:pStyle w:val="63"/>
        <w:numPr>
          <w:ilvl w:val="0"/>
          <w:numId w:val="17"/>
        </w:numPr>
        <w:spacing w:line="360" w:lineRule="auto"/>
        <w:ind w:firstLineChars="0"/>
        <w:rPr>
          <w:rFonts w:ascii="Arial" w:hAnsi="Arial" w:eastAsia="仿宋" w:cs="Arial"/>
          <w:b/>
          <w:sz w:val="24"/>
          <w:szCs w:val="24"/>
        </w:rPr>
      </w:pPr>
      <w:r>
        <w:rPr>
          <w:rFonts w:ascii="Arial" w:hAnsi="Arial" w:eastAsia="仿宋" w:cs="Arial"/>
          <w:b/>
          <w:sz w:val="24"/>
          <w:szCs w:val="24"/>
        </w:rPr>
        <w:t>建设人工智能和IOC主题分析平台</w:t>
      </w:r>
    </w:p>
    <w:p>
      <w:pPr>
        <w:spacing w:line="360" w:lineRule="auto"/>
        <w:ind w:firstLine="480" w:firstLineChars="200"/>
        <w:jc w:val="both"/>
        <w:rPr>
          <w:rFonts w:ascii="Arial" w:hAnsi="Arial" w:eastAsia="仿宋" w:cs="Arial"/>
        </w:rPr>
      </w:pPr>
      <w:r>
        <w:rPr>
          <w:rFonts w:ascii="Arial" w:hAnsi="Arial" w:eastAsia="仿宋" w:cs="Arial"/>
        </w:rPr>
        <w:t>结合视频云平台和各应用场景主题库数据分析、视频影像事件分析、AI人工智能大数据及算法等建设，建成人工智能和IOC</w:t>
      </w:r>
      <w:r>
        <w:rPr>
          <w:rFonts w:ascii="Arial" w:hAnsi="Arial" w:eastAsia="仿宋" w:cs="Arial"/>
          <w:bCs/>
        </w:rPr>
        <w:t>主题分析决策平台</w:t>
      </w:r>
      <w:r>
        <w:rPr>
          <w:rFonts w:ascii="Arial" w:hAnsi="Arial" w:eastAsia="仿宋" w:cs="Arial"/>
        </w:rPr>
        <w:t>，实现区社会治理数据赋能和决策分析预警感知，为区委区政府及各部门提供辅助决策和分析服务。</w:t>
      </w:r>
    </w:p>
    <w:p>
      <w:pPr>
        <w:pStyle w:val="63"/>
        <w:numPr>
          <w:ilvl w:val="0"/>
          <w:numId w:val="17"/>
        </w:numPr>
        <w:spacing w:line="360" w:lineRule="auto"/>
        <w:ind w:firstLineChars="0"/>
        <w:rPr>
          <w:rFonts w:ascii="Arial" w:hAnsi="Arial" w:eastAsia="仿宋" w:cs="Arial"/>
          <w:b/>
          <w:sz w:val="24"/>
          <w:szCs w:val="24"/>
        </w:rPr>
      </w:pPr>
      <w:r>
        <w:rPr>
          <w:rFonts w:ascii="Arial" w:hAnsi="Arial" w:eastAsia="仿宋" w:cs="Arial"/>
          <w:b/>
          <w:sz w:val="24"/>
          <w:szCs w:val="24"/>
        </w:rPr>
        <w:t>鲲鹏云时空信息平台升级</w:t>
      </w:r>
    </w:p>
    <w:p>
      <w:pPr>
        <w:spacing w:line="360" w:lineRule="auto"/>
        <w:ind w:firstLine="480" w:firstLineChars="200"/>
        <w:jc w:val="both"/>
        <w:rPr>
          <w:rFonts w:ascii="Arial" w:hAnsi="Arial" w:eastAsia="仿宋" w:cs="Arial"/>
        </w:rPr>
      </w:pPr>
      <w:r>
        <w:rPr>
          <w:rFonts w:ascii="Arial" w:hAnsi="Arial" w:eastAsia="仿宋" w:cs="Arial"/>
        </w:rPr>
        <w:t>时空信息平台GIS一张图更新，核心城区三维仿真城市建设。整合全区高精度遥感影像、管线专题、生态环境专题等多类地理空间数据，</w:t>
      </w:r>
      <w:r>
        <w:rPr>
          <w:rFonts w:ascii="Arial" w:hAnsi="Arial" w:eastAsia="仿宋" w:cs="Arial"/>
          <w:bCs/>
        </w:rPr>
        <w:t>实现各类数据与地图融合</w:t>
      </w:r>
      <w:r>
        <w:rPr>
          <w:rFonts w:ascii="Arial" w:hAnsi="Arial" w:eastAsia="仿宋" w:cs="Arial"/>
        </w:rPr>
        <w:t>，“一张图”汇聚、展现全区城市部件、交通管理、人口法人、视频资源等各类数据，形成城市治理动态感知、治理体系现代化迈向新台阶。</w:t>
      </w:r>
    </w:p>
    <w:bookmarkEnd w:id="46"/>
    <w:p>
      <w:pPr>
        <w:pStyle w:val="63"/>
        <w:numPr>
          <w:ilvl w:val="0"/>
          <w:numId w:val="17"/>
        </w:numPr>
        <w:spacing w:line="360" w:lineRule="auto"/>
        <w:ind w:firstLineChars="0"/>
        <w:rPr>
          <w:rFonts w:ascii="Arial" w:hAnsi="Arial" w:eastAsia="仿宋" w:cs="Arial"/>
          <w:b/>
          <w:sz w:val="24"/>
          <w:szCs w:val="24"/>
        </w:rPr>
      </w:pPr>
      <w:r>
        <w:rPr>
          <w:rFonts w:ascii="Arial" w:hAnsi="Arial" w:eastAsia="仿宋" w:cs="Arial"/>
          <w:b/>
          <w:sz w:val="24"/>
          <w:szCs w:val="24"/>
        </w:rPr>
        <w:t>深化数据资源汇聚共享提升数据融合处理能力</w:t>
      </w:r>
    </w:p>
    <w:p>
      <w:pPr>
        <w:spacing w:line="360" w:lineRule="auto"/>
        <w:ind w:firstLine="480" w:firstLineChars="200"/>
        <w:jc w:val="both"/>
        <w:rPr>
          <w:rFonts w:ascii="Arial" w:hAnsi="Arial" w:eastAsia="仿宋" w:cs="Arial"/>
        </w:rPr>
      </w:pPr>
      <w:r>
        <w:rPr>
          <w:rFonts w:ascii="Arial" w:hAnsi="Arial" w:eastAsia="仿宋" w:cs="Arial"/>
        </w:rPr>
        <w:t>规范数据资源采集，编制数据采集目录体系，建立“人、地、物、情、事、组织”社会治理等各类要素的数据采集标准，明确数据接口、格式及要求，确保一数一源，避免重复采集。依托长沙市物联网管理平台，推动各领域物联网数据采集与应用系统解耦，加快全区物联网感知终端的统筹部署、</w:t>
      </w:r>
      <w:r>
        <w:rPr>
          <w:rFonts w:ascii="Arial" w:hAnsi="Arial" w:eastAsia="仿宋" w:cs="Arial"/>
          <w:bCs/>
        </w:rPr>
        <w:t>统一接入与可视化管理</w:t>
      </w:r>
      <w:r>
        <w:rPr>
          <w:rFonts w:ascii="Arial" w:hAnsi="Arial" w:eastAsia="仿宋" w:cs="Arial"/>
        </w:rPr>
        <w:t>，实现物联感知数据的统一汇聚和按需共享。拓展数据资源采集渠道，鼓励企事业单位、行业协会、科研机构等市场主体，采用网络搜取、传感采集、自愿提供、有偿购买等方式，推动第三方社会数据有序汇聚。强化视频资源整合共享，依托望城城市视频云服务，推动各界视频资源的统一接入和按需共享。完善数据采集平台，加强数据采集、存储、分发管理，推动网格化数据、物联网数据、政务数据和第三方社会数据的适配接入和集中汇聚，打造一体化数据资源池。完善政府数据分类开放制度，制定数据开放进程和计划，在保护国家安全、公众权益的前提下，方便企业依法依规获取和利用数据。有序推动公共数据开放与增值化开发利用，探索数据贡献度与财政支出挂钩的“数据财政”模式，逐步形成政府数据开放共享促进地方财税收入增长的良性循环。</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完善数据资源中心建设和分级分类数据治理架构</w:t>
      </w:r>
    </w:p>
    <w:p>
      <w:pPr>
        <w:spacing w:line="360" w:lineRule="auto"/>
        <w:ind w:firstLine="480" w:firstLineChars="200"/>
        <w:jc w:val="both"/>
        <w:rPr>
          <w:rFonts w:ascii="Arial" w:hAnsi="Arial" w:eastAsia="仿宋" w:cs="Arial"/>
        </w:rPr>
      </w:pPr>
      <w:r>
        <w:rPr>
          <w:rFonts w:ascii="Arial" w:hAnsi="Arial" w:eastAsia="仿宋" w:cs="Arial"/>
        </w:rPr>
        <w:t>以望城区新型智慧城市数据共享交换体系为基础，建设数据湖、数据资源目录和数据中台，打造安全可靠、开放共享的城市数据资源体系，</w:t>
      </w:r>
      <w:r>
        <w:rPr>
          <w:rFonts w:ascii="Arial" w:hAnsi="Arial" w:eastAsia="仿宋" w:cs="Arial"/>
          <w:bCs/>
        </w:rPr>
        <w:t>通过统一的数据中台提供数据服务能力</w:t>
      </w:r>
      <w:r>
        <w:rPr>
          <w:rFonts w:ascii="Arial" w:hAnsi="Arial" w:eastAsia="仿宋" w:cs="Arial"/>
        </w:rPr>
        <w:t>，有效支撑各领域智慧化应用。</w:t>
      </w:r>
    </w:p>
    <w:p>
      <w:pPr>
        <w:spacing w:line="360" w:lineRule="auto"/>
        <w:ind w:firstLine="480" w:firstLineChars="200"/>
        <w:jc w:val="both"/>
        <w:rPr>
          <w:rFonts w:ascii="Arial" w:hAnsi="Arial" w:eastAsia="仿宋" w:cs="Arial"/>
        </w:rPr>
      </w:pPr>
      <w:r>
        <w:rPr>
          <w:rFonts w:ascii="Arial" w:hAnsi="Arial" w:eastAsia="仿宋" w:cs="Arial"/>
        </w:rPr>
        <w:t>完善通用引擎及服务支撑组件，丰富操作系统、中间件、数据库等基础服务支撑组件，引入微服务框架、视频云、物联网、区块链、</w:t>
      </w:r>
      <w:r>
        <w:rPr>
          <w:rFonts w:ascii="Arial" w:hAnsi="Arial" w:eastAsia="仿宋" w:cs="Arial"/>
          <w:bCs/>
        </w:rPr>
        <w:t>人工智能技术等新技术</w:t>
      </w:r>
      <w:r>
        <w:rPr>
          <w:rFonts w:ascii="Arial" w:hAnsi="Arial" w:eastAsia="仿宋" w:cs="Arial"/>
        </w:rPr>
        <w:t>，构建人工智能应用场景，打造为各应用赋予AI能力的AI数据中台，提升大数据基础平台支撑能力，构建智能分析平台，并通过建立完善的数据治理体系，充分整合全区范围内政务信息资源、有效统筹部分社会数据资源，强化基础库建设、丰富主题库建设，逐步构建全区统一的数据资源与资产管理中心。</w:t>
      </w:r>
    </w:p>
    <w:p>
      <w:pPr>
        <w:spacing w:line="360" w:lineRule="auto"/>
        <w:ind w:firstLine="480" w:firstLineChars="200"/>
        <w:jc w:val="both"/>
        <w:rPr>
          <w:rFonts w:ascii="Arial" w:hAnsi="Arial" w:eastAsia="仿宋" w:cs="Arial"/>
        </w:rPr>
      </w:pPr>
      <w:r>
        <w:rPr>
          <w:rFonts w:ascii="Arial" w:hAnsi="Arial" w:eastAsia="仿宋" w:cs="Arial"/>
        </w:rPr>
        <w:t>打通数据汇聚、存储、处理、共享、开放的治理环节，支撑行政许可事项办理提升跨部门业务协同的工作效率，</w:t>
      </w:r>
      <w:r>
        <w:rPr>
          <w:rFonts w:ascii="Arial" w:hAnsi="Arial" w:eastAsia="仿宋" w:cs="Arial"/>
          <w:bCs/>
        </w:rPr>
        <w:t>扩大部门间数据共享满足局委办数据分析应用需求</w:t>
      </w:r>
      <w:r>
        <w:rPr>
          <w:rFonts w:ascii="Arial" w:hAnsi="Arial" w:eastAsia="仿宋" w:cs="Arial"/>
        </w:rPr>
        <w:t>，开展跨部门、综合性大数据分析应用提升城市治理水平。完善政企数据采集存储、质量控制、互联互通、隐私保护等方面的管理制度和机制建设，加强数据安全管理的评估考核和风险防控。制定数据安全应急预案，构建数据安全管理制度，建立数据安全技术保障体系，加强技术保障。</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建立数据管理工作体系</w:t>
      </w:r>
    </w:p>
    <w:p>
      <w:pPr>
        <w:spacing w:line="360" w:lineRule="auto"/>
        <w:ind w:firstLine="480" w:firstLineChars="200"/>
        <w:jc w:val="both"/>
        <w:rPr>
          <w:rFonts w:ascii="Arial" w:hAnsi="Arial" w:eastAsia="仿宋" w:cs="Arial"/>
        </w:rPr>
      </w:pPr>
      <w:r>
        <w:rPr>
          <w:rFonts w:ascii="Arial" w:hAnsi="Arial" w:eastAsia="仿宋" w:cs="Arial"/>
        </w:rPr>
        <w:t>高位统筹全区数据资源管理工作，规范化推动数据资产、治理、质量、共享、分析、运维、开放、安全管理建设。按照全球位置编码标准采集数据，推动数据资源向大数据平台的数据采集平台归集。完善数据资源管理办法，制定适用于大数据环境下的数据管理政策规范和标准体系，</w:t>
      </w:r>
      <w:r>
        <w:rPr>
          <w:rFonts w:ascii="Arial" w:hAnsi="Arial" w:eastAsia="仿宋" w:cs="Arial"/>
          <w:bCs/>
        </w:rPr>
        <w:t>保证数据在统一的框架下有序流动</w:t>
      </w:r>
      <w:r>
        <w:rPr>
          <w:rFonts w:ascii="Arial" w:hAnsi="Arial" w:eastAsia="仿宋" w:cs="Arial"/>
        </w:rPr>
        <w:t>。分行业制定数据分级分类管理办法，指导企业提升数据管理能力，促进社会数据的共享、流动与使用。建立数据资源采集、存储、汇聚、整合、维护更新管理规范与标准制度，据此统筹归集各单位政务数据资源，推动政府数据高效管理和开放共享。通过政府主导和公司专业化运作，由新型智慧城市建设运营专业公司对政务数据进行整体开发利用，推动大数据与社会治理、民生服务、</w:t>
      </w:r>
      <w:r>
        <w:rPr>
          <w:rFonts w:ascii="Arial" w:hAnsi="Arial" w:eastAsia="仿宋" w:cs="Arial"/>
          <w:bCs/>
        </w:rPr>
        <w:t>产业发展深度融合</w:t>
      </w:r>
      <w:r>
        <w:rPr>
          <w:rFonts w:ascii="Arial" w:hAnsi="Arial" w:eastAsia="仿宋" w:cs="Arial"/>
        </w:rPr>
        <w:t>，以政务数据资源的分析应用带动社会数据资源和其他数据资源的汇聚，探索数据生产、数据管理、数据分析等各方共赢的商业模式。</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存量系统逐步迁移上云</w:t>
      </w:r>
    </w:p>
    <w:p>
      <w:pPr>
        <w:spacing w:line="360" w:lineRule="auto"/>
        <w:ind w:firstLine="480" w:firstLineChars="200"/>
        <w:jc w:val="both"/>
        <w:rPr>
          <w:rFonts w:ascii="Arial" w:hAnsi="Arial" w:eastAsia="仿宋" w:cs="Arial"/>
        </w:rPr>
      </w:pPr>
      <w:r>
        <w:rPr>
          <w:rFonts w:ascii="Arial" w:hAnsi="Arial" w:eastAsia="仿宋" w:cs="Arial"/>
          <w:kern w:val="2"/>
        </w:rPr>
        <w:t>积极推进</w:t>
      </w:r>
      <w:r>
        <w:rPr>
          <w:rFonts w:ascii="Arial" w:hAnsi="Arial" w:eastAsia="仿宋" w:cs="Arial"/>
        </w:rPr>
        <w:t>存量</w:t>
      </w:r>
      <w:r>
        <w:rPr>
          <w:rFonts w:ascii="Arial" w:hAnsi="Arial" w:eastAsia="仿宋" w:cs="Arial"/>
          <w:kern w:val="2"/>
        </w:rPr>
        <w:t>业务系统向</w:t>
      </w:r>
      <w:r>
        <w:rPr>
          <w:rFonts w:ascii="Arial" w:hAnsi="Arial" w:eastAsia="仿宋" w:cs="Arial"/>
        </w:rPr>
        <w:t>鲲鹏</w:t>
      </w:r>
      <w:r>
        <w:rPr>
          <w:rFonts w:ascii="Arial" w:hAnsi="Arial" w:eastAsia="仿宋" w:cs="Arial"/>
          <w:kern w:val="2"/>
        </w:rPr>
        <w:t>云平台</w:t>
      </w:r>
      <w:r>
        <w:rPr>
          <w:rFonts w:ascii="Arial" w:hAnsi="Arial" w:eastAsia="仿宋" w:cs="Arial"/>
        </w:rPr>
        <w:t>进行</w:t>
      </w:r>
      <w:r>
        <w:rPr>
          <w:rFonts w:ascii="Arial" w:hAnsi="Arial" w:eastAsia="仿宋" w:cs="Arial"/>
          <w:kern w:val="2"/>
        </w:rPr>
        <w:t>迁移</w:t>
      </w:r>
      <w:r>
        <w:rPr>
          <w:rFonts w:ascii="Arial" w:hAnsi="Arial" w:eastAsia="仿宋" w:cs="Arial"/>
        </w:rPr>
        <w:t>，按照“先易后难”的迁移原则，</w:t>
      </w:r>
      <w:r>
        <w:rPr>
          <w:rFonts w:ascii="Arial" w:hAnsi="Arial" w:eastAsia="仿宋" w:cs="Arial"/>
          <w:kern w:val="2"/>
        </w:rPr>
        <w:t>对现有业务系统按照业务影响范围、数据重要性、业务连续性等维度，</w:t>
      </w:r>
      <w:r>
        <w:rPr>
          <w:rFonts w:ascii="Arial" w:hAnsi="Arial" w:eastAsia="仿宋" w:cs="Arial"/>
          <w:bCs/>
        </w:rPr>
        <w:t>进行评估与等级划分</w:t>
      </w:r>
      <w:r>
        <w:rPr>
          <w:rFonts w:ascii="Arial" w:hAnsi="Arial" w:eastAsia="仿宋" w:cs="Arial"/>
          <w:kern w:val="2"/>
        </w:rPr>
        <w:t>，制定详细的迁移方案，逐步将可迁移的业务系统移植到</w:t>
      </w:r>
      <w:r>
        <w:rPr>
          <w:rFonts w:ascii="Arial" w:hAnsi="Arial" w:eastAsia="仿宋" w:cs="Arial"/>
        </w:rPr>
        <w:t>鲲鹏</w:t>
      </w:r>
      <w:r>
        <w:rPr>
          <w:rFonts w:ascii="Arial" w:hAnsi="Arial" w:eastAsia="仿宋" w:cs="Arial"/>
          <w:kern w:val="2"/>
        </w:rPr>
        <w:t>云平台</w:t>
      </w:r>
      <w:r>
        <w:rPr>
          <w:rFonts w:ascii="Arial" w:hAnsi="Arial" w:eastAsia="仿宋" w:cs="Arial"/>
        </w:rPr>
        <w:t>，实现重点领域政务信息资源多级互联、数据共享交换、共享共用与业务协同应用与城市管理、民生服务、经济运行等各方面信息的汇聚互联共享。</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提升共性业务支撑能力</w:t>
      </w:r>
    </w:p>
    <w:p>
      <w:pPr>
        <w:spacing w:line="360" w:lineRule="auto"/>
        <w:ind w:firstLine="480" w:firstLineChars="200"/>
        <w:jc w:val="both"/>
        <w:rPr>
          <w:rFonts w:ascii="Arial" w:hAnsi="Arial" w:eastAsia="仿宋" w:cs="Arial"/>
        </w:rPr>
      </w:pPr>
      <w:r>
        <w:rPr>
          <w:rFonts w:ascii="Arial" w:hAnsi="Arial" w:eastAsia="仿宋" w:cs="Arial"/>
        </w:rPr>
        <w:t>围绕推动区各部门政务应用互联互通、信息共享和业务协同，梳理各智慧应用共性业务需求，建设业务支撑平台，提供电子签章、电子证明、电子签名、电子档案、消息推送、在线支付等标准化、统一化、共性化服务，</w:t>
      </w:r>
      <w:r>
        <w:rPr>
          <w:rFonts w:ascii="Arial" w:hAnsi="Arial" w:eastAsia="仿宋" w:cs="Arial"/>
          <w:bCs/>
        </w:rPr>
        <w:t>提高政务系统的共建共享水平</w:t>
      </w:r>
      <w:r>
        <w:rPr>
          <w:rFonts w:ascii="Arial" w:hAnsi="Arial" w:eastAsia="仿宋" w:cs="Arial"/>
        </w:rPr>
        <w:t>。加强应用服务供给，基于全区政务组织架构，通过工作流引擎建设应用能力编排平台，集成通用业务能力，推动社会公共服务能力的汇聚管理、资源匹配和高效对接，为各领域智慧应用提供接入和开放服务。强化应用运营服务，通过数据运营、用户运营和内容运营等，开展数据运营服务和运营管理服务，打造一站式运营服务体系。</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加强城市运行态势感知</w:t>
      </w:r>
    </w:p>
    <w:p>
      <w:pPr>
        <w:spacing w:line="360" w:lineRule="auto"/>
        <w:ind w:firstLine="480" w:firstLineChars="200"/>
        <w:jc w:val="both"/>
        <w:rPr>
          <w:rFonts w:ascii="Arial" w:hAnsi="Arial" w:eastAsia="仿宋" w:cs="Arial"/>
        </w:rPr>
      </w:pPr>
      <w:r>
        <w:rPr>
          <w:rFonts w:ascii="Arial" w:hAnsi="Arial" w:eastAsia="仿宋" w:cs="Arial"/>
        </w:rPr>
        <w:t>加强城市运行态势感知，依托智慧城市运营中心（IOC），推动物联网、业务部门、互联网等多维度数据汇聚、融合处理与挖掘分析，</w:t>
      </w:r>
      <w:r>
        <w:rPr>
          <w:rFonts w:ascii="Arial" w:hAnsi="Arial" w:eastAsia="仿宋" w:cs="Arial"/>
          <w:bCs/>
        </w:rPr>
        <w:t>统筹</w:t>
      </w:r>
      <w:r>
        <w:rPr>
          <w:rFonts w:ascii="Arial" w:hAnsi="Arial" w:eastAsia="仿宋" w:cs="Arial"/>
        </w:rPr>
        <w:t>交通运输、公共安全、政务服务、城市部件、环保气象、电力、水务、应急管理、医疗卫生、人口、经济运行等领域运行信息，</w:t>
      </w:r>
      <w:r>
        <w:rPr>
          <w:rFonts w:ascii="Arial" w:hAnsi="Arial" w:eastAsia="仿宋" w:cs="Arial"/>
          <w:bCs/>
        </w:rPr>
        <w:t>构建城市各领域运行状态监测指标体系</w:t>
      </w:r>
      <w:r>
        <w:rPr>
          <w:rFonts w:ascii="Arial" w:hAnsi="Arial" w:eastAsia="仿宋" w:cs="Arial"/>
        </w:rPr>
        <w:t>，通过BIM、GIS、3DGIS等技术，探索建立城市信息模型（CIM），实现全区各领域关键数据，以及人、物、事、信息的三维空间集中展示，形成“城市运行感知全景图”，提升城市运行的监管能力和水平。</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丰富智慧城市运营</w:t>
      </w:r>
      <w:r>
        <w:rPr>
          <w:rFonts w:ascii="Arial" w:hAnsi="Arial" w:eastAsia="仿宋" w:cs="Arial"/>
          <w:b/>
          <w:sz w:val="24"/>
          <w:szCs w:val="24"/>
        </w:rPr>
        <w:t>中心</w:t>
      </w:r>
      <w:r>
        <w:rPr>
          <w:rFonts w:ascii="Arial" w:hAnsi="Arial" w:eastAsia="仿宋" w:cs="Arial"/>
          <w:b/>
          <w:bCs/>
          <w:sz w:val="24"/>
          <w:szCs w:val="24"/>
        </w:rPr>
        <w:t>集成应用</w:t>
      </w:r>
    </w:p>
    <w:p>
      <w:pPr>
        <w:spacing w:line="360" w:lineRule="auto"/>
        <w:ind w:firstLine="480" w:firstLineChars="200"/>
        <w:jc w:val="both"/>
        <w:rPr>
          <w:rFonts w:ascii="Arial" w:hAnsi="Arial" w:eastAsia="仿宋" w:cs="Arial"/>
        </w:rPr>
      </w:pPr>
      <w:r>
        <w:rPr>
          <w:rFonts w:ascii="Arial" w:hAnsi="Arial" w:eastAsia="仿宋" w:cs="Arial"/>
        </w:rPr>
        <w:t>以智慧城市运营中心（IOC）应用带动平台系统建设，促进各部门、区县专用网络和业务系统连通、共享和整合，</w:t>
      </w:r>
      <w:r>
        <w:rPr>
          <w:rFonts w:ascii="Arial" w:hAnsi="Arial" w:eastAsia="仿宋" w:cs="Arial"/>
          <w:bCs/>
        </w:rPr>
        <w:t>推动业务流程优化和工作机制创新</w:t>
      </w:r>
      <w:r>
        <w:rPr>
          <w:rFonts w:ascii="Arial" w:hAnsi="Arial" w:eastAsia="仿宋" w:cs="Arial"/>
        </w:rPr>
        <w:t>。强化大脑赋能政务服务和城市治理应用，持续提升政务一体化平台效能，支撑交通物流、健康医疗、公共安全、智能网联、电力网联等重点领域治理能力升级。推进大脑全方位赋能经济、政治、文化、社会、生态文明等领域综合应用，形成对城市运行态势的即时感知、全局分析和智能处置。</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实现多级联动多端</w:t>
      </w:r>
      <w:r>
        <w:rPr>
          <w:rFonts w:ascii="Arial" w:hAnsi="Arial" w:eastAsia="仿宋" w:cs="Arial"/>
          <w:b/>
          <w:sz w:val="24"/>
          <w:szCs w:val="24"/>
        </w:rPr>
        <w:t>使用</w:t>
      </w:r>
    </w:p>
    <w:p>
      <w:pPr>
        <w:spacing w:line="360" w:lineRule="auto"/>
        <w:ind w:firstLine="480" w:firstLineChars="200"/>
        <w:jc w:val="both"/>
        <w:rPr>
          <w:rFonts w:ascii="Arial" w:hAnsi="Arial" w:eastAsia="仿宋" w:cs="Arial"/>
        </w:rPr>
      </w:pPr>
      <w:r>
        <w:rPr>
          <w:rFonts w:ascii="Arial" w:hAnsi="Arial" w:eastAsia="仿宋" w:cs="Arial"/>
        </w:rPr>
        <w:t>面向市、区县、街道等不同层级的城市管理者，提供定制化、个性化、可配置、可调整的决策辅助应用，</w:t>
      </w:r>
      <w:r>
        <w:rPr>
          <w:rFonts w:ascii="Arial" w:hAnsi="Arial" w:eastAsia="仿宋" w:cs="Arial"/>
          <w:bCs/>
        </w:rPr>
        <w:t>将城市管理者主管领域运行情况的数据进行抽取</w:t>
      </w:r>
      <w:r>
        <w:rPr>
          <w:rFonts w:ascii="Arial" w:hAnsi="Arial" w:eastAsia="仿宋" w:cs="Arial"/>
        </w:rPr>
        <w:t>、指标展示、定向预测，对相关主题事件和综合问题开展关联分析和演进分析，并实现自动化办公和决策辅助。</w:t>
      </w:r>
    </w:p>
    <w:p>
      <w:pPr>
        <w:pStyle w:val="63"/>
        <w:numPr>
          <w:ilvl w:val="0"/>
          <w:numId w:val="17"/>
        </w:numPr>
        <w:spacing w:line="360" w:lineRule="auto"/>
        <w:ind w:firstLineChars="0"/>
        <w:rPr>
          <w:rFonts w:ascii="Arial" w:hAnsi="Arial" w:eastAsia="仿宋" w:cs="Arial"/>
          <w:b/>
          <w:bCs/>
          <w:sz w:val="24"/>
          <w:szCs w:val="24"/>
        </w:rPr>
      </w:pPr>
      <w:r>
        <w:rPr>
          <w:rFonts w:ascii="Arial" w:hAnsi="Arial" w:eastAsia="仿宋" w:cs="Arial"/>
          <w:b/>
          <w:bCs/>
          <w:sz w:val="24"/>
          <w:szCs w:val="24"/>
        </w:rPr>
        <w:t>激发企业开放数据的积极性</w:t>
      </w:r>
    </w:p>
    <w:p>
      <w:pPr>
        <w:spacing w:line="360" w:lineRule="auto"/>
        <w:ind w:firstLine="480" w:firstLineChars="200"/>
        <w:jc w:val="both"/>
        <w:rPr>
          <w:rFonts w:ascii="Arial" w:hAnsi="Arial" w:eastAsia="仿宋" w:cs="Arial"/>
        </w:rPr>
      </w:pPr>
      <w:r>
        <w:rPr>
          <w:rFonts w:ascii="Arial" w:hAnsi="Arial" w:eastAsia="仿宋" w:cs="Arial"/>
        </w:rPr>
        <w:t>建立政府依法合规获取企业数据机制，明确政府使用企业数据的目的、方式与范围，规范政府使用企业数据行为。探索企业数据开放激励机制，将开放数据质量、贡献度等纳入企业数据开放评价体系，</w:t>
      </w:r>
      <w:r>
        <w:rPr>
          <w:rFonts w:ascii="Arial" w:hAnsi="Arial" w:eastAsia="仿宋" w:cs="Arial"/>
          <w:bCs/>
        </w:rPr>
        <w:t>对积极开放数据的企业给予税收抵扣政策</w:t>
      </w:r>
      <w:r>
        <w:rPr>
          <w:rFonts w:ascii="Arial" w:hAnsi="Arial" w:eastAsia="仿宋" w:cs="Arial"/>
        </w:rPr>
        <w:t>、对等开放高价值公共数据等方面的支持。建立数据共享监督与问责机制，鼓励公众参与，发挥社会主体的监督作用，切实保障企业权益。</w:t>
      </w:r>
    </w:p>
    <w:p>
      <w:pPr>
        <w:pStyle w:val="63"/>
        <w:numPr>
          <w:ilvl w:val="0"/>
          <w:numId w:val="17"/>
        </w:numPr>
        <w:spacing w:line="360" w:lineRule="auto"/>
        <w:ind w:firstLineChars="0"/>
        <w:rPr>
          <w:rFonts w:ascii="Arial" w:hAnsi="Arial" w:eastAsia="仿宋" w:cs="Arial"/>
          <w:b/>
          <w:sz w:val="24"/>
          <w:szCs w:val="24"/>
        </w:rPr>
      </w:pPr>
      <w:r>
        <w:rPr>
          <w:rFonts w:ascii="Arial" w:hAnsi="Arial" w:eastAsia="仿宋" w:cs="Arial"/>
          <w:b/>
          <w:sz w:val="24"/>
          <w:szCs w:val="24"/>
        </w:rPr>
        <w:t>建立政企数据共享机制</w:t>
      </w:r>
    </w:p>
    <w:p>
      <w:pPr>
        <w:spacing w:line="360" w:lineRule="auto"/>
        <w:ind w:firstLine="480" w:firstLineChars="200"/>
        <w:jc w:val="both"/>
        <w:rPr>
          <w:rFonts w:ascii="Arial" w:hAnsi="Arial" w:eastAsia="仿宋" w:cs="Arial"/>
        </w:rPr>
      </w:pPr>
      <w:r>
        <w:rPr>
          <w:rFonts w:ascii="Arial" w:hAnsi="Arial" w:eastAsia="仿宋" w:cs="Arial"/>
        </w:rPr>
        <w:t>以国家、省、市数据分级分类制度为基础，建立健全望城区数据分级分类制度，分别对政府数据与企业数据进行分级分类，</w:t>
      </w:r>
      <w:r>
        <w:rPr>
          <w:rFonts w:ascii="Arial" w:hAnsi="Arial" w:eastAsia="仿宋" w:cs="Arial"/>
          <w:bCs/>
        </w:rPr>
        <w:t>确定各类数据的敏感程度与安全级别</w:t>
      </w:r>
      <w:r>
        <w:rPr>
          <w:rFonts w:ascii="Arial" w:hAnsi="Arial" w:eastAsia="仿宋" w:cs="Arial"/>
        </w:rPr>
        <w:t>，制定数据共享需求清单。构建政企数据统一对接与合作机制，明确双方数据共享权利与责任，推动形成政企数据共享有关规则制度。建立企业深度参与的数据共享机制，推动政企数据共享由政府一元主导模式向政府与多种社会力量合作的多元共治模式转。</w:t>
      </w:r>
    </w:p>
    <w:p>
      <w:pPr>
        <w:pStyle w:val="63"/>
        <w:numPr>
          <w:ilvl w:val="0"/>
          <w:numId w:val="17"/>
        </w:numPr>
        <w:spacing w:line="360" w:lineRule="auto"/>
        <w:ind w:firstLineChars="0"/>
        <w:rPr>
          <w:rFonts w:ascii="Arial" w:hAnsi="Arial" w:eastAsia="仿宋" w:cs="Arial"/>
          <w:b/>
          <w:sz w:val="24"/>
          <w:szCs w:val="24"/>
        </w:rPr>
      </w:pPr>
      <w:r>
        <w:rPr>
          <w:rFonts w:ascii="Arial" w:hAnsi="Arial" w:eastAsia="仿宋" w:cs="Arial"/>
          <w:b/>
          <w:sz w:val="24"/>
          <w:szCs w:val="24"/>
        </w:rPr>
        <w:t>完善建设运管平台</w:t>
      </w:r>
    </w:p>
    <w:p>
      <w:pPr>
        <w:spacing w:line="360" w:lineRule="auto"/>
        <w:ind w:firstLine="480" w:firstLineChars="200"/>
        <w:jc w:val="both"/>
        <w:rPr>
          <w:rFonts w:ascii="Arial" w:hAnsi="Arial" w:eastAsia="仿宋" w:cs="Arial"/>
          <w:bCs/>
        </w:rPr>
      </w:pPr>
      <w:r>
        <w:rPr>
          <w:rFonts w:ascii="Arial" w:hAnsi="Arial" w:eastAsia="仿宋" w:cs="Arial"/>
          <w:bCs/>
        </w:rPr>
        <w:t>参照ITIL运维体系框架，拓展现有运维平台功能并进一步完善运维管理机制，完善运维平台网络管理功能，提升对硬件资源的集中管控能力。横向拓展平台运维服务能力建设，平滑对接本期新建的平台、应用以及虚拟化资源等各类运维监测内容。纵向深化运维平台功能建设，完善网络管理服务功能，实现统管全网。新建运维大数据平台、容器管理、智能运维等方面功能，提升平台整体运维服务能力和智能运维水平。进一步完善运维管理机制，满足ITIL中的IT服务持续性管理、可用性管理、服务级别管理、能力管理、事故管理、问题管理、配置管理、变更管理、发布管理等要求。</w:t>
      </w:r>
    </w:p>
    <w:p>
      <w:pPr>
        <w:pStyle w:val="3"/>
        <w:ind w:left="482" w:hanging="482" w:hangingChars="200"/>
        <w:rPr>
          <w:rFonts w:ascii="Arial" w:hAnsi="Arial" w:eastAsia="仿宋" w:cs="Arial"/>
          <w:sz w:val="24"/>
          <w:szCs w:val="24"/>
        </w:rPr>
      </w:pPr>
      <w:bookmarkStart w:id="47" w:name="_Toc78041437"/>
      <w:r>
        <w:rPr>
          <w:rFonts w:ascii="Arial" w:hAnsi="Arial" w:eastAsia="仿宋" w:cs="Arial"/>
          <w:sz w:val="24"/>
          <w:szCs w:val="24"/>
        </w:rPr>
        <w:t>民生服务领域</w:t>
      </w:r>
      <w:bookmarkEnd w:id="39"/>
      <w:bookmarkEnd w:id="40"/>
      <w:bookmarkEnd w:id="41"/>
      <w:r>
        <w:rPr>
          <w:rFonts w:ascii="Arial" w:hAnsi="Arial" w:eastAsia="仿宋" w:cs="Arial"/>
          <w:sz w:val="24"/>
          <w:szCs w:val="24"/>
        </w:rPr>
        <w:t>工程</w:t>
      </w:r>
      <w:bookmarkEnd w:id="47"/>
    </w:p>
    <w:bookmarkEnd w:id="42"/>
    <w:p>
      <w:pPr>
        <w:pStyle w:val="4"/>
        <w:numPr>
          <w:ilvl w:val="0"/>
          <w:numId w:val="18"/>
        </w:numPr>
        <w:rPr>
          <w:rFonts w:ascii="Arial" w:hAnsi="Arial" w:eastAsia="仿宋" w:cs="Arial"/>
          <w:sz w:val="24"/>
          <w:szCs w:val="24"/>
        </w:rPr>
      </w:pPr>
      <w:bookmarkStart w:id="48" w:name="_Toc78041438"/>
      <w:bookmarkStart w:id="49" w:name="_Hlk66873402"/>
      <w:r>
        <w:rPr>
          <w:rFonts w:ascii="Arial" w:hAnsi="Arial" w:eastAsia="仿宋" w:cs="Arial"/>
          <w:sz w:val="24"/>
          <w:szCs w:val="24"/>
        </w:rPr>
        <w:t>民生融合</w:t>
      </w:r>
      <w:bookmarkEnd w:id="48"/>
    </w:p>
    <w:bookmarkEnd w:id="49"/>
    <w:p>
      <w:pPr>
        <w:spacing w:line="360" w:lineRule="auto"/>
        <w:ind w:firstLine="480" w:firstLineChars="200"/>
        <w:jc w:val="both"/>
        <w:rPr>
          <w:rFonts w:ascii="Arial" w:hAnsi="Arial" w:eastAsia="仿宋" w:cs="Arial"/>
        </w:rPr>
      </w:pPr>
      <w:bookmarkStart w:id="50" w:name="_Hlk66873433"/>
      <w:r>
        <w:rPr>
          <w:rFonts w:hint="eastAsia" w:ascii="Arial" w:hAnsi="Arial" w:eastAsia="仿宋" w:cs="Arial"/>
        </w:rPr>
        <w:t>整合资讯、新闻、服务、办事等</w:t>
      </w:r>
      <w:r>
        <w:rPr>
          <w:rFonts w:ascii="Arial" w:hAnsi="Arial" w:eastAsia="仿宋" w:cs="Arial"/>
        </w:rPr>
        <w:t>APP、小程序服务资源，建设望事通APP，打造面向群众的统一服务门户，运用大数据分析服务运行情况，为政府流程优化、群众服务精细化提供支撑。</w:t>
      </w:r>
    </w:p>
    <w:bookmarkEnd w:id="50"/>
    <w:p>
      <w:pPr>
        <w:pStyle w:val="63"/>
        <w:numPr>
          <w:ilvl w:val="0"/>
          <w:numId w:val="19"/>
        </w:numPr>
        <w:spacing w:line="360" w:lineRule="auto"/>
        <w:ind w:left="0" w:firstLine="482"/>
        <w:rPr>
          <w:rFonts w:ascii="Arial" w:hAnsi="Arial" w:eastAsia="仿宋" w:cs="Arial"/>
          <w:sz w:val="24"/>
          <w:szCs w:val="24"/>
        </w:rPr>
      </w:pPr>
      <w:r>
        <w:rPr>
          <w:rFonts w:ascii="Arial" w:hAnsi="Arial" w:eastAsia="仿宋" w:cs="Arial"/>
          <w:b/>
          <w:bCs/>
          <w:sz w:val="24"/>
          <w:szCs w:val="24"/>
        </w:rPr>
        <w:t>建设</w:t>
      </w:r>
      <w:r>
        <w:rPr>
          <w:rFonts w:hint="eastAsia" w:ascii="Arial" w:hAnsi="Arial" w:eastAsia="仿宋" w:cs="Arial"/>
          <w:b/>
          <w:bCs/>
          <w:sz w:val="24"/>
          <w:szCs w:val="24"/>
        </w:rPr>
        <w:t>望事通</w:t>
      </w:r>
      <w:r>
        <w:rPr>
          <w:rFonts w:ascii="Arial" w:hAnsi="Arial" w:eastAsia="仿宋" w:cs="Arial"/>
          <w:b/>
          <w:bCs/>
          <w:sz w:val="24"/>
          <w:szCs w:val="24"/>
        </w:rPr>
        <w:t>APP</w:t>
      </w:r>
    </w:p>
    <w:p>
      <w:pPr>
        <w:spacing w:line="360" w:lineRule="auto"/>
        <w:ind w:firstLine="480" w:firstLineChars="200"/>
        <w:jc w:val="both"/>
        <w:rPr>
          <w:rFonts w:ascii="Arial" w:hAnsi="Arial" w:eastAsia="仿宋" w:cs="Arial"/>
        </w:rPr>
      </w:pPr>
      <w:r>
        <w:rPr>
          <w:rFonts w:hint="eastAsia" w:ascii="Arial" w:hAnsi="Arial" w:eastAsia="仿宋" w:cs="Arial"/>
        </w:rPr>
        <w:t>建设望事通</w:t>
      </w:r>
      <w:r>
        <w:rPr>
          <w:rFonts w:ascii="Arial" w:hAnsi="Arial" w:eastAsia="仿宋" w:cs="Arial"/>
        </w:rPr>
        <w:t>APP，打造望城民生融合服务平台，民生融合建设将以市民需求为导向，加强信息共享和协同，在政务、教育、医疗、旅游、社区管理和便民服务、养老服务、日常生活服务等公众关注度高的民生领域，采用云服务的方式聚合政府服务资源、社会公共服务资源以及生活、便民类服务资源，并基于“实名制”的信息聚合，通过对网页、手机、移动终端、自助终端、服务热线、智能电视和社区服务站等多渠道融合，主动向市民提供个性化的日常生活工作所需的各类信息和服务，形成完善的民生服务体系，让市民享受到望城区新型智慧城市建设所带来的泛在化、个性化和均等化服务。通过“我的政府、我的声音、我的服务、我的支付、我的空间”等服务频道共同构筑了以“我”为中心，集资讯、办事、学习、生活、休闲、商务服务一体的网络化环境。</w:t>
      </w:r>
    </w:p>
    <w:p>
      <w:pPr>
        <w:pStyle w:val="4"/>
        <w:numPr>
          <w:ilvl w:val="0"/>
          <w:numId w:val="18"/>
        </w:numPr>
        <w:rPr>
          <w:rFonts w:ascii="Arial" w:hAnsi="Arial" w:eastAsia="仿宋" w:cs="Arial"/>
          <w:sz w:val="24"/>
          <w:szCs w:val="24"/>
        </w:rPr>
      </w:pPr>
      <w:bookmarkStart w:id="51" w:name="_Toc78041439"/>
      <w:r>
        <w:rPr>
          <w:rFonts w:ascii="Arial" w:hAnsi="Arial" w:eastAsia="仿宋" w:cs="Arial"/>
          <w:sz w:val="24"/>
          <w:szCs w:val="24"/>
        </w:rPr>
        <w:t>智慧政务</w:t>
      </w:r>
      <w:bookmarkEnd w:id="51"/>
    </w:p>
    <w:p>
      <w:pPr>
        <w:spacing w:line="360" w:lineRule="auto"/>
        <w:ind w:firstLine="480" w:firstLineChars="200"/>
        <w:jc w:val="both"/>
        <w:rPr>
          <w:rFonts w:ascii="Arial" w:hAnsi="Arial" w:eastAsia="仿宋" w:cs="Arial"/>
        </w:rPr>
      </w:pPr>
      <w:bookmarkStart w:id="52" w:name="_Hlk66873481"/>
      <w:r>
        <w:rPr>
          <w:rFonts w:ascii="Arial" w:hAnsi="Arial" w:eastAsia="仿宋" w:cs="Arial"/>
        </w:rPr>
        <w:t>依托长沙市统筹建设的“互联网+政务服务”一体化平台（综合互联网+政务平台、基层工作平台和多规合一平台等），以</w:t>
      </w:r>
      <w:r>
        <w:rPr>
          <w:rFonts w:hint="eastAsia" w:ascii="Arial" w:hAnsi="Arial" w:eastAsia="仿宋" w:cs="Arial"/>
        </w:rPr>
        <w:t>望事通</w:t>
      </w:r>
      <w:r>
        <w:rPr>
          <w:rFonts w:ascii="Arial" w:hAnsi="Arial" w:eastAsia="仿宋" w:cs="Arial"/>
        </w:rPr>
        <w:t>APP为城市服务统一入口，在现有建设及应用成果基础上，持续优化完善望城区政务服务体系。智慧政务以事项、流程标准化为根本点，全面整合各部门政务数据资源、系统资源以及渠道资源，并对资源进行服务标准化支撑政务体制创新改革。在统一资源和统一服务的基础上建立智慧政务业务应用，为市民、企业办事、政府工作人员办公，提供便捷高效的办事环境，构建一窗式、一网式、线上线下一体化的政务服务体系，打造法</w:t>
      </w:r>
      <w:r>
        <w:rPr>
          <w:rFonts w:hint="eastAsia" w:ascii="Arial" w:hAnsi="Arial" w:eastAsia="仿宋" w:cs="Arial"/>
          <w:lang w:eastAsia="zh-CN"/>
        </w:rPr>
        <w:t>治</w:t>
      </w:r>
      <w:r>
        <w:rPr>
          <w:rFonts w:ascii="Arial" w:hAnsi="Arial" w:eastAsia="仿宋" w:cs="Arial"/>
        </w:rPr>
        <w:t>政府、创新政府、廉洁政务和服务型政府。</w:t>
      </w:r>
      <w:bookmarkEnd w:id="52"/>
      <w:r>
        <w:rPr>
          <w:rFonts w:hint="eastAsia" w:ascii="Arial" w:hAnsi="Arial" w:eastAsia="仿宋" w:cs="Arial"/>
        </w:rPr>
        <w:t>统筹推进政务协同办公、信息报送、督查督办等基础应用，形成基于政务外网的一体化协同办公体系。</w:t>
      </w:r>
    </w:p>
    <w:p>
      <w:pPr>
        <w:pStyle w:val="63"/>
        <w:numPr>
          <w:ilvl w:val="0"/>
          <w:numId w:val="20"/>
        </w:numPr>
        <w:spacing w:line="360" w:lineRule="auto"/>
        <w:ind w:firstLineChars="0"/>
        <w:rPr>
          <w:rFonts w:ascii="Arial" w:hAnsi="Arial" w:eastAsia="仿宋" w:cs="Arial"/>
          <w:b/>
          <w:bCs/>
          <w:sz w:val="24"/>
          <w:szCs w:val="24"/>
        </w:rPr>
      </w:pPr>
      <w:r>
        <w:rPr>
          <w:rFonts w:ascii="Arial" w:hAnsi="Arial" w:eastAsia="仿宋" w:cs="Arial"/>
          <w:b/>
          <w:bCs/>
          <w:sz w:val="24"/>
          <w:szCs w:val="24"/>
        </w:rPr>
        <w:t>建设形成基于“一窗式”的服务大厅</w:t>
      </w:r>
    </w:p>
    <w:p>
      <w:pPr>
        <w:spacing w:line="360" w:lineRule="auto"/>
        <w:ind w:firstLine="480" w:firstLineChars="200"/>
        <w:jc w:val="both"/>
        <w:rPr>
          <w:rFonts w:ascii="Arial" w:hAnsi="Arial" w:eastAsia="仿宋" w:cs="Arial"/>
        </w:rPr>
      </w:pPr>
      <w:r>
        <w:rPr>
          <w:rFonts w:ascii="Arial" w:hAnsi="Arial" w:eastAsia="仿宋" w:cs="Arial"/>
        </w:rPr>
        <w:t>依托长沙市对“互联网+政务服务”一体化平台，构建线上与线下无缝衔接的智慧型服务大厅，从企业和群众的办事体验出发，进一步优化事项办理环节，缩短办事时限和跑腿次数，提高窗口工作人员的智能化配置和业务水平，逐步实现“一窗”受理所有事项。一是通过实体大厅申办事项：由区行政审批服务局设立的综合服务或主题服务窗口统一进行受理，所办事项申请材料内部流转至相关部门依职审批，最后由受理服务窗口统一反馈办理结果；二对望城区政务大厅智能管理软件及配套设施进行升级改造，并根据长沙市智能大厅管理系统标准，实现与长沙市政务智能大厅管理软件对接。</w:t>
      </w:r>
    </w:p>
    <w:p>
      <w:pPr>
        <w:pStyle w:val="63"/>
        <w:spacing w:line="360" w:lineRule="auto"/>
        <w:ind w:firstLine="480"/>
        <w:rPr>
          <w:rFonts w:ascii="Arial" w:hAnsi="Arial" w:eastAsia="仿宋" w:cs="Arial"/>
          <w:b/>
          <w:bCs/>
          <w:sz w:val="24"/>
          <w:szCs w:val="24"/>
        </w:rPr>
      </w:pPr>
      <w:r>
        <w:rPr>
          <w:rFonts w:ascii="Arial" w:hAnsi="Arial" w:eastAsia="仿宋" w:cs="Arial"/>
          <w:sz w:val="24"/>
          <w:szCs w:val="24"/>
        </w:rPr>
        <w:t>线上推广政务一点通、远程审批、远程踏勘、无感申办、秒办等指间服务。线下打造操作简单高效便捷的办事大厅，打造“以服务对象为中心”有速度有温暖的智能化综合服务大厅，用信息技术来搭桥、业务数据多跑路、办事群众少跑腿，信息高效优质的政务服务。</w:t>
      </w:r>
    </w:p>
    <w:p>
      <w:pPr>
        <w:pStyle w:val="63"/>
        <w:numPr>
          <w:ilvl w:val="0"/>
          <w:numId w:val="20"/>
        </w:numPr>
        <w:spacing w:line="360" w:lineRule="auto"/>
        <w:ind w:left="0" w:firstLine="482"/>
        <w:rPr>
          <w:rFonts w:ascii="Arial" w:hAnsi="Arial" w:eastAsia="仿宋" w:cs="Arial"/>
          <w:b/>
          <w:bCs/>
          <w:sz w:val="24"/>
          <w:szCs w:val="24"/>
        </w:rPr>
      </w:pPr>
      <w:r>
        <w:rPr>
          <w:rFonts w:ascii="Arial" w:hAnsi="Arial" w:eastAsia="仿宋" w:cs="Arial"/>
          <w:b/>
          <w:bCs/>
          <w:sz w:val="24"/>
          <w:szCs w:val="24"/>
        </w:rPr>
        <w:t>建设绩效考核体系</w:t>
      </w:r>
    </w:p>
    <w:p>
      <w:pPr>
        <w:spacing w:line="360" w:lineRule="auto"/>
        <w:ind w:firstLine="480" w:firstLineChars="200"/>
        <w:jc w:val="both"/>
        <w:rPr>
          <w:rFonts w:ascii="Arial" w:hAnsi="Arial" w:eastAsia="仿宋" w:cs="Arial"/>
          <w:b/>
          <w:bCs/>
        </w:rPr>
      </w:pPr>
      <w:r>
        <w:rPr>
          <w:rFonts w:ascii="Arial" w:hAnsi="Arial" w:eastAsia="仿宋" w:cs="Arial"/>
        </w:rPr>
        <w:t>在落实行政权力运行制度的基础上，按照考评体系完善、考评办法合理、评分方法科学的要求，形成计划、实施、评估、反馈、奖惩相结合的绩效考核系统，对行政机关及其公务员的政策执行情况、工作量、工作态度、工作完成情况、公众满意度等进行科学的监督管理和考评。</w:t>
      </w:r>
    </w:p>
    <w:p>
      <w:pPr>
        <w:pStyle w:val="63"/>
        <w:numPr>
          <w:ilvl w:val="0"/>
          <w:numId w:val="20"/>
        </w:numPr>
        <w:spacing w:line="360" w:lineRule="auto"/>
        <w:ind w:left="0" w:firstLine="482"/>
        <w:rPr>
          <w:rFonts w:ascii="Arial" w:hAnsi="Arial" w:eastAsia="仿宋" w:cs="Arial"/>
          <w:b/>
          <w:bCs/>
          <w:sz w:val="24"/>
          <w:szCs w:val="24"/>
        </w:rPr>
      </w:pPr>
      <w:r>
        <w:rPr>
          <w:rFonts w:ascii="Arial" w:hAnsi="Arial" w:eastAsia="仿宋" w:cs="Arial"/>
          <w:b/>
          <w:bCs/>
          <w:sz w:val="24"/>
          <w:szCs w:val="24"/>
        </w:rPr>
        <w:t>建设辅助智能应用体系</w:t>
      </w:r>
    </w:p>
    <w:p>
      <w:pPr>
        <w:spacing w:line="360" w:lineRule="auto"/>
        <w:ind w:firstLine="480" w:firstLineChars="200"/>
        <w:jc w:val="both"/>
        <w:rPr>
          <w:rFonts w:ascii="Arial" w:hAnsi="Arial" w:eastAsia="仿宋" w:cs="Arial"/>
        </w:rPr>
      </w:pPr>
      <w:r>
        <w:rPr>
          <w:rFonts w:ascii="Arial" w:hAnsi="Arial" w:eastAsia="仿宋" w:cs="Arial"/>
        </w:rPr>
        <w:t>使用人工智能、区块链等先进技术，进一步促进高效政务服务和良好服务体验。使用人工智能、区块链等先进技术应用到审批流程中的预审环节，人工智能自动预审代替人工预审，提升预审效率，缩短审批周期。应用到智能客服和12345热线的智能分单和答复等环节，建设政务知识图库，提供精准信息应答，提升民众获取政务信息的良好互动体验。</w:t>
      </w:r>
    </w:p>
    <w:p>
      <w:pPr>
        <w:spacing w:line="360" w:lineRule="auto"/>
        <w:ind w:firstLine="482" w:firstLineChars="200"/>
        <w:jc w:val="both"/>
        <w:rPr>
          <w:rFonts w:ascii="Arial" w:hAnsi="Arial" w:eastAsia="仿宋" w:cs="Arial"/>
          <w:b/>
          <w:bCs/>
        </w:rPr>
      </w:pPr>
      <w:r>
        <w:rPr>
          <w:rFonts w:hint="eastAsia" w:ascii="Arial" w:hAnsi="Arial" w:eastAsia="仿宋" w:cs="Arial"/>
          <w:b/>
          <w:bCs/>
        </w:rPr>
        <w:t>（4）建设一体化政务协同办公平台</w:t>
      </w:r>
    </w:p>
    <w:p>
      <w:pPr>
        <w:spacing w:line="360" w:lineRule="auto"/>
        <w:ind w:firstLine="480" w:firstLineChars="200"/>
        <w:jc w:val="both"/>
        <w:rPr>
          <w:rFonts w:ascii="Arial" w:hAnsi="Arial" w:eastAsia="仿宋" w:cs="Arial"/>
        </w:rPr>
      </w:pPr>
      <w:r>
        <w:rPr>
          <w:rFonts w:hint="eastAsia" w:ascii="Arial" w:hAnsi="Arial" w:eastAsia="仿宋" w:cs="Arial"/>
        </w:rPr>
        <w:t>加强协同办公、信息报送、督察督办等非涉密政务工作电子化、数字化、移动化支撑，实现政府运行、管理和服务的流程再造、模式创新和效率提升。建立数字化协同办公平台，推进各级各部门业务实现安全无缝协同，打造一体化政府。推动部门内部非涉密公文全程电子化流转，加强电子印章管理和使用，除涉密涉敏公文外，推进各级各部门收文、拟文、审定、签发、盖章、发文全面电子化，实现公文办结实时归档及电子档案在线移交，逐步减少纸质公文流转，形成线上闭环，不断提高公文处理效率。</w:t>
      </w:r>
    </w:p>
    <w:p>
      <w:pPr>
        <w:pStyle w:val="4"/>
        <w:numPr>
          <w:ilvl w:val="0"/>
          <w:numId w:val="18"/>
        </w:numPr>
        <w:rPr>
          <w:rFonts w:ascii="Arial" w:hAnsi="Arial" w:eastAsia="仿宋" w:cs="Arial"/>
          <w:sz w:val="24"/>
          <w:szCs w:val="24"/>
        </w:rPr>
      </w:pPr>
      <w:bookmarkStart w:id="53" w:name="_Toc78041440"/>
      <w:bookmarkStart w:id="54" w:name="_Hlk66873560"/>
      <w:r>
        <w:rPr>
          <w:rFonts w:ascii="Arial" w:hAnsi="Arial" w:eastAsia="仿宋" w:cs="Arial"/>
          <w:sz w:val="24"/>
          <w:szCs w:val="24"/>
        </w:rPr>
        <w:t>智慧教育</w:t>
      </w:r>
      <w:bookmarkEnd w:id="53"/>
    </w:p>
    <w:p>
      <w:pPr>
        <w:spacing w:line="360" w:lineRule="auto"/>
        <w:ind w:firstLine="480" w:firstLineChars="200"/>
        <w:jc w:val="both"/>
        <w:rPr>
          <w:rFonts w:ascii="Arial" w:hAnsi="Arial" w:eastAsia="仿宋" w:cs="Arial"/>
        </w:rPr>
      </w:pPr>
      <w:r>
        <w:rPr>
          <w:rFonts w:ascii="Arial" w:hAnsi="Arial" w:eastAsia="仿宋" w:cs="Arial"/>
        </w:rPr>
        <w:t>按照国家教育信息化2.0和湖南省“互联网+教育”的总体要求，坚持“融合、创新、协调、绿色、开放、共享”发展理念，结合5G、人工智能、区块链等高新技术，全面实现“三全两高一大”的发展目标，即教学应用覆盖全体教师、学习应用覆盖全体适龄学生、数字校园建设覆盖全体学校，信息化应用水平和师生信息素养普遍提高，建成“互联网+教育”大平台，推动从教育专用资源向教育大资源转变、从提升师生信息技术应用能力向全面提升其信息素养转变、从融合应用向创新发展转变，努力构建“互联网+”条件下的人才培养新模式、发展基于互联网的教育服务新模式、探索信息时代教育治理新模式，推动望城区教育信息化整体水平走在前列，走出一条全区特色的教育信息化发展道路。</w:t>
      </w:r>
    </w:p>
    <w:bookmarkEnd w:id="54"/>
    <w:p>
      <w:pPr>
        <w:pStyle w:val="63"/>
        <w:numPr>
          <w:ilvl w:val="0"/>
          <w:numId w:val="21"/>
        </w:numPr>
        <w:spacing w:line="360" w:lineRule="auto"/>
        <w:ind w:firstLineChars="0"/>
        <w:rPr>
          <w:rFonts w:ascii="Arial" w:hAnsi="Arial" w:eastAsia="仿宋" w:cs="Arial"/>
          <w:sz w:val="24"/>
          <w:szCs w:val="24"/>
        </w:rPr>
      </w:pPr>
      <w:r>
        <w:rPr>
          <w:rFonts w:ascii="Arial" w:hAnsi="Arial" w:eastAsia="仿宋" w:cs="Arial"/>
          <w:b/>
          <w:bCs/>
          <w:sz w:val="24"/>
          <w:szCs w:val="24"/>
        </w:rPr>
        <w:t>网络学习空间覆盖</w:t>
      </w:r>
    </w:p>
    <w:p>
      <w:pPr>
        <w:spacing w:line="360" w:lineRule="auto"/>
        <w:ind w:firstLine="480" w:firstLineChars="200"/>
        <w:jc w:val="both"/>
        <w:rPr>
          <w:rFonts w:ascii="Arial" w:hAnsi="Arial" w:eastAsia="仿宋" w:cs="Arial"/>
        </w:rPr>
      </w:pPr>
      <w:r>
        <w:rPr>
          <w:rFonts w:ascii="Arial" w:hAnsi="Arial" w:eastAsia="仿宋" w:cs="Arial"/>
        </w:rPr>
        <w:t>规范网络学习空间建设与应用，保障全体教师和适龄学生“人人有空间”，开展校长领导力和教师应用力培训，普及推广网络学习空间应用，实现“人人用空间”。</w:t>
      </w:r>
    </w:p>
    <w:p>
      <w:pPr>
        <w:spacing w:line="360" w:lineRule="auto"/>
        <w:ind w:firstLine="480" w:firstLineChars="200"/>
        <w:jc w:val="both"/>
        <w:rPr>
          <w:rFonts w:ascii="Arial" w:hAnsi="Arial" w:eastAsia="仿宋" w:cs="Arial"/>
        </w:rPr>
      </w:pPr>
      <w:r>
        <w:rPr>
          <w:rFonts w:ascii="Arial" w:hAnsi="Arial" w:eastAsia="仿宋" w:cs="Arial"/>
        </w:rPr>
        <w:t>推动网络学习空间建设与应用。制订网络学习空间建设与应用规范，明确网络学习空间的定义与内涵、目标与流程、功能与管理。印发加快推进“网络学习空间人人通”的指导意见，推动全区网络学习空间的普及应用。开展空间应用优秀区域、优秀学校的展示推广活动，推进网络学习空间在网络教学、资源共享、教育管理、综合素质评价等方面的应用，使网络学习空间真正成为广大师生利用信息技术开展教与学活动的主阵地。</w:t>
      </w:r>
    </w:p>
    <w:p>
      <w:pPr>
        <w:pStyle w:val="63"/>
        <w:numPr>
          <w:ilvl w:val="0"/>
          <w:numId w:val="21"/>
        </w:numPr>
        <w:spacing w:line="360" w:lineRule="auto"/>
        <w:ind w:firstLineChars="0"/>
        <w:rPr>
          <w:rFonts w:ascii="Arial" w:hAnsi="Arial" w:eastAsia="仿宋" w:cs="Arial"/>
          <w:b/>
          <w:bCs/>
          <w:sz w:val="24"/>
          <w:szCs w:val="24"/>
        </w:rPr>
      </w:pPr>
      <w:r>
        <w:rPr>
          <w:rFonts w:ascii="Arial" w:hAnsi="Arial" w:eastAsia="仿宋" w:cs="Arial"/>
          <w:b/>
          <w:bCs/>
          <w:sz w:val="24"/>
          <w:szCs w:val="24"/>
        </w:rPr>
        <w:t>教育治理能力优化</w:t>
      </w:r>
    </w:p>
    <w:p>
      <w:pPr>
        <w:spacing w:line="360" w:lineRule="auto"/>
        <w:ind w:firstLine="480" w:firstLineChars="200"/>
        <w:jc w:val="both"/>
        <w:rPr>
          <w:rFonts w:ascii="Arial" w:hAnsi="Arial" w:eastAsia="仿宋" w:cs="Arial"/>
        </w:rPr>
      </w:pPr>
      <w:r>
        <w:rPr>
          <w:rFonts w:ascii="Arial" w:hAnsi="Arial" w:eastAsia="仿宋" w:cs="Arial"/>
        </w:rPr>
        <w:t>完善教育管理信息化顶层设计，全面提高利用大数据支撑保障教育管理、决策和公共服务的能力，实现教育政务信息系统全面整合和政务信息资源开放共享。</w:t>
      </w:r>
    </w:p>
    <w:p>
      <w:pPr>
        <w:pStyle w:val="63"/>
        <w:spacing w:line="360" w:lineRule="auto"/>
        <w:ind w:firstLine="480"/>
        <w:rPr>
          <w:rFonts w:ascii="Arial" w:hAnsi="Arial" w:eastAsia="仿宋" w:cs="Arial"/>
          <w:sz w:val="24"/>
          <w:szCs w:val="24"/>
        </w:rPr>
      </w:pPr>
      <w:r>
        <w:rPr>
          <w:rFonts w:ascii="Arial" w:hAnsi="Arial" w:eastAsia="仿宋" w:cs="Arial"/>
          <w:sz w:val="24"/>
          <w:szCs w:val="24"/>
        </w:rPr>
        <w:t>推进教育“互联网+政务服务”。连接教育政务信息数据和社会宏观治理数据，以长沙市城市综合服务平台为基础，实现政务服务统一申请、集中办理、统一反馈和全流程监督，分步实施教育政务数据的共享开放，做到事项清单标准化、办事指南规范化、审查工作细则化和业务办理协同化，实现“一张表管理”和“一站式服务”，切实让百姓少跑腿、数据多跑路，增强人民群众获得感。</w:t>
      </w:r>
    </w:p>
    <w:p>
      <w:pPr>
        <w:pStyle w:val="63"/>
        <w:numPr>
          <w:ilvl w:val="0"/>
          <w:numId w:val="21"/>
        </w:numPr>
        <w:spacing w:line="360" w:lineRule="auto"/>
        <w:ind w:firstLineChars="0"/>
        <w:rPr>
          <w:rFonts w:ascii="Arial" w:hAnsi="Arial" w:eastAsia="仿宋" w:cs="Arial"/>
          <w:b/>
          <w:bCs/>
          <w:sz w:val="24"/>
          <w:szCs w:val="24"/>
        </w:rPr>
      </w:pPr>
      <w:r>
        <w:rPr>
          <w:rFonts w:ascii="Arial" w:hAnsi="Arial" w:eastAsia="仿宋" w:cs="Arial"/>
          <w:b/>
          <w:bCs/>
          <w:sz w:val="24"/>
          <w:szCs w:val="24"/>
        </w:rPr>
        <w:t>数字校园规范建设</w:t>
      </w:r>
    </w:p>
    <w:p>
      <w:pPr>
        <w:spacing w:line="360" w:lineRule="auto"/>
        <w:ind w:firstLine="480" w:firstLineChars="200"/>
        <w:jc w:val="both"/>
        <w:rPr>
          <w:rFonts w:ascii="Arial" w:hAnsi="Arial" w:eastAsia="仿宋" w:cs="Arial"/>
        </w:rPr>
      </w:pPr>
      <w:r>
        <w:rPr>
          <w:rFonts w:ascii="Arial" w:hAnsi="Arial" w:eastAsia="仿宋" w:cs="Arial"/>
        </w:rPr>
        <w:t>促进数字校园建设全面普及。落实《职业院校数字校园建设规范》，发布中小学、高等学校数字校园建设规范，推动实现各级各类学校数字校园全覆盖。将网络教学环境纳入学校办学条件建设标准，数字教育资源列入中小学教材配备要求范围。加强职业院校、高等学校虚拟仿真实训教学环境建设，服务信息化教学需要。推动统筹建立数字校园专门保障队伍，解决学校运维保障力量薄弱问题。</w:t>
      </w:r>
    </w:p>
    <w:p>
      <w:pPr>
        <w:pStyle w:val="63"/>
        <w:numPr>
          <w:ilvl w:val="0"/>
          <w:numId w:val="21"/>
        </w:numPr>
        <w:spacing w:line="360" w:lineRule="auto"/>
        <w:ind w:firstLineChars="0"/>
        <w:rPr>
          <w:rFonts w:ascii="Arial" w:hAnsi="Arial" w:eastAsia="仿宋" w:cs="Arial"/>
          <w:b/>
          <w:bCs/>
          <w:sz w:val="24"/>
          <w:szCs w:val="24"/>
        </w:rPr>
      </w:pPr>
      <w:r>
        <w:rPr>
          <w:rFonts w:ascii="Arial" w:hAnsi="Arial" w:eastAsia="仿宋" w:cs="Arial"/>
          <w:b/>
          <w:bCs/>
          <w:sz w:val="24"/>
          <w:szCs w:val="24"/>
        </w:rPr>
        <w:t>信息素养全面提升</w:t>
      </w:r>
    </w:p>
    <w:p>
      <w:pPr>
        <w:pStyle w:val="63"/>
        <w:spacing w:line="360" w:lineRule="auto"/>
        <w:ind w:firstLine="480"/>
        <w:rPr>
          <w:rFonts w:ascii="Arial" w:hAnsi="Arial" w:eastAsia="仿宋" w:cs="Arial"/>
          <w:sz w:val="24"/>
          <w:szCs w:val="24"/>
        </w:rPr>
      </w:pPr>
      <w:r>
        <w:rPr>
          <w:rFonts w:ascii="Arial" w:hAnsi="Arial" w:eastAsia="仿宋" w:cs="Arial"/>
          <w:sz w:val="24"/>
          <w:szCs w:val="24"/>
        </w:rPr>
        <w:t>充分认识提升信息素养对于落实立德树人目标、培养创新人才的重要作用，制定学生信息素养评价指标体系，开展规模化测评，实施有针对性的培养和培训。</w:t>
      </w:r>
    </w:p>
    <w:p>
      <w:pPr>
        <w:spacing w:line="360" w:lineRule="auto"/>
        <w:ind w:firstLine="480" w:firstLineChars="200"/>
        <w:jc w:val="both"/>
        <w:rPr>
          <w:rFonts w:ascii="Arial" w:hAnsi="Arial" w:eastAsia="仿宋" w:cs="Arial"/>
        </w:rPr>
      </w:pPr>
      <w:r>
        <w:rPr>
          <w:rFonts w:ascii="Arial" w:hAnsi="Arial" w:eastAsia="仿宋" w:cs="Arial"/>
        </w:rPr>
        <w:t>大力提升教师信息素养。推动教师主动适应信息化、人工智能等新技术变革，积极有效开展教育教学。推动人工智能支持教师治理、教师教育、教育教学、精准扶贫的新路径，推动教师更新观念、重塑角色、提升素养、增强能力。创新师范生培养方案，完善师范教育课程体系，加强师范生信息素养培育和信息化教学能力培养。</w:t>
      </w:r>
    </w:p>
    <w:p>
      <w:pPr>
        <w:spacing w:line="360" w:lineRule="auto"/>
        <w:ind w:firstLine="480" w:firstLineChars="200"/>
        <w:jc w:val="both"/>
        <w:rPr>
          <w:rFonts w:ascii="Arial" w:hAnsi="Arial" w:eastAsia="仿宋" w:cs="Arial"/>
        </w:rPr>
      </w:pPr>
      <w:r>
        <w:rPr>
          <w:rFonts w:ascii="Arial" w:hAnsi="Arial" w:eastAsia="仿宋" w:cs="Arial"/>
        </w:rPr>
        <w:t>加强学生信息素养培育。加强学生课内外一体化的信息技术知识、技能、应用能力以及信息意识、信息伦理等方面的培育，将学生信息素养纳入学生综合素质评价。完善课程方案和课程标准，充实适应信息时代、智能时代发展需要的人工智能和编程课程内容。推动落实各级各类学校的信息技术课程，并将信息技术纳入初、高中学业水平考试。继续办好各类应用交流与推广活动，创新活动的内容和形式，全面提升学生信息素养。</w:t>
      </w:r>
    </w:p>
    <w:p>
      <w:pPr>
        <w:pStyle w:val="4"/>
        <w:numPr>
          <w:ilvl w:val="0"/>
          <w:numId w:val="18"/>
        </w:numPr>
        <w:rPr>
          <w:rFonts w:ascii="Arial" w:hAnsi="Arial" w:eastAsia="仿宋" w:cs="Arial"/>
          <w:sz w:val="24"/>
          <w:szCs w:val="24"/>
        </w:rPr>
      </w:pPr>
      <w:bookmarkStart w:id="55" w:name="_Toc78041441"/>
      <w:bookmarkStart w:id="56" w:name="_Hlk66873581"/>
      <w:r>
        <w:rPr>
          <w:rFonts w:ascii="Arial" w:hAnsi="Arial" w:eastAsia="仿宋" w:cs="Arial"/>
          <w:sz w:val="24"/>
          <w:szCs w:val="24"/>
        </w:rPr>
        <w:t>智慧医疗</w:t>
      </w:r>
      <w:bookmarkEnd w:id="55"/>
    </w:p>
    <w:p>
      <w:pPr>
        <w:spacing w:line="360" w:lineRule="auto"/>
        <w:ind w:firstLine="480" w:firstLineChars="200"/>
        <w:jc w:val="both"/>
        <w:rPr>
          <w:rFonts w:ascii="Arial" w:hAnsi="Arial" w:eastAsia="仿宋" w:cs="Arial"/>
        </w:rPr>
      </w:pPr>
      <w:r>
        <w:rPr>
          <w:rFonts w:ascii="Arial" w:hAnsi="Arial" w:eastAsia="仿宋" w:cs="Arial"/>
        </w:rPr>
        <w:t>望城区智慧医疗建设工作以深入推进健康中国建设为目标，坚持新时代卫生健康工作方针，坚持新发展理念，以提高人民健康水平为核心，以推进卫生健康领域供给侧结构性改革为主线，以体制机制改革创新为动力，以普及健康生活、优化健康服务、完善健康保障、建设健康环境、发展健康产业为重点，把健康融入所有政策，加快转变卫生健康领域发展方式，全方位、全周期维护和保障人民健康，提升居民健康水平和促进健康公平，为构建以人为本的整合性卫生健康服务体系、加快建成美丽幸福强盛现代化新望城奠定坚实基础。</w:t>
      </w:r>
      <w:bookmarkEnd w:id="56"/>
    </w:p>
    <w:p>
      <w:pPr>
        <w:pStyle w:val="63"/>
        <w:numPr>
          <w:ilvl w:val="0"/>
          <w:numId w:val="22"/>
        </w:numPr>
        <w:spacing w:line="360" w:lineRule="auto"/>
        <w:ind w:firstLineChars="0"/>
        <w:rPr>
          <w:rFonts w:ascii="Arial" w:hAnsi="Arial" w:eastAsia="仿宋" w:cs="Arial"/>
          <w:b/>
          <w:bCs/>
          <w:sz w:val="24"/>
          <w:szCs w:val="24"/>
        </w:rPr>
      </w:pPr>
      <w:r>
        <w:rPr>
          <w:rFonts w:ascii="Arial" w:hAnsi="Arial" w:eastAsia="仿宋" w:cs="Arial"/>
          <w:b/>
          <w:bCs/>
          <w:sz w:val="24"/>
          <w:szCs w:val="24"/>
        </w:rPr>
        <w:t>加强卫生信息化、智能化建设</w:t>
      </w:r>
    </w:p>
    <w:p>
      <w:pPr>
        <w:spacing w:line="360" w:lineRule="auto"/>
        <w:ind w:firstLine="480" w:firstLineChars="200"/>
        <w:jc w:val="both"/>
        <w:rPr>
          <w:rFonts w:ascii="Arial" w:hAnsi="Arial" w:eastAsia="仿宋" w:cs="Arial"/>
        </w:rPr>
      </w:pPr>
      <w:bookmarkStart w:id="57" w:name="_Hlk66883548"/>
      <w:r>
        <w:rPr>
          <w:rFonts w:ascii="Arial" w:hAnsi="Arial" w:eastAsia="仿宋" w:cs="Arial"/>
        </w:rPr>
        <w:t>持续推进卫生健康信息化基础设施建设，加强医院信息化标准规范建设，建立医疗、服务、管理“三位一体”的智慧医院系统。进一步扩大“互联网+护理服务”、“互联网+”家庭医生签约服务供给，发展“互联网+”中医药服务，推广“智慧中药房”。普及应用居民健康卡，持续推动就医“一卡通”。建立全员人口个案数据库，社区实现服务管理信息化、规范化。</w:t>
      </w:r>
      <w:bookmarkEnd w:id="57"/>
      <w:r>
        <w:rPr>
          <w:rFonts w:ascii="Arial" w:hAnsi="Arial" w:eastAsia="仿宋" w:cs="Arial"/>
        </w:rPr>
        <w:t>加强健康医疗数据安全保障和患者隐私保护。基于区委政府打造“智慧城市新标杆”的发展战略，加快信息化建设，通过健康望城和智慧医疗建设，升级改造各医疗机构HIS、LIS、PACS等医院信息管理系统，实现网上预约、移动支付等功能，利用居民健康信息卡实现公共卫生、临床医疗信息互通，推动区域医疗卫生信息资源共享。建成以区人民医院为核心的远程诊断、远程诊疗中心，基本建设疫苗监管、院前急救、科研培训、家庭医生签约、妇幼健康、职业健康、综合监督执法、数据标准、卫生健康业务监管、疾病监测等系统。</w:t>
      </w:r>
    </w:p>
    <w:p>
      <w:pPr>
        <w:pStyle w:val="63"/>
        <w:numPr>
          <w:ilvl w:val="0"/>
          <w:numId w:val="22"/>
        </w:numPr>
        <w:spacing w:line="360" w:lineRule="auto"/>
        <w:ind w:firstLineChars="0"/>
        <w:rPr>
          <w:rFonts w:ascii="Arial" w:hAnsi="Arial" w:eastAsia="仿宋" w:cs="Arial"/>
          <w:b/>
          <w:bCs/>
          <w:sz w:val="24"/>
          <w:szCs w:val="24"/>
        </w:rPr>
      </w:pPr>
      <w:r>
        <w:rPr>
          <w:rFonts w:ascii="Arial" w:hAnsi="Arial" w:eastAsia="仿宋" w:cs="Arial"/>
          <w:b/>
          <w:bCs/>
          <w:sz w:val="24"/>
          <w:szCs w:val="24"/>
        </w:rPr>
        <w:t>健全公共卫生应急管理体系</w:t>
      </w:r>
    </w:p>
    <w:p>
      <w:pPr>
        <w:spacing w:line="360" w:lineRule="auto"/>
        <w:ind w:firstLine="480" w:firstLineChars="200"/>
        <w:jc w:val="both"/>
        <w:rPr>
          <w:rFonts w:ascii="Arial" w:hAnsi="Arial" w:eastAsia="仿宋" w:cs="Arial"/>
        </w:rPr>
      </w:pPr>
      <w:r>
        <w:rPr>
          <w:rFonts w:ascii="Arial" w:hAnsi="Arial" w:eastAsia="仿宋" w:cs="Arial"/>
        </w:rPr>
        <w:t>一是完善公共卫生应急指挥体系，构建统一领导、权责匹配、运转高效的公共卫生应急管理格局。二是完善公共卫生监测预警体系，建立健全网络直报、舆情监测、医疗卫生人员报告、科研发现报告等多渠道疫情监测和快速反应体系。建立网络媒体公共卫生信息监测机制，完善公共卫生重大风险研判、评估、决策、防控协同机制，提高重大公共卫生风险发现、报告、预警、响应和处置能力。三是完善应急物资保障体系，建立应急物资目录并动态调整，完善应急物资制造商及供应商的信息数据库并及时更新，形成以重点医疗物资生产企业产能储备为基础，以医疗卫生机构实物储备和家庭储备为补充的应急物资保障体系。</w:t>
      </w:r>
    </w:p>
    <w:p>
      <w:pPr>
        <w:pStyle w:val="63"/>
        <w:numPr>
          <w:ilvl w:val="0"/>
          <w:numId w:val="22"/>
        </w:numPr>
        <w:spacing w:line="360" w:lineRule="auto"/>
        <w:ind w:firstLineChars="0"/>
        <w:rPr>
          <w:rFonts w:ascii="Arial" w:hAnsi="Arial" w:eastAsia="仿宋" w:cs="Arial"/>
          <w:b/>
          <w:bCs/>
          <w:sz w:val="24"/>
          <w:szCs w:val="24"/>
        </w:rPr>
      </w:pPr>
      <w:r>
        <w:rPr>
          <w:rFonts w:ascii="Arial" w:hAnsi="Arial" w:eastAsia="仿宋" w:cs="Arial"/>
          <w:b/>
          <w:bCs/>
          <w:sz w:val="24"/>
          <w:szCs w:val="24"/>
        </w:rPr>
        <w:t>建立和完善医疗服务体系</w:t>
      </w:r>
    </w:p>
    <w:p>
      <w:pPr>
        <w:spacing w:line="360" w:lineRule="auto"/>
        <w:ind w:firstLine="480" w:firstLineChars="200"/>
        <w:jc w:val="both"/>
        <w:rPr>
          <w:rFonts w:ascii="Arial" w:hAnsi="Arial" w:eastAsia="仿宋" w:cs="Arial"/>
          <w:color w:val="000000"/>
        </w:rPr>
      </w:pPr>
      <w:r>
        <w:rPr>
          <w:rFonts w:ascii="Arial" w:hAnsi="Arial" w:eastAsia="仿宋" w:cs="Arial"/>
          <w:bCs/>
          <w:color w:val="000000"/>
        </w:rPr>
        <w:t>以群众卫生健康服务需求为导向，优化整合医疗资源，</w:t>
      </w:r>
      <w:bookmarkStart w:id="58" w:name="_Hlk66883586"/>
      <w:r>
        <w:rPr>
          <w:rFonts w:ascii="Arial" w:hAnsi="Arial" w:eastAsia="仿宋" w:cs="Arial"/>
          <w:bCs/>
          <w:color w:val="000000"/>
        </w:rPr>
        <w:t>打造区级医疗平台，完善区、乡、村三级网络，全面推进医共体、医联体建设，建立分层、分级、分流的重大疫情救治机制</w:t>
      </w:r>
      <w:r>
        <w:rPr>
          <w:rFonts w:ascii="Arial" w:hAnsi="Arial" w:eastAsia="仿宋" w:cs="Arial"/>
          <w:color w:val="000000"/>
        </w:rPr>
        <w:t>。</w:t>
      </w:r>
      <w:bookmarkEnd w:id="58"/>
      <w:r>
        <w:rPr>
          <w:rFonts w:ascii="Arial" w:hAnsi="Arial" w:eastAsia="仿宋" w:cs="Arial"/>
          <w:color w:val="000000"/>
        </w:rPr>
        <w:t>加强乡镇卫生院、村卫生室和城区社区卫生服务中心（站）等基层卫生机构的建设，每个</w:t>
      </w:r>
      <w:r>
        <w:rPr>
          <w:rFonts w:ascii="Arial" w:hAnsi="Arial" w:eastAsia="仿宋" w:cs="Arial"/>
        </w:rPr>
        <w:t>乡镇设置1个乡镇卫生院，每个行政村配置1家村卫生室，每个街道办事处范围或每3万至10万居民规划设置1所社区卫生服务中心</w:t>
      </w:r>
      <w:r>
        <w:rPr>
          <w:rFonts w:ascii="Arial" w:hAnsi="Arial" w:eastAsia="仿宋" w:cs="Arial"/>
          <w:color w:val="000000"/>
        </w:rPr>
        <w:t>，社区卫生服务站在按要求配套的社区办公服务用房内建设，与住宅同步规划、同步建设、同步验收、同步交付使用。</w:t>
      </w:r>
    </w:p>
    <w:p>
      <w:pPr>
        <w:pStyle w:val="63"/>
        <w:numPr>
          <w:ilvl w:val="0"/>
          <w:numId w:val="22"/>
        </w:numPr>
        <w:spacing w:line="360" w:lineRule="auto"/>
        <w:ind w:firstLineChars="0"/>
        <w:rPr>
          <w:rFonts w:ascii="Arial" w:hAnsi="Arial" w:eastAsia="仿宋" w:cs="Arial"/>
          <w:b/>
          <w:bCs/>
          <w:color w:val="000000"/>
          <w:sz w:val="24"/>
          <w:szCs w:val="24"/>
        </w:rPr>
      </w:pPr>
      <w:r>
        <w:rPr>
          <w:rFonts w:ascii="Arial" w:hAnsi="Arial" w:eastAsia="仿宋" w:cs="Arial"/>
          <w:b/>
          <w:bCs/>
          <w:color w:val="000000"/>
          <w:sz w:val="24"/>
          <w:szCs w:val="24"/>
        </w:rPr>
        <w:t>智慧医疗板块完善升级</w:t>
      </w:r>
    </w:p>
    <w:p>
      <w:pPr>
        <w:spacing w:line="360" w:lineRule="auto"/>
        <w:ind w:firstLine="480" w:firstLineChars="200"/>
        <w:jc w:val="both"/>
        <w:rPr>
          <w:rFonts w:ascii="Arial" w:hAnsi="Arial" w:eastAsia="仿宋" w:cs="Arial"/>
        </w:rPr>
      </w:pPr>
      <w:r>
        <w:rPr>
          <w:rFonts w:ascii="Arial" w:hAnsi="Arial" w:eastAsia="仿宋" w:cs="Arial"/>
          <w:color w:val="000000"/>
        </w:rPr>
        <w:t>进一步完善“</w:t>
      </w:r>
      <w:r>
        <w:rPr>
          <w:rFonts w:hint="eastAsia" w:ascii="Arial" w:hAnsi="Arial" w:eastAsia="仿宋" w:cs="Arial"/>
          <w:color w:val="000000"/>
        </w:rPr>
        <w:t>望事通</w:t>
      </w:r>
      <w:r>
        <w:rPr>
          <w:rFonts w:ascii="Arial" w:hAnsi="Arial" w:eastAsia="仿宋" w:cs="Arial"/>
          <w:color w:val="000000"/>
        </w:rPr>
        <w:t>APP”智慧医疗板块功能，搭建基于望城区人民医院的望城区远程会诊中心，通过与基层农卫系统对接，覆盖望城区内基层医疗机构的远程业务，实现区域内基层医疗的均等化服务；通过APP建立与省市级医院专家团队的远程对接，在区内基层医院可以享受省市级专家的远程诊断，提高我区基层医疗服务能力；发挥我区智慧望城互联互通优势，加强智慧医疗与医保的对接，通过系统建立医疗、医保、银行之间的通路，使用“健康望城”服务号在全区医疗机构的门诊、住院结算中，率先全省可选择医保个人账户资金进行医疗费用支付。</w:t>
      </w:r>
    </w:p>
    <w:p>
      <w:pPr>
        <w:pStyle w:val="63"/>
        <w:numPr>
          <w:ilvl w:val="0"/>
          <w:numId w:val="22"/>
        </w:numPr>
        <w:spacing w:line="360" w:lineRule="auto"/>
        <w:ind w:firstLineChars="0"/>
        <w:rPr>
          <w:rFonts w:ascii="Arial" w:hAnsi="Arial" w:eastAsia="仿宋" w:cs="Arial"/>
          <w:b/>
          <w:bCs/>
          <w:sz w:val="24"/>
          <w:szCs w:val="24"/>
        </w:rPr>
      </w:pPr>
      <w:r>
        <w:rPr>
          <w:rFonts w:ascii="Arial" w:hAnsi="Arial" w:eastAsia="仿宋" w:cs="Arial"/>
          <w:b/>
          <w:bCs/>
          <w:sz w:val="24"/>
          <w:szCs w:val="24"/>
        </w:rPr>
        <w:t>推动建立分级诊疗制度和医疗联合体建设</w:t>
      </w:r>
    </w:p>
    <w:p>
      <w:pPr>
        <w:spacing w:line="360" w:lineRule="auto"/>
        <w:ind w:firstLine="480" w:firstLineChars="200"/>
        <w:jc w:val="both"/>
        <w:rPr>
          <w:rFonts w:ascii="Arial" w:hAnsi="Arial" w:eastAsia="仿宋" w:cs="Arial"/>
        </w:rPr>
      </w:pPr>
      <w:r>
        <w:rPr>
          <w:rFonts w:ascii="Arial" w:hAnsi="Arial" w:eastAsia="仿宋" w:cs="Arial"/>
          <w:color w:val="000000"/>
        </w:rPr>
        <w:t>以医联体建设和家庭医生签约服务为抓手，大力推进分级诊疗制度建设。统筹区域内医疗资源，网格化布局组建区域内医疗集团和医共体，加快建立远程医疗协作网，促进优质医疗资源下沉。推动医联体细化完善内部管理措施，形成责权利明晰、优质医疗资源上下贯通、医疗服务接续高效的机制和服务模式。完善医联体绩效考核机制和指标体系，将基层医疗卫生机构能力提升列为重点指标，逐步探索将健康结果作为考核指标，促进医联体形成管理、责任、利益、服务共同体。</w:t>
      </w:r>
      <w:r>
        <w:rPr>
          <w:rFonts w:ascii="Arial" w:hAnsi="Arial" w:eastAsia="仿宋" w:cs="Arial"/>
        </w:rPr>
        <w:t>统筹推进医联体相关医院管理、医疗服务等信息平台建设。加快推进新型“5G互联网+”医联体建设。鼓励疾控加入城市医联体和县域医共体建设，构建整合型医疗卫生防病治病体系。</w:t>
      </w:r>
    </w:p>
    <w:p>
      <w:pPr>
        <w:pStyle w:val="63"/>
        <w:numPr>
          <w:ilvl w:val="0"/>
          <w:numId w:val="22"/>
        </w:numPr>
        <w:spacing w:line="360" w:lineRule="auto"/>
        <w:ind w:firstLineChars="0"/>
        <w:rPr>
          <w:rFonts w:ascii="Arial" w:hAnsi="Arial" w:eastAsia="仿宋" w:cs="Arial"/>
          <w:b/>
          <w:bCs/>
          <w:sz w:val="24"/>
          <w:szCs w:val="24"/>
        </w:rPr>
      </w:pPr>
      <w:r>
        <w:rPr>
          <w:rFonts w:ascii="Arial" w:hAnsi="Arial" w:eastAsia="仿宋" w:cs="Arial"/>
          <w:b/>
          <w:bCs/>
          <w:sz w:val="24"/>
          <w:szCs w:val="24"/>
        </w:rPr>
        <w:t>改革和完善基本医疗保障制度</w:t>
      </w:r>
    </w:p>
    <w:p>
      <w:pPr>
        <w:pStyle w:val="63"/>
        <w:spacing w:line="360" w:lineRule="auto"/>
        <w:ind w:firstLine="480"/>
        <w:rPr>
          <w:rFonts w:ascii="Arial" w:hAnsi="Arial" w:eastAsia="仿宋" w:cs="Arial"/>
          <w:sz w:val="24"/>
          <w:szCs w:val="24"/>
        </w:rPr>
      </w:pPr>
      <w:r>
        <w:rPr>
          <w:rFonts w:ascii="Arial" w:hAnsi="Arial" w:eastAsia="仿宋" w:cs="Arial"/>
          <w:sz w:val="24"/>
          <w:szCs w:val="24"/>
        </w:rPr>
        <w:t>坚持和完善覆盖全民、依法参加的基本医疗保险制度和政策体系。改革城镇职工基本医疗保险个人账户，建立健全门诊共济保障机制，全面实行城乡居民基本医保普通门诊统筹，取消个人（家庭）账户，将高血压、糖尿病、慢性肾功能衰竭等43个特殊病种按规定纳入医保基金支付。将符合条件的社会办医疗机构纳入医保定点范围。加强基本医疗保险协议管理，完善定点医药机构退出机制。进一步完善医保经办服务体系。加强“互联网+”医保管理，打造“一体化”医保结算平台，落实</w:t>
      </w:r>
      <w:bookmarkStart w:id="59" w:name="_Toc11945_WPSOffice_Level1"/>
      <w:r>
        <w:rPr>
          <w:rFonts w:ascii="Arial" w:hAnsi="Arial" w:eastAsia="仿宋" w:cs="Arial"/>
          <w:sz w:val="24"/>
          <w:szCs w:val="24"/>
        </w:rPr>
        <w:t>跨地区一码医保结算，推动医疗保障公共管理服务精准化、精细化、信息化</w:t>
      </w:r>
      <w:bookmarkEnd w:id="59"/>
      <w:r>
        <w:rPr>
          <w:rFonts w:ascii="Arial" w:hAnsi="Arial" w:eastAsia="仿宋" w:cs="Arial"/>
          <w:sz w:val="24"/>
          <w:szCs w:val="24"/>
        </w:rPr>
        <w:t>。</w:t>
      </w:r>
    </w:p>
    <w:p>
      <w:pPr>
        <w:pStyle w:val="63"/>
        <w:numPr>
          <w:ilvl w:val="0"/>
          <w:numId w:val="22"/>
        </w:numPr>
        <w:spacing w:line="360" w:lineRule="auto"/>
        <w:ind w:firstLineChars="0"/>
        <w:rPr>
          <w:rFonts w:ascii="Arial" w:hAnsi="Arial" w:eastAsia="楷体" w:cs="Arial"/>
          <w:bCs/>
          <w:color w:val="000000"/>
          <w:sz w:val="24"/>
          <w:szCs w:val="24"/>
        </w:rPr>
      </w:pPr>
      <w:r>
        <w:rPr>
          <w:rFonts w:ascii="Arial" w:hAnsi="Arial" w:eastAsia="仿宋" w:cs="Arial"/>
          <w:b/>
          <w:bCs/>
          <w:sz w:val="24"/>
          <w:szCs w:val="24"/>
        </w:rPr>
        <w:t>加强医药技术创新，促进医药产业发展</w:t>
      </w:r>
    </w:p>
    <w:p>
      <w:pPr>
        <w:pStyle w:val="63"/>
        <w:spacing w:line="360" w:lineRule="auto"/>
        <w:ind w:firstLine="480"/>
        <w:rPr>
          <w:rFonts w:ascii="Arial" w:hAnsi="Arial" w:eastAsia="仿宋" w:cs="Arial"/>
          <w:bCs/>
          <w:color w:val="000000" w:themeColor="text1"/>
          <w:sz w:val="24"/>
          <w:szCs w:val="24"/>
          <w14:textFill>
            <w14:solidFill>
              <w14:schemeClr w14:val="tx1"/>
            </w14:solidFill>
          </w14:textFill>
        </w:rPr>
      </w:pPr>
      <w:r>
        <w:rPr>
          <w:rFonts w:ascii="Arial" w:hAnsi="Arial" w:eastAsia="仿宋" w:cs="Arial"/>
          <w:color w:val="000000"/>
          <w:sz w:val="24"/>
          <w:szCs w:val="24"/>
        </w:rPr>
        <w:t>支持组建产业联盟或联合体，</w:t>
      </w:r>
      <w:r>
        <w:rPr>
          <w:rFonts w:ascii="Arial" w:hAnsi="Arial" w:eastAsia="仿宋" w:cs="Arial"/>
          <w:snapToGrid w:val="0"/>
          <w:color w:val="000000"/>
          <w:kern w:val="0"/>
          <w:sz w:val="24"/>
          <w:szCs w:val="24"/>
        </w:rPr>
        <w:t>推动互联网、大数据、人工智能等同健康产业深度融合，打造生物医疗健康产业集群。</w:t>
      </w:r>
      <w:r>
        <w:rPr>
          <w:rFonts w:ascii="Arial" w:hAnsi="Arial" w:eastAsia="仿宋" w:cs="Arial"/>
          <w:color w:val="000000"/>
          <w:sz w:val="24"/>
          <w:szCs w:val="24"/>
        </w:rPr>
        <w:t>完善政产学研用协同创新体系，推动医药创新和转型升级。</w:t>
      </w:r>
      <w:r>
        <w:rPr>
          <w:rFonts w:ascii="Arial" w:hAnsi="Arial" w:eastAsia="仿宋" w:cs="Arial"/>
          <w:snapToGrid w:val="0"/>
          <w:color w:val="000000"/>
          <w:kern w:val="0"/>
          <w:sz w:val="24"/>
          <w:szCs w:val="24"/>
        </w:rPr>
        <w:t>大力发展生物药、化学药新品种、优质中药、高性能医疗器械、新型辅料包材和制药设备，</w:t>
      </w:r>
      <w:r>
        <w:rPr>
          <w:rFonts w:ascii="Arial" w:hAnsi="Arial" w:eastAsia="仿宋" w:cs="Arial"/>
          <w:color w:val="000000"/>
          <w:sz w:val="24"/>
          <w:szCs w:val="24"/>
        </w:rPr>
        <w:t>发展专业医药园区。</w:t>
      </w:r>
      <w:r>
        <w:rPr>
          <w:rFonts w:ascii="Arial" w:hAnsi="Arial" w:eastAsia="仿宋" w:cs="Arial"/>
          <w:snapToGrid w:val="0"/>
          <w:color w:val="000000"/>
          <w:kern w:val="0"/>
          <w:sz w:val="24"/>
          <w:szCs w:val="24"/>
        </w:rPr>
        <w:t>依托高水平医院服务特色培育相关健康服务延伸产业</w:t>
      </w:r>
      <w:r>
        <w:rPr>
          <w:rFonts w:ascii="Arial" w:hAnsi="Arial" w:eastAsia="仿宋" w:cs="Arial"/>
          <w:color w:val="000000"/>
          <w:sz w:val="24"/>
          <w:szCs w:val="24"/>
        </w:rPr>
        <w:t>，积极培育精准医疗、智慧医疗、健康管理等潜力领域，打造集医学研发、健康管理、康复养老等功能于一体的卫生健康区域。</w:t>
      </w:r>
    </w:p>
    <w:p>
      <w:pPr>
        <w:pStyle w:val="4"/>
        <w:numPr>
          <w:ilvl w:val="0"/>
          <w:numId w:val="18"/>
        </w:numPr>
        <w:rPr>
          <w:rFonts w:ascii="Arial" w:hAnsi="Arial" w:eastAsia="仿宋" w:cs="Arial"/>
          <w:sz w:val="24"/>
          <w:szCs w:val="24"/>
        </w:rPr>
      </w:pPr>
      <w:bookmarkStart w:id="60" w:name="_Toc78041442"/>
      <w:bookmarkStart w:id="61" w:name="_Hlk66873593"/>
      <w:r>
        <w:rPr>
          <w:rFonts w:ascii="Arial" w:hAnsi="Arial" w:eastAsia="仿宋" w:cs="Arial"/>
          <w:sz w:val="24"/>
          <w:szCs w:val="24"/>
        </w:rPr>
        <w:t>智慧社保</w:t>
      </w:r>
      <w:bookmarkEnd w:id="60"/>
    </w:p>
    <w:p>
      <w:pPr>
        <w:pStyle w:val="63"/>
        <w:spacing w:line="360" w:lineRule="auto"/>
        <w:ind w:firstLine="480"/>
        <w:rPr>
          <w:rFonts w:ascii="Arial" w:hAnsi="Arial" w:eastAsia="仿宋" w:cs="Arial"/>
          <w:bCs/>
          <w:color w:val="000000" w:themeColor="text1"/>
          <w:sz w:val="24"/>
          <w:szCs w:val="24"/>
          <w14:textFill>
            <w14:solidFill>
              <w14:schemeClr w14:val="tx1"/>
            </w14:solidFill>
          </w14:textFill>
        </w:rPr>
      </w:pPr>
      <w:r>
        <w:rPr>
          <w:rFonts w:ascii="Arial" w:hAnsi="Arial" w:eastAsia="仿宋" w:cs="Arial"/>
          <w:bCs/>
          <w:color w:val="000000" w:themeColor="text1"/>
          <w:sz w:val="24"/>
          <w:szCs w:val="24"/>
          <w14:textFill>
            <w14:solidFill>
              <w14:schemeClr w14:val="tx1"/>
            </w14:solidFill>
          </w14:textFill>
        </w:rPr>
        <w:t>建设基于“互联网”+“社保”+“就业”的面向全区市民和企业的人力资源和社会保障公共服务平台，为广大使用者提供社保、求职、招聘、业务咨询等全方位、一体化的公共服务。立足教育、医疗、养老等民生服务领域，通过社保卡整合望城线上线下的惠民服务资源，打造集约化便民服务渠道，构建普惠化利民服务体系，营造智慧化宜居城市生活新空间，支持社会力量应用信息资源发展便民、惠民、实用的新型社保信息服务。</w:t>
      </w:r>
      <w:bookmarkEnd w:id="61"/>
    </w:p>
    <w:p>
      <w:pPr>
        <w:pStyle w:val="63"/>
        <w:numPr>
          <w:ilvl w:val="0"/>
          <w:numId w:val="23"/>
        </w:numPr>
        <w:spacing w:line="360" w:lineRule="auto"/>
        <w:ind w:firstLineChars="0"/>
        <w:rPr>
          <w:rFonts w:ascii="Arial" w:hAnsi="Arial" w:eastAsia="仿宋" w:cs="Arial"/>
          <w:b/>
          <w:sz w:val="24"/>
          <w:szCs w:val="24"/>
        </w:rPr>
      </w:pPr>
      <w:r>
        <w:rPr>
          <w:rFonts w:ascii="Arial" w:hAnsi="Arial" w:eastAsia="仿宋" w:cs="Arial"/>
          <w:b/>
          <w:sz w:val="24"/>
          <w:szCs w:val="24"/>
        </w:rPr>
        <w:t>建设智慧社保公共服务平台</w:t>
      </w:r>
    </w:p>
    <w:p>
      <w:pPr>
        <w:pStyle w:val="63"/>
        <w:spacing w:line="360" w:lineRule="auto"/>
        <w:ind w:firstLine="480"/>
        <w:rPr>
          <w:rFonts w:ascii="Arial" w:hAnsi="Arial" w:eastAsia="仿宋" w:cs="Arial"/>
          <w:b/>
          <w:sz w:val="24"/>
          <w:szCs w:val="24"/>
        </w:rPr>
      </w:pPr>
      <w:r>
        <w:rPr>
          <w:rFonts w:ascii="Arial" w:hAnsi="Arial" w:eastAsia="仿宋" w:cs="Arial"/>
          <w:bCs/>
          <w:sz w:val="24"/>
          <w:szCs w:val="24"/>
        </w:rPr>
        <w:t>为用户提供社会保障卡查询和办事指南等服务。用户可快速查询个人参保情况、准确获取各险种的每月单位缴费、个人缴费到账情况，查询个人医疗、养老账户信息、五险待遇享受情况。通过网上服务平台，在行政机构、用人单位、劳动者之间搭建沟通桥梁，用人单位和劳动者可通过网络便捷地完成劳动监察的年度书面材料审查申报、劳动用工备案本地化管理、数据比对和预警监测、用人单位信息化自动化管理、网站空间提供公共信息服务等业务。</w:t>
      </w:r>
    </w:p>
    <w:p>
      <w:pPr>
        <w:pStyle w:val="4"/>
        <w:numPr>
          <w:ilvl w:val="0"/>
          <w:numId w:val="18"/>
        </w:numPr>
        <w:rPr>
          <w:rFonts w:ascii="Arial" w:hAnsi="Arial" w:eastAsia="仿宋" w:cs="Arial"/>
          <w:sz w:val="24"/>
          <w:szCs w:val="24"/>
        </w:rPr>
      </w:pPr>
      <w:bookmarkStart w:id="62" w:name="_Toc78041443"/>
      <w:bookmarkStart w:id="63" w:name="_Hlk66878903"/>
      <w:r>
        <w:rPr>
          <w:rFonts w:ascii="Arial" w:hAnsi="Arial" w:eastAsia="仿宋" w:cs="Arial"/>
          <w:sz w:val="24"/>
          <w:szCs w:val="24"/>
        </w:rPr>
        <w:t>智慧养老</w:t>
      </w:r>
      <w:bookmarkEnd w:id="62"/>
    </w:p>
    <w:p>
      <w:pPr>
        <w:pStyle w:val="63"/>
        <w:spacing w:line="360" w:lineRule="auto"/>
        <w:ind w:firstLine="480"/>
        <w:rPr>
          <w:rFonts w:ascii="Arial" w:hAnsi="Arial" w:eastAsia="仿宋" w:cs="Arial"/>
          <w:bCs/>
          <w:sz w:val="24"/>
          <w:szCs w:val="24"/>
        </w:rPr>
      </w:pPr>
      <w:r>
        <w:rPr>
          <w:rFonts w:ascii="Arial" w:hAnsi="Arial" w:eastAsia="仿宋" w:cs="Arial"/>
          <w:bCs/>
          <w:sz w:val="24"/>
          <w:szCs w:val="24"/>
        </w:rPr>
        <w:t>“智慧养老”以面向居家老人、社区及养老机构的养老服务信息平台为建设重点，促进养老信息和资源互联互通，创新养老服务模式，</w:t>
      </w:r>
      <w:r>
        <w:rPr>
          <w:rFonts w:ascii="Arial" w:hAnsi="Arial" w:eastAsia="仿宋" w:cs="Arial"/>
          <w:color w:val="000000"/>
          <w:sz w:val="24"/>
          <w:szCs w:val="24"/>
        </w:rPr>
        <w:t>着力构建包括健康教育、预防保健、疾病诊治、康复护理、长期照护、安宁疗护的综合连续、覆盖城乡老年健康服务体系。</w:t>
      </w:r>
      <w:r>
        <w:rPr>
          <w:rFonts w:ascii="Arial" w:hAnsi="Arial" w:eastAsia="仿宋" w:cs="Arial"/>
          <w:bCs/>
          <w:sz w:val="24"/>
          <w:szCs w:val="24"/>
        </w:rPr>
        <w:t>为望城信息化养老服务提供强有力的载体，为政府相关部门提供专业、实用的业务指导以及强有力的现代化管理手段，全面推动望城养老服务智慧化升级，提升养老服务质量。</w:t>
      </w:r>
    </w:p>
    <w:bookmarkEnd w:id="63"/>
    <w:p>
      <w:pPr>
        <w:pStyle w:val="63"/>
        <w:numPr>
          <w:ilvl w:val="0"/>
          <w:numId w:val="24"/>
        </w:numPr>
        <w:spacing w:line="360" w:lineRule="auto"/>
        <w:ind w:firstLineChars="0"/>
        <w:rPr>
          <w:rFonts w:ascii="Arial" w:hAnsi="Arial" w:eastAsia="仿宋" w:cs="Arial"/>
          <w:b/>
          <w:bCs/>
          <w:sz w:val="24"/>
          <w:szCs w:val="24"/>
        </w:rPr>
      </w:pPr>
      <w:r>
        <w:rPr>
          <w:rFonts w:ascii="Arial" w:hAnsi="Arial" w:eastAsia="仿宋" w:cs="Arial"/>
          <w:b/>
          <w:bCs/>
          <w:sz w:val="24"/>
          <w:szCs w:val="24"/>
        </w:rPr>
        <w:t>建设机构养老服务平台</w:t>
      </w:r>
    </w:p>
    <w:p>
      <w:pPr>
        <w:pStyle w:val="63"/>
        <w:spacing w:line="360" w:lineRule="auto"/>
        <w:ind w:firstLine="480"/>
        <w:rPr>
          <w:rFonts w:ascii="Arial" w:hAnsi="Arial" w:eastAsia="仿宋" w:cs="Arial"/>
          <w:b/>
          <w:sz w:val="24"/>
          <w:szCs w:val="24"/>
        </w:rPr>
      </w:pPr>
      <w:r>
        <w:rPr>
          <w:rFonts w:ascii="Arial" w:hAnsi="Arial" w:eastAsia="仿宋" w:cs="Arial"/>
          <w:color w:val="000000"/>
          <w:sz w:val="24"/>
          <w:szCs w:val="24"/>
        </w:rPr>
        <w:t>鼓励养老机构与周边的医疗卫生机构开展多种形式的签约合作，建立健全医养业务协作机制，</w:t>
      </w:r>
      <w:r>
        <w:rPr>
          <w:rFonts w:ascii="Arial" w:hAnsi="Arial" w:eastAsia="仿宋" w:cs="Arial"/>
          <w:sz w:val="24"/>
          <w:szCs w:val="24"/>
        </w:rPr>
        <w:t>推动二级医院与老年病医院、老年护理院、康复疗养机构、养老机构内设医疗机构等之间的转诊与合作。</w:t>
      </w:r>
      <w:r>
        <w:rPr>
          <w:rFonts w:ascii="Arial" w:hAnsi="Arial" w:eastAsia="仿宋" w:cs="Arial"/>
          <w:bCs/>
          <w:sz w:val="24"/>
          <w:szCs w:val="24"/>
        </w:rPr>
        <w:t>借助专业软件建设覆盖全区、统筹城乡、高效互动的机构养老服务管理系统，帮助政府主管部门实现对养老机构进行有效的行政管理，提高运营效率和养老服务质量，同时也方便老年人实时获取各养老机构基本信息，更加便捷地选择养老机构。</w:t>
      </w:r>
    </w:p>
    <w:p>
      <w:pPr>
        <w:pStyle w:val="63"/>
        <w:numPr>
          <w:ilvl w:val="0"/>
          <w:numId w:val="24"/>
        </w:numPr>
        <w:spacing w:line="360" w:lineRule="auto"/>
        <w:ind w:left="0" w:firstLine="482"/>
        <w:rPr>
          <w:rFonts w:ascii="Arial" w:hAnsi="Arial" w:eastAsia="仿宋" w:cs="Arial"/>
          <w:b/>
          <w:sz w:val="24"/>
          <w:szCs w:val="24"/>
        </w:rPr>
      </w:pPr>
      <w:r>
        <w:rPr>
          <w:rFonts w:ascii="Arial" w:hAnsi="Arial" w:eastAsia="仿宋" w:cs="Arial"/>
          <w:b/>
          <w:bCs/>
          <w:sz w:val="24"/>
          <w:szCs w:val="24"/>
        </w:rPr>
        <w:t>建设社区养老服务平台</w:t>
      </w:r>
    </w:p>
    <w:p>
      <w:pPr>
        <w:pStyle w:val="63"/>
        <w:spacing w:line="360" w:lineRule="auto"/>
        <w:ind w:firstLine="480"/>
        <w:rPr>
          <w:rFonts w:ascii="Arial" w:hAnsi="Arial" w:eastAsia="仿宋" w:cs="Arial"/>
          <w:sz w:val="24"/>
          <w:szCs w:val="24"/>
        </w:rPr>
      </w:pPr>
      <w:r>
        <w:rPr>
          <w:rFonts w:ascii="Arial" w:hAnsi="Arial" w:eastAsia="仿宋" w:cs="Arial"/>
          <w:color w:val="000000"/>
          <w:sz w:val="24"/>
          <w:szCs w:val="24"/>
        </w:rPr>
        <w:t>支持养老机构开展医疗服务，推动医疗卫生服务延伸至社区、家庭，促进慢性病全程防治管理服务同居家、社区、机构养老紧密结合。积极开发满足高龄、患病老人的家庭照料和护理服务，</w:t>
      </w:r>
      <w:r>
        <w:rPr>
          <w:rFonts w:ascii="Arial" w:hAnsi="Arial" w:eastAsia="仿宋" w:cs="Arial"/>
          <w:sz w:val="24"/>
          <w:szCs w:val="24"/>
        </w:rPr>
        <w:t>为老年人提供治疗期住院、康复期护理、稳定期生活照料、安宁疗护一体化的健康和养老服务。</w:t>
      </w:r>
      <w:r>
        <w:rPr>
          <w:rFonts w:ascii="Arial" w:hAnsi="Arial" w:eastAsia="仿宋" w:cs="Arial"/>
          <w:bCs/>
          <w:sz w:val="24"/>
          <w:szCs w:val="24"/>
        </w:rPr>
        <w:t>建立和完善涵盖区</w:t>
      </w:r>
      <w:r>
        <w:rPr>
          <w:rFonts w:ascii="Arial" w:hAnsi="Arial" w:eastAsia="仿宋" w:cs="Arial"/>
          <w:sz w:val="24"/>
          <w:szCs w:val="24"/>
        </w:rPr>
        <w:t>、乡、社区（村）三级的社区居家养老服务网络，包括居家养老信息化服务系统、养老服务呼叫中心组成的智能化养老应用平台，以及应急救援、生活照料、电子商务等智能化养老服务网络，开发应用智能终端和养老服务APP应用等，并整合社区内各种养老服务资源，通过线上线下互动，向老年人提供生活照料、医疗保健、精神慰藉、文化娱乐等为主要内容的个性化定制服务，打造“互联网+养老”新业态。</w:t>
      </w:r>
    </w:p>
    <w:p>
      <w:pPr>
        <w:pStyle w:val="3"/>
        <w:ind w:left="482" w:hanging="482" w:hangingChars="200"/>
        <w:rPr>
          <w:rFonts w:ascii="Arial" w:hAnsi="Arial" w:eastAsia="仿宋" w:cs="Arial"/>
          <w:sz w:val="24"/>
          <w:szCs w:val="24"/>
        </w:rPr>
      </w:pPr>
      <w:bookmarkStart w:id="64" w:name="_Toc11770722"/>
      <w:bookmarkStart w:id="65" w:name="_Toc12549666"/>
      <w:bookmarkStart w:id="66" w:name="_Toc16427381"/>
      <w:bookmarkStart w:id="67" w:name="_Toc78041444"/>
      <w:bookmarkStart w:id="68" w:name="_Hlk66878962"/>
      <w:r>
        <w:rPr>
          <w:rFonts w:ascii="Arial" w:hAnsi="Arial" w:eastAsia="仿宋" w:cs="Arial"/>
          <w:sz w:val="24"/>
          <w:szCs w:val="24"/>
        </w:rPr>
        <w:t>城市治理领域工程</w:t>
      </w:r>
      <w:bookmarkEnd w:id="64"/>
      <w:bookmarkEnd w:id="65"/>
      <w:bookmarkEnd w:id="66"/>
      <w:bookmarkEnd w:id="67"/>
    </w:p>
    <w:bookmarkEnd w:id="68"/>
    <w:p>
      <w:pPr>
        <w:pStyle w:val="4"/>
        <w:numPr>
          <w:ilvl w:val="0"/>
          <w:numId w:val="25"/>
        </w:numPr>
        <w:rPr>
          <w:rFonts w:ascii="Arial" w:hAnsi="Arial" w:eastAsia="仿宋" w:cs="Arial"/>
          <w:sz w:val="24"/>
          <w:szCs w:val="24"/>
        </w:rPr>
      </w:pPr>
      <w:bookmarkStart w:id="69" w:name="_Toc78041445"/>
      <w:bookmarkStart w:id="70" w:name="_Hlk66879123"/>
      <w:r>
        <w:rPr>
          <w:rFonts w:ascii="Arial" w:hAnsi="Arial" w:eastAsia="仿宋" w:cs="Arial"/>
          <w:sz w:val="24"/>
          <w:szCs w:val="24"/>
        </w:rPr>
        <w:t>智慧城建</w:t>
      </w:r>
      <w:bookmarkEnd w:id="69"/>
    </w:p>
    <w:p>
      <w:pPr>
        <w:pStyle w:val="63"/>
        <w:spacing w:line="360" w:lineRule="auto"/>
        <w:ind w:firstLine="480"/>
        <w:rPr>
          <w:rFonts w:ascii="Arial" w:hAnsi="Arial" w:eastAsia="仿宋" w:cs="Arial"/>
          <w:sz w:val="24"/>
          <w:szCs w:val="24"/>
        </w:rPr>
      </w:pPr>
      <w:r>
        <w:rPr>
          <w:rFonts w:ascii="Arial" w:hAnsi="Arial" w:eastAsia="仿宋" w:cs="Arial"/>
          <w:sz w:val="24"/>
          <w:szCs w:val="24"/>
        </w:rPr>
        <w:t>基于时空信息服务平台和规建一体化CIM平台构建智慧城建系统“一张图”，建设全周期、全尺度、全要素的镜像孪生城市，形成与“现实城市”生长规律相契合的“数字空间”，实现对城市实体空间资源管理的“全系统架构能力”和对空间数据资源的“全方位治理能力”。对城市地上地下空间规划数据、城市二三维GIS数据、城市建筑BIM数据、市政设施BIM数据、城市IOT感知数据以及产业经济、社会民生、政务服务、交通出行等应用数据进行多源异构集成，并基于统一标准和规范，积累完整的城市大数据资产，为智慧城市规划、建设、运行管理提供统一的基础支撑。</w:t>
      </w:r>
    </w:p>
    <w:bookmarkEnd w:id="70"/>
    <w:p>
      <w:pPr>
        <w:pStyle w:val="63"/>
        <w:numPr>
          <w:ilvl w:val="0"/>
          <w:numId w:val="26"/>
        </w:numPr>
        <w:spacing w:line="360" w:lineRule="auto"/>
        <w:ind w:firstLineChars="0"/>
        <w:rPr>
          <w:rFonts w:ascii="Arial" w:hAnsi="Arial" w:eastAsia="仿宋" w:cs="Arial"/>
          <w:b/>
          <w:bCs/>
          <w:sz w:val="24"/>
          <w:szCs w:val="24"/>
        </w:rPr>
      </w:pPr>
      <w:r>
        <w:rPr>
          <w:rFonts w:ascii="Arial" w:hAnsi="Arial" w:eastAsia="仿宋" w:cs="Arial"/>
          <w:b/>
          <w:bCs/>
          <w:sz w:val="24"/>
          <w:szCs w:val="24"/>
        </w:rPr>
        <w:t>规建一体化CIM平台</w:t>
      </w:r>
    </w:p>
    <w:p>
      <w:pPr>
        <w:pStyle w:val="63"/>
        <w:spacing w:line="360" w:lineRule="auto"/>
        <w:ind w:firstLine="480"/>
        <w:rPr>
          <w:rFonts w:ascii="Arial" w:hAnsi="Arial" w:eastAsia="仿宋" w:cs="Arial"/>
          <w:sz w:val="24"/>
          <w:szCs w:val="24"/>
        </w:rPr>
      </w:pPr>
      <w:r>
        <w:rPr>
          <w:rFonts w:ascii="Arial" w:hAnsi="Arial" w:eastAsia="仿宋" w:cs="Arial"/>
          <w:sz w:val="24"/>
          <w:szCs w:val="24"/>
        </w:rPr>
        <w:t>CIM平台作为数字孪生城市的信息化底座-城市空间大数据平台，依托GIS（地理信息系统）、BIM（建筑信息模型）、IOT等技术，基于时空信息服务平台对城市地上地下空间规划数据、城市二三维GIS数据、城市建筑BIM数据、市政设施BIM数据、城市IOT感知数据以及产业经济、社会民生、政务服务、交通出行等应用数据进行多源异构集成，并提供依照统一标准和规范积累完整的城市大数据资产，为智慧城市规划、建设、运行管理提供统一的基础支撑。</w:t>
      </w:r>
    </w:p>
    <w:p>
      <w:pPr>
        <w:pStyle w:val="63"/>
        <w:spacing w:line="360" w:lineRule="auto"/>
        <w:ind w:firstLine="480"/>
        <w:rPr>
          <w:rFonts w:ascii="Arial" w:hAnsi="Arial" w:eastAsia="仿宋" w:cs="Arial"/>
          <w:sz w:val="24"/>
          <w:szCs w:val="24"/>
        </w:rPr>
      </w:pPr>
      <w:r>
        <w:rPr>
          <w:rFonts w:ascii="Arial" w:hAnsi="Arial" w:eastAsia="仿宋" w:cs="Arial"/>
          <w:sz w:val="24"/>
          <w:szCs w:val="24"/>
        </w:rPr>
        <w:t>除了建设全周期、全尺度、全要素的镜像孪生城市，形成与“现实城市”生长规律相契合的“数字空间”循环迭代、自我成长的记录模式，CIM平台还通过构建从城市现状、总体规划、控制性详细规划、城市建设方案、城市施工、城市竣工的城市规监管全生命周期的指标管控体系，将管理规范转化为全要素“电子规则库”</w:t>
      </w:r>
    </w:p>
    <w:p>
      <w:pPr>
        <w:pStyle w:val="63"/>
        <w:numPr>
          <w:ilvl w:val="0"/>
          <w:numId w:val="26"/>
        </w:numPr>
        <w:spacing w:line="360" w:lineRule="auto"/>
        <w:ind w:firstLineChars="0"/>
        <w:rPr>
          <w:rFonts w:ascii="Arial" w:hAnsi="Arial" w:eastAsia="仿宋" w:cs="Arial"/>
          <w:b/>
          <w:bCs/>
          <w:sz w:val="24"/>
          <w:szCs w:val="24"/>
        </w:rPr>
      </w:pPr>
      <w:r>
        <w:rPr>
          <w:rFonts w:ascii="Arial" w:hAnsi="Arial" w:eastAsia="仿宋" w:cs="Arial"/>
          <w:b/>
          <w:bCs/>
          <w:sz w:val="24"/>
          <w:szCs w:val="24"/>
        </w:rPr>
        <w:t>地下管线综合信息管理系统</w:t>
      </w:r>
    </w:p>
    <w:p>
      <w:pPr>
        <w:pStyle w:val="63"/>
        <w:spacing w:line="360" w:lineRule="auto"/>
        <w:ind w:firstLine="480"/>
        <w:rPr>
          <w:rFonts w:ascii="Arial" w:hAnsi="Arial" w:eastAsia="仿宋" w:cs="Arial"/>
          <w:sz w:val="24"/>
          <w:szCs w:val="24"/>
        </w:rPr>
      </w:pPr>
      <w:r>
        <w:rPr>
          <w:rFonts w:ascii="Arial" w:hAnsi="Arial" w:eastAsia="仿宋" w:cs="Arial"/>
          <w:sz w:val="24"/>
          <w:szCs w:val="24"/>
        </w:rPr>
        <w:t>通过建立管线综合信息管理系统，实现地下管线信息的动态管理和数据共享，全面掌握地下管线的基础信息和运行状态，实现与管线行业主管部门和管线权属单位的管线信息共建共享。数据实现互联互通，信息跨部门跨层级共享共用，将地下管线数据应用到城市规划、建设及管理的多个领域。针对给水、排水、燃气、电力、电信数据分别设置专题管网数据集和应用系统，功能可包括管网数据在线编辑管理、开挖申报审批善后登记管理、日常维护检修管理、模拟运行、隐患（设备老化、疏于维护）管理、异常问题快速定位、异常情况影响范围和破坏性分析、预案和应急指挥管理。</w:t>
      </w:r>
    </w:p>
    <w:p>
      <w:pPr>
        <w:pStyle w:val="63"/>
        <w:numPr>
          <w:ilvl w:val="0"/>
          <w:numId w:val="26"/>
        </w:numPr>
        <w:spacing w:line="360" w:lineRule="auto"/>
        <w:ind w:firstLineChars="0"/>
        <w:rPr>
          <w:rFonts w:ascii="Arial" w:hAnsi="Arial" w:eastAsia="仿宋" w:cs="Arial"/>
          <w:b/>
          <w:bCs/>
          <w:sz w:val="24"/>
          <w:szCs w:val="24"/>
        </w:rPr>
      </w:pPr>
      <w:r>
        <w:rPr>
          <w:rFonts w:ascii="Arial" w:hAnsi="Arial" w:eastAsia="仿宋" w:cs="Arial"/>
          <w:b/>
          <w:bCs/>
          <w:sz w:val="24"/>
          <w:szCs w:val="24"/>
        </w:rPr>
        <w:t>城市提标改造</w:t>
      </w:r>
    </w:p>
    <w:p>
      <w:pPr>
        <w:pStyle w:val="63"/>
        <w:spacing w:line="360" w:lineRule="auto"/>
        <w:ind w:firstLine="480"/>
        <w:rPr>
          <w:rFonts w:ascii="Arial" w:hAnsi="Arial" w:eastAsia="仿宋" w:cs="Arial"/>
          <w:sz w:val="24"/>
          <w:szCs w:val="24"/>
        </w:rPr>
      </w:pPr>
      <w:r>
        <w:rPr>
          <w:rFonts w:ascii="Arial" w:hAnsi="Arial" w:eastAsia="仿宋" w:cs="Arial"/>
          <w:sz w:val="24"/>
          <w:szCs w:val="24"/>
        </w:rPr>
        <w:t>在雷锋大道、月亮岛路等交通干道和旅游线路建设智慧路灯，作为智慧城市的数据入口，集成了智能照明、LED显示屏、安防监控、微环境检测、一键报警、充电桩、无线WIFI、交通指示灯等多种功能，依托望城区智慧城市运营中心IOC实现统一管控。推广安装5G智慧路井盖，帮助管理部门及时发现井盖异常打开或位移或侧翻的情况，关人员还可以手机直接导航到指定位置进行抢修，保证人身安全和财产不受损失。</w:t>
      </w:r>
    </w:p>
    <w:p>
      <w:pPr>
        <w:pStyle w:val="4"/>
        <w:numPr>
          <w:ilvl w:val="0"/>
          <w:numId w:val="25"/>
        </w:numPr>
        <w:rPr>
          <w:rFonts w:ascii="Arial" w:hAnsi="Arial" w:eastAsia="仿宋" w:cs="Arial"/>
          <w:sz w:val="24"/>
          <w:szCs w:val="24"/>
        </w:rPr>
      </w:pPr>
      <w:bookmarkStart w:id="71" w:name="_Toc78041446"/>
      <w:bookmarkStart w:id="72" w:name="_Hlk66879146"/>
      <w:r>
        <w:rPr>
          <w:rFonts w:ascii="Arial" w:hAnsi="Arial" w:eastAsia="仿宋" w:cs="Arial"/>
          <w:sz w:val="24"/>
          <w:szCs w:val="24"/>
        </w:rPr>
        <w:t>智慧应急</w:t>
      </w:r>
      <w:bookmarkEnd w:id="71"/>
    </w:p>
    <w:p>
      <w:pPr>
        <w:pStyle w:val="63"/>
        <w:spacing w:line="360" w:lineRule="auto"/>
        <w:ind w:firstLine="480"/>
        <w:rPr>
          <w:rFonts w:ascii="Arial" w:hAnsi="Arial" w:eastAsia="仿宋" w:cs="Arial"/>
          <w:sz w:val="24"/>
          <w:szCs w:val="24"/>
        </w:rPr>
      </w:pPr>
      <w:r>
        <w:rPr>
          <w:rFonts w:ascii="Arial" w:hAnsi="Arial" w:eastAsia="仿宋" w:cs="Arial"/>
          <w:sz w:val="24"/>
          <w:szCs w:val="24"/>
        </w:rPr>
        <w:t>加强信息化建设与应用，拓展高新技术应用，不断提高安全生产、防灾救灾、应急救援方面的监测预警能力、监管执法能力、辅助决策指挥能力、救援实战能力、社会动员能力，以信息化推进应急管理现代化。</w:t>
      </w:r>
    </w:p>
    <w:p>
      <w:pPr>
        <w:spacing w:line="360" w:lineRule="auto"/>
        <w:ind w:firstLine="480" w:firstLineChars="200"/>
        <w:jc w:val="both"/>
        <w:rPr>
          <w:rFonts w:ascii="Arial" w:hAnsi="Arial" w:eastAsia="仿宋" w:cs="Arial"/>
          <w:bCs/>
        </w:rPr>
      </w:pPr>
      <w:r>
        <w:rPr>
          <w:rFonts w:ascii="Arial" w:hAnsi="Arial" w:eastAsia="仿宋" w:cs="Arial"/>
          <w:bCs/>
        </w:rPr>
        <w:t>依托省、市级建设的自然灾害、事故灾难、应急救援等各类突发事件的智能应急体系，完善区级各煤矿、危险化学品生产点、自然灾害风险点的监管设施部署，搜集汇聚救援物资、救援人员等各类别资源数据并通过汇聚实现。当发生自然灾害或突发事件时，以事件类型为主导，以应急流程为依托，通过应急指挥调度系统和业务数据的汇聚，实现领导统一指挥、部门多方联动，有效提高政府的应急指挥能力，提升应急指挥效率。坚持平战结合，协同联动的原则，基于危机与灾害管理的“事前、事中、事后”的全链条管理原则，围绕“预防准备、监测预警、处置救援、事后评价”这四个方面，以建立和健全“十大能力”为主要建设目标。</w:t>
      </w:r>
    </w:p>
    <w:bookmarkEnd w:id="72"/>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构建全链条综合监管能力</w:t>
      </w:r>
    </w:p>
    <w:p>
      <w:pPr>
        <w:spacing w:line="360" w:lineRule="auto"/>
        <w:ind w:firstLine="480" w:firstLineChars="200"/>
        <w:jc w:val="both"/>
        <w:rPr>
          <w:rFonts w:ascii="Arial" w:hAnsi="Arial" w:eastAsia="仿宋" w:cs="Arial"/>
        </w:rPr>
      </w:pPr>
      <w:r>
        <w:rPr>
          <w:rFonts w:ascii="Arial" w:hAnsi="Arial" w:eastAsia="仿宋" w:cs="Arial"/>
        </w:rPr>
        <w:t>首先，针对隐患的全面综合监管。针对已识别的各级各类隐患信息，管理者根据隐患类型、等级、影响等因素，给出隐患消除的指导意见和督查意见；相关单位根据管理者意见尽快开展隐患治理工作，将督查反馈记录在系统中（考虑实现相关系统消隐结果数据的接入），系统根据消隐信息更新督查状态。</w:t>
      </w:r>
    </w:p>
    <w:p>
      <w:pPr>
        <w:spacing w:line="360" w:lineRule="auto"/>
        <w:ind w:firstLine="480" w:firstLineChars="200"/>
        <w:jc w:val="both"/>
        <w:rPr>
          <w:rFonts w:ascii="Arial" w:hAnsi="Arial" w:eastAsia="仿宋" w:cs="Arial"/>
        </w:rPr>
      </w:pPr>
      <w:r>
        <w:rPr>
          <w:rFonts w:ascii="Arial" w:hAnsi="Arial" w:eastAsia="仿宋" w:cs="Arial"/>
        </w:rPr>
        <w:t>其次，针对突发事件处置的全面综合监管。构造涵盖公共安全事件管理事前、事中、事后各业务流程的综合管理平台，实现所有业务流程可视化管理，做到准备充分、任务明确、流程清晰、处置高效、过程可监督、效果可评估、绩效可考核、责任可界定，形成应急管理业务闭环。</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构建应急资源全面掌握的能力</w:t>
      </w:r>
    </w:p>
    <w:p>
      <w:pPr>
        <w:spacing w:line="360" w:lineRule="auto"/>
        <w:ind w:firstLine="480" w:firstLineChars="200"/>
        <w:jc w:val="both"/>
        <w:rPr>
          <w:rFonts w:ascii="Arial" w:hAnsi="Arial" w:eastAsia="仿宋" w:cs="Arial"/>
          <w:bCs/>
        </w:rPr>
      </w:pPr>
      <w:r>
        <w:rPr>
          <w:rFonts w:ascii="Arial" w:hAnsi="Arial" w:eastAsia="仿宋" w:cs="Arial"/>
          <w:bCs/>
        </w:rPr>
        <w:t>依托数据共享交换平台，实现政府和各有关部门各类应急资源的统一汇总，分类管理，动态掌握应急物资、应急队伍与装备、应急避难场所等应急资源的基础信息和保障能力。基于GIS地图掌握资源的位置分布情况，并实现典型案例、应急知识等基础信息的分类汇总，辅助突发事件的全面和快速分析</w:t>
      </w:r>
      <w:r>
        <w:rPr>
          <w:rFonts w:ascii="Arial" w:hAnsi="Arial" w:eastAsia="仿宋" w:cs="Arial"/>
        </w:rPr>
        <w:t>。</w:t>
      </w:r>
    </w:p>
    <w:p>
      <w:pPr>
        <w:pStyle w:val="63"/>
        <w:numPr>
          <w:ilvl w:val="0"/>
          <w:numId w:val="27"/>
        </w:numPr>
        <w:spacing w:line="360" w:lineRule="auto"/>
        <w:ind w:firstLineChars="0"/>
        <w:rPr>
          <w:rFonts w:ascii="Arial" w:hAnsi="Arial" w:eastAsia="仿宋" w:cs="Arial"/>
          <w:b/>
          <w:sz w:val="24"/>
          <w:szCs w:val="24"/>
        </w:rPr>
      </w:pPr>
      <w:r>
        <w:rPr>
          <w:rFonts w:ascii="Arial" w:hAnsi="Arial" w:eastAsia="仿宋" w:cs="Arial"/>
          <w:b/>
          <w:bCs/>
          <w:sz w:val="24"/>
          <w:szCs w:val="24"/>
        </w:rPr>
        <w:t>构建多体征监测与智能分析能力</w:t>
      </w:r>
    </w:p>
    <w:p>
      <w:pPr>
        <w:spacing w:line="360" w:lineRule="auto"/>
        <w:ind w:firstLine="480" w:firstLineChars="200"/>
        <w:jc w:val="both"/>
        <w:rPr>
          <w:rFonts w:ascii="Arial" w:hAnsi="Arial" w:eastAsia="仿宋" w:cs="Arial"/>
          <w:bCs/>
        </w:rPr>
      </w:pPr>
      <w:r>
        <w:rPr>
          <w:rFonts w:ascii="Arial" w:hAnsi="Arial" w:eastAsia="仿宋" w:cs="Arial"/>
          <w:bCs/>
        </w:rPr>
        <w:t>建立危险源运行体征监控模型，实现资源整合、信息聚合、平台对接，监测危险源实时状态，推动应急管理由事后处置向事前防范、事前化解、事前管控转变，由单向应急管理向协同联动转变；</w:t>
      </w:r>
    </w:p>
    <w:p>
      <w:pPr>
        <w:spacing w:line="360" w:lineRule="auto"/>
        <w:ind w:firstLine="480" w:firstLineChars="200"/>
        <w:jc w:val="both"/>
        <w:rPr>
          <w:rFonts w:ascii="Arial" w:hAnsi="Arial" w:eastAsia="仿宋" w:cs="Arial"/>
          <w:bCs/>
        </w:rPr>
      </w:pPr>
      <w:r>
        <w:rPr>
          <w:rFonts w:ascii="Arial" w:hAnsi="Arial" w:eastAsia="仿宋" w:cs="Arial"/>
          <w:bCs/>
        </w:rPr>
        <w:t>通过对洪涝冰雪灾害分析、危险源异常检测、矿山遥感变化监测、风险预警算法模型等技术以加强物联感知与风险防控。增加多云纳管与云边协同，加入云边模型设备联动、边缘计算设备，对丰富的感知数据进行就近计算和汇集。</w:t>
      </w:r>
    </w:p>
    <w:p>
      <w:pPr>
        <w:spacing w:line="360" w:lineRule="auto"/>
        <w:ind w:firstLine="480" w:firstLineChars="200"/>
        <w:jc w:val="both"/>
        <w:rPr>
          <w:rFonts w:ascii="Arial" w:hAnsi="Arial" w:eastAsia="仿宋" w:cs="Arial"/>
          <w:bCs/>
        </w:rPr>
      </w:pPr>
      <w:r>
        <w:rPr>
          <w:rFonts w:ascii="Arial" w:hAnsi="Arial" w:eastAsia="仿宋" w:cs="Arial"/>
          <w:bCs/>
        </w:rPr>
        <w:t>针对相关系统未涉及的隐患类型提供隐患排查与消隐登记的相关功能，实现对隐患数据的全方位管理，同时实现应急办对隐患的督查功能；并通过可视化等手段实现对隐患排查与消隐信息的直观和详细展示，使管理者对隐患情况的宏观掌握和决策。</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构建数字化预案管理能力</w:t>
      </w:r>
    </w:p>
    <w:p>
      <w:pPr>
        <w:spacing w:line="360" w:lineRule="auto"/>
        <w:ind w:firstLine="480" w:firstLineChars="200"/>
        <w:jc w:val="both"/>
        <w:rPr>
          <w:rFonts w:ascii="Arial" w:hAnsi="Arial" w:eastAsia="仿宋" w:cs="Arial"/>
        </w:rPr>
      </w:pPr>
      <w:r>
        <w:rPr>
          <w:rFonts w:ascii="Arial" w:hAnsi="Arial" w:eastAsia="仿宋" w:cs="Arial"/>
        </w:rPr>
        <w:t>实现应急预案编制流程和预案备案的信息化处理，预案结构化处理，对各级各类应急预案的多维查询和基于图表的统计分析，针对常发事件的预案操作手册的制定；可有效提高预案编制和预案备案的管理水平，提高对预案内容的检索效率，辅助应急人员掌握各级各类应急预案及其数量和分布情况。</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构建模拟演练能力</w:t>
      </w:r>
    </w:p>
    <w:p>
      <w:pPr>
        <w:spacing w:line="360" w:lineRule="auto"/>
        <w:ind w:firstLine="480" w:firstLineChars="200"/>
        <w:jc w:val="both"/>
        <w:rPr>
          <w:rFonts w:ascii="Arial" w:hAnsi="Arial" w:eastAsia="仿宋" w:cs="Arial"/>
        </w:rPr>
      </w:pPr>
      <w:r>
        <w:rPr>
          <w:rFonts w:ascii="Arial" w:hAnsi="Arial" w:eastAsia="仿宋" w:cs="Arial"/>
        </w:rPr>
        <w:t>针对不同的模拟演练目标，根据不同的阶段、场景，结合数字预案、数字案例、数字处置方案、数字知识、数字流程等，通过构建灾害场景，多方协同参演，以二维GIS、三维仿真等为主要展现方式，实现面对危机与灾害时的预案、处置方案的推演，实现对事件处置过程的模拟演练。</w:t>
      </w:r>
    </w:p>
    <w:p>
      <w:pPr>
        <w:spacing w:line="360" w:lineRule="auto"/>
        <w:ind w:firstLine="480" w:firstLineChars="200"/>
        <w:jc w:val="both"/>
        <w:rPr>
          <w:rFonts w:ascii="Arial" w:hAnsi="Arial" w:eastAsia="仿宋" w:cs="Arial"/>
        </w:rPr>
      </w:pPr>
      <w:r>
        <w:rPr>
          <w:rFonts w:ascii="Arial" w:hAnsi="Arial" w:eastAsia="仿宋" w:cs="Arial"/>
        </w:rPr>
        <w:t>模拟演练的效果将进一步优化现有预案，在确定有相关预案的基础上，对现有预案查漏补缺，最终使预案可用、能用、有用、实用。</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构建基于IOC一张图的可视化管理、决策和指挥能力</w:t>
      </w:r>
    </w:p>
    <w:p>
      <w:pPr>
        <w:spacing w:line="360" w:lineRule="auto"/>
        <w:ind w:firstLine="480" w:firstLineChars="200"/>
        <w:jc w:val="both"/>
        <w:rPr>
          <w:rFonts w:ascii="Arial" w:hAnsi="Arial" w:eastAsia="仿宋" w:cs="Arial"/>
          <w:bCs/>
        </w:rPr>
      </w:pPr>
      <w:r>
        <w:rPr>
          <w:rFonts w:ascii="Arial" w:hAnsi="Arial" w:eastAsia="仿宋" w:cs="Arial"/>
          <w:bCs/>
        </w:rPr>
        <w:t>危机与灾害管理中，应急资源底数不清，突发事件隐患及风险情况不明，救援力量分布不详，现场信息错综复杂成为突发事件处置的一个“瓶颈”。通过一张图可视化能力的建设，综合各类应急信息资源，为指挥员科学有效应对突发事件提供强有力数据支撑服务，辅助应急科学决策、快速指挥，最终实现“图上监测隐患、图上管理资源、图上智能分析、图上视频会商、图上指挥调度”的最终效果。</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构建跨部门联动协调能力</w:t>
      </w:r>
    </w:p>
    <w:p>
      <w:pPr>
        <w:spacing w:line="360" w:lineRule="auto"/>
        <w:ind w:firstLine="480" w:firstLineChars="200"/>
        <w:jc w:val="both"/>
        <w:rPr>
          <w:rFonts w:ascii="Arial" w:hAnsi="Arial" w:eastAsia="仿宋" w:cs="Arial"/>
          <w:bCs/>
        </w:rPr>
      </w:pPr>
      <w:r>
        <w:rPr>
          <w:rFonts w:ascii="Arial" w:hAnsi="Arial" w:eastAsia="仿宋" w:cs="Arial"/>
          <w:bCs/>
        </w:rPr>
        <w:t>构建跨部门联动协调能力，支持跨部门的应急工作协同和联动调度；支持多部门间的应急信息、应急任务和其他数据的流转，最终实现跨部门的协同工作。按照突发事件种类智能匹配调度内容，包含所需调度机构、指挥机构、特定人群等，实现短信、语音等内容的智能分发。针对突发事件的事前、事中和事后，生成多种可选择的应对方案，供决策时参考使用，并实现一键调度功能。</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构建精细化应急辅助决策能力</w:t>
      </w:r>
    </w:p>
    <w:p>
      <w:pPr>
        <w:spacing w:line="360" w:lineRule="auto"/>
        <w:ind w:firstLine="480" w:firstLineChars="200"/>
        <w:jc w:val="both"/>
        <w:rPr>
          <w:rFonts w:ascii="Arial" w:hAnsi="Arial" w:eastAsia="仿宋" w:cs="Arial"/>
          <w:bCs/>
        </w:rPr>
      </w:pPr>
      <w:r>
        <w:rPr>
          <w:rFonts w:ascii="Arial" w:hAnsi="Arial" w:eastAsia="仿宋" w:cs="Arial"/>
          <w:bCs/>
        </w:rPr>
        <w:t>当突发事件发生时，应急响应平台提供历史参考、当前现场信息和未来趋势判定三个方面的决策手段为指挥官提供智能辅助决策支撑，并最终结合这三个方面生成包括指挥方案、救援方案、保障方案、工作方案、预案数字化、需求估算、方案要素管理、方案管理等一系列智能决策方案。</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构建突发事件处置融合指挥能力</w:t>
      </w:r>
    </w:p>
    <w:p>
      <w:pPr>
        <w:spacing w:line="360" w:lineRule="auto"/>
        <w:ind w:firstLine="480" w:firstLineChars="200"/>
        <w:jc w:val="both"/>
        <w:rPr>
          <w:rFonts w:ascii="Arial" w:hAnsi="Arial" w:eastAsia="仿宋" w:cs="Arial"/>
        </w:rPr>
      </w:pPr>
      <w:r>
        <w:rPr>
          <w:rFonts w:ascii="Arial" w:hAnsi="Arial" w:eastAsia="仿宋" w:cs="Arial"/>
        </w:rPr>
        <w:t>以地理空间技术为基础，紧密结合联动指挥实战需求，集空间分析技术、智能预案技术、网络技术、数据仓库技术于一体，具有应急资源信息查询和档案管理等多种综合管理功能，将大数据统一平台信息网络和通信系统接入，可在最短的时间内联动部门系统内部各相关部门、以及外部各协作部门进行协同作战，对突发事件作出有序、快速、高效地反应，更加有效地处置突发事件，保护人民生命财产。</w:t>
      </w:r>
    </w:p>
    <w:p>
      <w:pPr>
        <w:pStyle w:val="63"/>
        <w:numPr>
          <w:ilvl w:val="0"/>
          <w:numId w:val="27"/>
        </w:numPr>
        <w:spacing w:line="360" w:lineRule="auto"/>
        <w:ind w:firstLineChars="0"/>
        <w:rPr>
          <w:rFonts w:ascii="Arial" w:hAnsi="Arial" w:eastAsia="仿宋" w:cs="Arial"/>
          <w:b/>
          <w:bCs/>
          <w:sz w:val="24"/>
          <w:szCs w:val="24"/>
        </w:rPr>
      </w:pPr>
      <w:r>
        <w:rPr>
          <w:rFonts w:ascii="Arial" w:hAnsi="Arial" w:eastAsia="仿宋" w:cs="Arial"/>
          <w:b/>
          <w:bCs/>
          <w:sz w:val="24"/>
          <w:szCs w:val="24"/>
        </w:rPr>
        <w:t>构建现场移动指挥，数据采集的移动应急能力</w:t>
      </w:r>
    </w:p>
    <w:p>
      <w:pPr>
        <w:spacing w:line="360" w:lineRule="auto"/>
        <w:ind w:firstLine="480" w:firstLineChars="200"/>
        <w:jc w:val="both"/>
        <w:rPr>
          <w:rFonts w:ascii="Arial" w:hAnsi="Arial" w:eastAsia="仿宋" w:cs="Arial"/>
          <w:bCs/>
        </w:rPr>
      </w:pPr>
      <w:r>
        <w:rPr>
          <w:rFonts w:ascii="Arial" w:hAnsi="Arial" w:eastAsia="仿宋" w:cs="Arial"/>
        </w:rPr>
        <w:t>移动应急平台是政府应急平台的重要组成部分，满足突发事件现场应急指挥工作的需要。移动应急平台可通过与政府应急平台的互联互通，实现综合协调与统一指挥。移动应急平台重点实现现场音视频采集、现场通信、信息报告、指挥调度、监测监控和视频会商等主要功能，采取多种通信方式与政府、政府各个部门等相关应急平台互联互通。</w:t>
      </w:r>
    </w:p>
    <w:p>
      <w:pPr>
        <w:pStyle w:val="4"/>
        <w:numPr>
          <w:ilvl w:val="0"/>
          <w:numId w:val="25"/>
        </w:numPr>
        <w:rPr>
          <w:rFonts w:ascii="Arial" w:hAnsi="Arial" w:eastAsia="仿宋" w:cs="Arial"/>
          <w:sz w:val="24"/>
          <w:szCs w:val="24"/>
        </w:rPr>
      </w:pPr>
      <w:bookmarkStart w:id="73" w:name="_Toc78041447"/>
      <w:bookmarkStart w:id="74" w:name="_Hlk66879154"/>
      <w:r>
        <w:rPr>
          <w:rFonts w:ascii="Arial" w:hAnsi="Arial" w:eastAsia="仿宋" w:cs="Arial"/>
          <w:sz w:val="24"/>
          <w:szCs w:val="24"/>
        </w:rPr>
        <w:t>智慧交通</w:t>
      </w:r>
      <w:bookmarkEnd w:id="73"/>
    </w:p>
    <w:p>
      <w:pPr>
        <w:spacing w:line="360" w:lineRule="auto"/>
        <w:ind w:firstLine="480" w:firstLineChars="200"/>
        <w:jc w:val="both"/>
        <w:rPr>
          <w:rFonts w:ascii="Arial" w:hAnsi="Arial" w:eastAsia="仿宋" w:cs="Arial"/>
          <w:bCs/>
        </w:rPr>
      </w:pPr>
      <w:r>
        <w:rPr>
          <w:rFonts w:ascii="Arial" w:hAnsi="Arial" w:eastAsia="仿宋" w:cs="Arial"/>
          <w:bCs/>
        </w:rPr>
        <w:t>基于智慧交通一期项目的优化和补充完善，提高数据分析研判能力，为“情、指、勤、督、宣”五位一体的交通勤务模式提供技术支撑。构建交通基础设施和运输装备感知体系，通过优化交通路口信号制动感应调节功能，加强城市交通拥堵综合治理，缓解交通拥堵，大幅提高群众出行效率。优先发展城市公共交通，鼓励引导绿色公交出行，合理引导个体机动化出行。推进城乡客运服务一体化，提升公共服务均等化水平，保障城乡居民行有所乘。建设完善望城区交通运输大数据标准体系，增强大数据在综合交通运输各业务领域应用能力。利用大数据、AR实景指挥等手段解决交通事故、异常拥堵等交通事件，主动发现和处理问题，缓解警力资源不足、事件平均处理时间较长、影响通行效率等问题，提升通行效率。实现智慧交通与其他智慧应用的协调与指挥调度的互联互通。整合城市停车资源，联动城管执法管理业务，开发智慧停车应用，实现资源统筹利用和信息精准推送，建设“全区一个停车场”。构建望城区交通运输行业数据底盘，统一数据标准，提升全区城市公共交通服务水平。</w:t>
      </w:r>
    </w:p>
    <w:bookmarkEnd w:id="74"/>
    <w:p>
      <w:pPr>
        <w:pStyle w:val="63"/>
        <w:numPr>
          <w:ilvl w:val="0"/>
          <w:numId w:val="28"/>
        </w:numPr>
        <w:spacing w:line="360" w:lineRule="auto"/>
        <w:ind w:firstLineChars="0"/>
        <w:rPr>
          <w:rFonts w:ascii="Arial" w:hAnsi="Arial" w:eastAsia="仿宋" w:cs="Arial"/>
          <w:b/>
          <w:bCs/>
          <w:sz w:val="24"/>
          <w:szCs w:val="24"/>
        </w:rPr>
      </w:pPr>
      <w:r>
        <w:rPr>
          <w:rFonts w:ascii="Arial" w:hAnsi="Arial" w:eastAsia="仿宋" w:cs="Arial"/>
          <w:b/>
          <w:bCs/>
          <w:sz w:val="24"/>
          <w:szCs w:val="24"/>
        </w:rPr>
        <w:t>泛在融合的交通综合感知体系</w:t>
      </w:r>
    </w:p>
    <w:p>
      <w:pPr>
        <w:spacing w:line="360" w:lineRule="auto"/>
        <w:ind w:firstLine="480" w:firstLineChars="200"/>
        <w:jc w:val="both"/>
        <w:rPr>
          <w:rFonts w:ascii="Arial" w:hAnsi="Arial" w:eastAsia="仿宋" w:cs="Arial"/>
          <w:bCs/>
        </w:rPr>
      </w:pPr>
      <w:r>
        <w:rPr>
          <w:rFonts w:ascii="Arial" w:hAnsi="Arial" w:eastAsia="仿宋" w:cs="Arial"/>
          <w:bCs/>
        </w:rPr>
        <w:t>以高可靠、规范化、标准化传输网络支撑数据共享，通过综合利用各类视频资源和先进视频分析技术突破原有交通管理监测能力限制，面向基本交通单元，融合信号控制、车牌识别、交通事件监测、交通违法监测等各交通管理监测数据，形成可靠融合的基础交通感知系统，实现基础交通感知系统主城区全覆盖。利用公安、互联网、通信运营商、运输管理等各类直接、间接数据资源，与感知系统有机融合，形成交通监测手段无处不在的高密度、大范围交通综合感知体系。</w:t>
      </w:r>
    </w:p>
    <w:p>
      <w:pPr>
        <w:pStyle w:val="63"/>
        <w:numPr>
          <w:ilvl w:val="0"/>
          <w:numId w:val="28"/>
        </w:numPr>
        <w:spacing w:line="360" w:lineRule="auto"/>
        <w:ind w:firstLineChars="0"/>
        <w:rPr>
          <w:rFonts w:ascii="Arial" w:hAnsi="Arial" w:eastAsia="仿宋" w:cs="Arial"/>
          <w:b/>
          <w:bCs/>
          <w:sz w:val="24"/>
          <w:szCs w:val="24"/>
        </w:rPr>
      </w:pPr>
      <w:r>
        <w:rPr>
          <w:rFonts w:ascii="Arial" w:hAnsi="Arial" w:eastAsia="仿宋" w:cs="Arial"/>
          <w:b/>
          <w:bCs/>
          <w:sz w:val="24"/>
          <w:szCs w:val="24"/>
        </w:rPr>
        <w:t>交通运输态势全局监测</w:t>
      </w:r>
    </w:p>
    <w:p>
      <w:pPr>
        <w:spacing w:line="360" w:lineRule="auto"/>
        <w:ind w:firstLine="480" w:firstLineChars="200"/>
        <w:jc w:val="both"/>
        <w:rPr>
          <w:rFonts w:ascii="Arial" w:hAnsi="Arial" w:eastAsia="仿宋" w:cs="Arial"/>
          <w:bCs/>
        </w:rPr>
      </w:pPr>
      <w:r>
        <w:rPr>
          <w:rFonts w:ascii="Arial" w:hAnsi="Arial" w:eastAsia="仿宋" w:cs="Arial"/>
          <w:bCs/>
        </w:rPr>
        <w:t>建设交通运输数据中心，通过统一的路网地图表达，实现交通运素的全局综合监测，把握交通运输运行态势、发展情况，并构建协调联动机制。辅助管理者准确掌握全</w:t>
      </w:r>
      <w:r>
        <w:rPr>
          <w:rFonts w:ascii="Arial" w:hAnsi="Arial" w:eastAsia="仿宋" w:cs="Arial"/>
          <w:color w:val="000000"/>
        </w:rPr>
        <w:t>区</w:t>
      </w:r>
      <w:r>
        <w:rPr>
          <w:rFonts w:ascii="Arial" w:hAnsi="Arial" w:eastAsia="仿宋" w:cs="Arial"/>
          <w:bCs/>
        </w:rPr>
        <w:t>交通运行情况，对异常情况及时进行分析研判告警，提升交通运输精细化管理水平。包括一体化视频监控管理系统、一体化客运状态监测系统、一体化货运状态监测系统、一体化路网运行状况监测系统、交通运输综合监测大屏系统等，形成城市交通运输全局态势感知和多维监测体系。</w:t>
      </w:r>
    </w:p>
    <w:p>
      <w:pPr>
        <w:pStyle w:val="63"/>
        <w:numPr>
          <w:ilvl w:val="0"/>
          <w:numId w:val="28"/>
        </w:numPr>
        <w:spacing w:line="360" w:lineRule="auto"/>
        <w:ind w:firstLineChars="0"/>
        <w:rPr>
          <w:rFonts w:ascii="Arial" w:hAnsi="Arial" w:eastAsia="仿宋" w:cs="Arial"/>
          <w:b/>
          <w:bCs/>
          <w:sz w:val="24"/>
          <w:szCs w:val="24"/>
        </w:rPr>
      </w:pPr>
      <w:r>
        <w:rPr>
          <w:rFonts w:ascii="Arial" w:hAnsi="Arial" w:eastAsia="仿宋" w:cs="Arial"/>
          <w:b/>
          <w:bCs/>
          <w:sz w:val="24"/>
          <w:szCs w:val="24"/>
        </w:rPr>
        <w:t>交通运输重点车辆管控</w:t>
      </w:r>
    </w:p>
    <w:p>
      <w:pPr>
        <w:spacing w:line="360" w:lineRule="auto"/>
        <w:ind w:firstLine="480" w:firstLineChars="200"/>
        <w:jc w:val="both"/>
        <w:rPr>
          <w:rFonts w:ascii="Arial" w:hAnsi="Arial" w:eastAsia="仿宋" w:cs="Arial"/>
          <w:bCs/>
        </w:rPr>
      </w:pPr>
      <w:r>
        <w:rPr>
          <w:rFonts w:ascii="Arial" w:hAnsi="Arial" w:eastAsia="仿宋" w:cs="Arial"/>
          <w:bCs/>
        </w:rPr>
        <w:t>从“两客一危”、重型货车等重点车辆入手，通过将重点车辆、重点企业、重点驾驶人员在区市场监督管理局、公安交警支队、应急管理局等部门分散的业务审批数据、动态监管数据统一打通，针对全区重点车辆实现全时全域的动态监管，实时对接受到的预警实现闭环管理，从而达到重点车管控的精准管理。基于人、车、企的历史违法违章数据，建立信用评分体系，实现对重点车辆相关信息的主动监测、干预和管控。</w:t>
      </w:r>
    </w:p>
    <w:p>
      <w:pPr>
        <w:pStyle w:val="63"/>
        <w:numPr>
          <w:ilvl w:val="0"/>
          <w:numId w:val="28"/>
        </w:numPr>
        <w:spacing w:line="360" w:lineRule="auto"/>
        <w:ind w:firstLineChars="0"/>
        <w:rPr>
          <w:rFonts w:ascii="Arial" w:hAnsi="Arial" w:eastAsia="仿宋" w:cs="Arial"/>
          <w:b/>
          <w:bCs/>
          <w:sz w:val="24"/>
          <w:szCs w:val="24"/>
        </w:rPr>
      </w:pPr>
      <w:r>
        <w:rPr>
          <w:rFonts w:ascii="Arial" w:hAnsi="Arial" w:eastAsia="仿宋" w:cs="Arial"/>
          <w:b/>
          <w:bCs/>
          <w:sz w:val="24"/>
          <w:szCs w:val="24"/>
        </w:rPr>
        <w:t>公众出行信息服务</w:t>
      </w:r>
    </w:p>
    <w:p>
      <w:pPr>
        <w:spacing w:line="360" w:lineRule="auto"/>
        <w:ind w:firstLine="480" w:firstLineChars="200"/>
        <w:jc w:val="both"/>
        <w:rPr>
          <w:rFonts w:ascii="Arial" w:hAnsi="Arial" w:eastAsia="仿宋" w:cs="Arial"/>
          <w:bCs/>
        </w:rPr>
      </w:pPr>
      <w:r>
        <w:rPr>
          <w:rFonts w:ascii="Arial" w:hAnsi="Arial" w:eastAsia="仿宋" w:cs="Arial"/>
          <w:bCs/>
        </w:rPr>
        <w:t>公众出行数据服务建立在对交通运输静动态信息与</w:t>
      </w:r>
      <w:r>
        <w:rPr>
          <w:rFonts w:ascii="Arial" w:hAnsi="Arial" w:eastAsia="仿宋" w:cs="Arial"/>
        </w:rPr>
        <w:t>城管执法违停信息</w:t>
      </w:r>
      <w:r>
        <w:rPr>
          <w:rFonts w:ascii="Arial" w:hAnsi="Arial" w:eastAsia="仿宋" w:cs="Arial"/>
          <w:bCs/>
        </w:rPr>
        <w:t>进行融合汇总、分析的基础上，向公众提供全局、多点、实时可靠的综合出行信息服务，包括交通出行信息、交通基础设施状况、交通服务机构评价、交通咨询等，提高百姓出行的快捷性、安全性和经济性。</w:t>
      </w:r>
    </w:p>
    <w:p>
      <w:pPr>
        <w:pStyle w:val="4"/>
        <w:numPr>
          <w:ilvl w:val="0"/>
          <w:numId w:val="25"/>
        </w:numPr>
        <w:rPr>
          <w:rFonts w:ascii="Arial" w:hAnsi="Arial" w:eastAsia="仿宋" w:cs="Arial"/>
          <w:sz w:val="24"/>
          <w:szCs w:val="24"/>
        </w:rPr>
      </w:pPr>
      <w:bookmarkStart w:id="75" w:name="_Toc78041448"/>
      <w:bookmarkStart w:id="76" w:name="_Hlk66879166"/>
      <w:r>
        <w:rPr>
          <w:rFonts w:ascii="Arial" w:hAnsi="Arial" w:eastAsia="仿宋" w:cs="Arial"/>
          <w:sz w:val="24"/>
          <w:szCs w:val="24"/>
        </w:rPr>
        <w:t>社会征信</w:t>
      </w:r>
      <w:bookmarkEnd w:id="75"/>
    </w:p>
    <w:p>
      <w:pPr>
        <w:spacing w:line="360" w:lineRule="auto"/>
        <w:ind w:firstLine="480" w:firstLineChars="200"/>
        <w:jc w:val="both"/>
        <w:rPr>
          <w:rFonts w:ascii="Arial" w:hAnsi="Arial" w:eastAsia="仿宋" w:cs="Arial"/>
          <w:bCs/>
        </w:rPr>
      </w:pPr>
      <w:r>
        <w:rPr>
          <w:rFonts w:ascii="Arial" w:hAnsi="Arial" w:eastAsia="仿宋" w:cs="Arial"/>
          <w:bCs/>
        </w:rPr>
        <w:t>面对政府将利用海量的政务数据及企业、个人公共活动数据，望城区共享长沙市社会征信体系建设成果，对企业和个人进行评估，政府运用评估结果对企业和个人实行差别化管理，实现“简政放权、提高效能、优化机构”的管理目标。同时，通过数据采集、交换共享、信用分析、信用监测，提升政府公共服务能力，进行信用动态跟踪，达成“褒扬诚信，惩戒失信”的社会管理目标。</w:t>
      </w:r>
    </w:p>
    <w:bookmarkEnd w:id="76"/>
    <w:p>
      <w:pPr>
        <w:pStyle w:val="63"/>
        <w:numPr>
          <w:ilvl w:val="0"/>
          <w:numId w:val="29"/>
        </w:numPr>
        <w:spacing w:line="360" w:lineRule="auto"/>
        <w:ind w:firstLineChars="0"/>
        <w:rPr>
          <w:rFonts w:ascii="Arial" w:hAnsi="Arial" w:eastAsia="仿宋" w:cs="Arial"/>
          <w:b/>
          <w:bCs/>
          <w:sz w:val="24"/>
          <w:szCs w:val="24"/>
        </w:rPr>
      </w:pPr>
      <w:r>
        <w:rPr>
          <w:rFonts w:ascii="Arial" w:hAnsi="Arial" w:eastAsia="仿宋" w:cs="Arial"/>
          <w:b/>
          <w:bCs/>
          <w:sz w:val="24"/>
          <w:szCs w:val="24"/>
        </w:rPr>
        <w:t>政务信用监管服务</w:t>
      </w:r>
    </w:p>
    <w:p>
      <w:pPr>
        <w:spacing w:line="360" w:lineRule="auto"/>
        <w:ind w:firstLine="480" w:firstLineChars="200"/>
        <w:jc w:val="both"/>
        <w:rPr>
          <w:rFonts w:ascii="Arial" w:hAnsi="Arial" w:eastAsia="仿宋" w:cs="Arial"/>
          <w:bCs/>
        </w:rPr>
      </w:pPr>
      <w:r>
        <w:rPr>
          <w:rFonts w:ascii="Arial" w:hAnsi="Arial" w:eastAsia="仿宋" w:cs="Arial"/>
          <w:bCs/>
        </w:rPr>
        <w:t>以市级社会征信平台为支撑，通过信用预警模型和联动监管模型，为跨部门信用监管和业务联动提供工具。</w:t>
      </w:r>
    </w:p>
    <w:p>
      <w:pPr>
        <w:pStyle w:val="63"/>
        <w:numPr>
          <w:ilvl w:val="0"/>
          <w:numId w:val="29"/>
        </w:numPr>
        <w:spacing w:line="360" w:lineRule="auto"/>
        <w:ind w:firstLineChars="0"/>
        <w:rPr>
          <w:rFonts w:ascii="Arial" w:hAnsi="Arial" w:eastAsia="仿宋" w:cs="Arial"/>
          <w:b/>
          <w:bCs/>
          <w:sz w:val="24"/>
          <w:szCs w:val="24"/>
        </w:rPr>
      </w:pPr>
      <w:r>
        <w:rPr>
          <w:rFonts w:ascii="Arial" w:hAnsi="Arial" w:eastAsia="仿宋" w:cs="Arial"/>
          <w:b/>
          <w:bCs/>
          <w:sz w:val="24"/>
          <w:szCs w:val="24"/>
        </w:rPr>
        <w:t>大数据分析应用</w:t>
      </w:r>
    </w:p>
    <w:p>
      <w:pPr>
        <w:spacing w:line="360" w:lineRule="auto"/>
        <w:ind w:firstLine="480" w:firstLineChars="200"/>
        <w:jc w:val="both"/>
        <w:rPr>
          <w:rFonts w:ascii="Arial" w:hAnsi="Arial" w:eastAsia="仿宋" w:cs="Arial"/>
          <w:bCs/>
        </w:rPr>
      </w:pPr>
      <w:r>
        <w:rPr>
          <w:rFonts w:ascii="Arial" w:hAnsi="Arial" w:eastAsia="仿宋" w:cs="Arial"/>
          <w:bCs/>
        </w:rPr>
        <w:t>以市级社会征信平台为支撑，通过聚类、神经网络等大数据技术实现数据的挖掘、统计和分析，为信用管理者的宏观决策提供数据支撑。</w:t>
      </w:r>
    </w:p>
    <w:p>
      <w:pPr>
        <w:pStyle w:val="63"/>
        <w:numPr>
          <w:ilvl w:val="0"/>
          <w:numId w:val="29"/>
        </w:numPr>
        <w:spacing w:line="360" w:lineRule="auto"/>
        <w:ind w:firstLineChars="0"/>
        <w:rPr>
          <w:rFonts w:ascii="Arial" w:hAnsi="Arial" w:eastAsia="仿宋" w:cs="Arial"/>
          <w:b/>
          <w:bCs/>
          <w:sz w:val="24"/>
          <w:szCs w:val="24"/>
        </w:rPr>
      </w:pPr>
      <w:r>
        <w:rPr>
          <w:rFonts w:ascii="Arial" w:hAnsi="Arial" w:eastAsia="仿宋" w:cs="Arial"/>
          <w:b/>
          <w:bCs/>
          <w:sz w:val="24"/>
          <w:szCs w:val="24"/>
        </w:rPr>
        <w:t>信用数据共享开放</w:t>
      </w:r>
    </w:p>
    <w:p>
      <w:pPr>
        <w:spacing w:line="360" w:lineRule="auto"/>
        <w:ind w:firstLine="480" w:firstLineChars="200"/>
        <w:rPr>
          <w:rFonts w:ascii="Arial" w:hAnsi="Arial" w:eastAsia="仿宋" w:cs="Arial"/>
          <w:bCs/>
        </w:rPr>
      </w:pPr>
      <w:r>
        <w:rPr>
          <w:rFonts w:ascii="Arial" w:hAnsi="Arial" w:eastAsia="仿宋" w:cs="Arial"/>
          <w:bCs/>
        </w:rPr>
        <w:t>以市级社会征信平台为支撑，通过对信用数据的脱密，将一部分信用数据开放给社会公众，让更多的机构、公众参与到社会信用的开发和应用中。</w:t>
      </w:r>
    </w:p>
    <w:p>
      <w:pPr>
        <w:pStyle w:val="63"/>
        <w:numPr>
          <w:ilvl w:val="0"/>
          <w:numId w:val="29"/>
        </w:numPr>
        <w:spacing w:line="360" w:lineRule="auto"/>
        <w:ind w:firstLineChars="0"/>
        <w:rPr>
          <w:rFonts w:ascii="Arial" w:hAnsi="Arial" w:eastAsia="仿宋" w:cs="Arial"/>
          <w:b/>
          <w:bCs/>
          <w:sz w:val="24"/>
          <w:szCs w:val="24"/>
        </w:rPr>
      </w:pPr>
      <w:r>
        <w:rPr>
          <w:rFonts w:ascii="Arial" w:hAnsi="Arial" w:eastAsia="仿宋" w:cs="Arial"/>
          <w:b/>
          <w:bCs/>
          <w:sz w:val="24"/>
          <w:szCs w:val="24"/>
        </w:rPr>
        <w:t>信用数据运维运营</w:t>
      </w:r>
    </w:p>
    <w:p>
      <w:pPr>
        <w:spacing w:line="360" w:lineRule="auto"/>
        <w:ind w:firstLine="480" w:firstLineChars="200"/>
        <w:rPr>
          <w:rFonts w:ascii="Arial" w:hAnsi="Arial" w:eastAsia="仿宋" w:cs="Arial"/>
          <w:bCs/>
        </w:rPr>
      </w:pPr>
      <w:r>
        <w:rPr>
          <w:rFonts w:ascii="Arial" w:hAnsi="Arial" w:eastAsia="仿宋" w:cs="Arial"/>
          <w:bCs/>
        </w:rPr>
        <w:t>以市级社会征信平台为支撑，通过其信用数据运维运营系统与独立运营机构和机制，使信用体系的建设和应用保持长久的、旺盛的生命力。</w:t>
      </w:r>
    </w:p>
    <w:p>
      <w:pPr>
        <w:pStyle w:val="63"/>
        <w:numPr>
          <w:ilvl w:val="0"/>
          <w:numId w:val="29"/>
        </w:numPr>
        <w:spacing w:line="360" w:lineRule="auto"/>
        <w:ind w:firstLineChars="0"/>
        <w:rPr>
          <w:rFonts w:ascii="Arial" w:hAnsi="Arial" w:eastAsia="仿宋" w:cs="Arial"/>
          <w:b/>
          <w:bCs/>
          <w:sz w:val="24"/>
          <w:szCs w:val="24"/>
        </w:rPr>
      </w:pPr>
      <w:r>
        <w:rPr>
          <w:rFonts w:ascii="Arial" w:hAnsi="Arial" w:eastAsia="仿宋" w:cs="Arial"/>
          <w:b/>
          <w:bCs/>
          <w:sz w:val="24"/>
          <w:szCs w:val="24"/>
        </w:rPr>
        <w:t>信用评价</w:t>
      </w:r>
    </w:p>
    <w:p>
      <w:pPr>
        <w:spacing w:line="360" w:lineRule="auto"/>
        <w:ind w:firstLine="480" w:firstLineChars="200"/>
        <w:rPr>
          <w:rFonts w:ascii="Arial" w:hAnsi="Arial" w:eastAsia="仿宋" w:cs="Arial"/>
          <w:bCs/>
        </w:rPr>
      </w:pPr>
      <w:r>
        <w:rPr>
          <w:rFonts w:ascii="Arial" w:hAnsi="Arial" w:eastAsia="仿宋" w:cs="Arial"/>
          <w:bCs/>
        </w:rPr>
        <w:t>以市级社会征信平台为支撑，通过其科学合理的信用评价指标体系，对信用主体作出评价，客观真实的反映信用主体的信用状况，为信用体系的建设保驾护航。</w:t>
      </w:r>
    </w:p>
    <w:p>
      <w:pPr>
        <w:pStyle w:val="4"/>
        <w:numPr>
          <w:ilvl w:val="0"/>
          <w:numId w:val="25"/>
        </w:numPr>
        <w:rPr>
          <w:rFonts w:ascii="Arial" w:hAnsi="Arial" w:eastAsia="仿宋" w:cs="Arial"/>
          <w:sz w:val="24"/>
          <w:szCs w:val="24"/>
        </w:rPr>
      </w:pPr>
      <w:bookmarkStart w:id="77" w:name="_Toc78041449"/>
      <w:bookmarkStart w:id="78" w:name="_Hlk66879172"/>
      <w:r>
        <w:rPr>
          <w:rFonts w:ascii="Arial" w:hAnsi="Arial" w:eastAsia="仿宋" w:cs="Arial"/>
          <w:sz w:val="24"/>
          <w:szCs w:val="24"/>
        </w:rPr>
        <w:t>雪亮工程</w:t>
      </w:r>
      <w:bookmarkEnd w:id="77"/>
    </w:p>
    <w:p>
      <w:pPr>
        <w:spacing w:line="360" w:lineRule="auto"/>
        <w:ind w:firstLine="480" w:firstLineChars="200"/>
        <w:jc w:val="both"/>
        <w:rPr>
          <w:rFonts w:ascii="Arial" w:hAnsi="Arial" w:eastAsia="仿宋" w:cs="Arial"/>
        </w:rPr>
      </w:pPr>
      <w:r>
        <w:rPr>
          <w:rFonts w:ascii="Arial" w:hAnsi="Arial" w:eastAsia="仿宋" w:cs="Arial"/>
        </w:rPr>
        <w:t>以“实战、实用、实效”为建设原则，以视频图像信息系统计算资源中心为基础支撑，打造“雪亮工程"，服务于全区应急指挥调度和各部门常态化应用。望城区“雪亮工程”依托一体化融合指挥平台,以综治信息化为支撑、以网格化管理为基础、以公共安全视频监控联网应用为重点的“群众性治安防控工程”，把治安防范措施延伸到群众身边，发动社会力量和广大群众共享视频资源，共同参与治安防范，从而真正实现治安防控“全覆盖、无死角”。</w:t>
      </w:r>
    </w:p>
    <w:bookmarkEnd w:id="78"/>
    <w:p>
      <w:pPr>
        <w:pStyle w:val="63"/>
        <w:numPr>
          <w:ilvl w:val="0"/>
          <w:numId w:val="30"/>
        </w:numPr>
        <w:spacing w:line="360" w:lineRule="auto"/>
        <w:ind w:firstLineChars="0"/>
        <w:rPr>
          <w:rFonts w:ascii="Arial" w:hAnsi="Arial" w:eastAsia="仿宋" w:cs="Arial"/>
          <w:b/>
          <w:bCs/>
          <w:sz w:val="24"/>
          <w:szCs w:val="24"/>
        </w:rPr>
      </w:pPr>
      <w:r>
        <w:rPr>
          <w:rFonts w:ascii="Arial" w:hAnsi="Arial" w:eastAsia="仿宋" w:cs="Arial"/>
          <w:b/>
          <w:bCs/>
          <w:sz w:val="24"/>
          <w:szCs w:val="24"/>
        </w:rPr>
        <w:t>建立和完善全区监控报警联网系统</w:t>
      </w:r>
    </w:p>
    <w:p>
      <w:pPr>
        <w:spacing w:line="360" w:lineRule="auto"/>
        <w:ind w:firstLine="480" w:firstLineChars="200"/>
        <w:jc w:val="both"/>
        <w:rPr>
          <w:rFonts w:ascii="Arial" w:hAnsi="Arial" w:eastAsia="仿宋" w:cs="Arial"/>
          <w:bCs/>
        </w:rPr>
      </w:pPr>
      <w:r>
        <w:rPr>
          <w:rFonts w:ascii="Arial" w:hAnsi="Arial" w:eastAsia="仿宋" w:cs="Arial"/>
          <w:bCs/>
        </w:rPr>
        <w:t>按照“整体规划、分步实施”的原则，新增监控点和监控网络、监控中心、管理平台及机制的建设，建立和完善全区监控报警联网系统，实现对全区范围内重点单位、重要目标、治安卡口、交通要道、各大商场、超市、宾馆、住宅小区，车站、医院、学校、治安复杂场所等防范重点区域的全覆盖、无、盲点监控，有效提高社会治安能力和城市管理水平。</w:t>
      </w:r>
    </w:p>
    <w:p>
      <w:pPr>
        <w:pStyle w:val="63"/>
        <w:numPr>
          <w:ilvl w:val="0"/>
          <w:numId w:val="30"/>
        </w:numPr>
        <w:spacing w:line="360" w:lineRule="auto"/>
        <w:ind w:firstLineChars="0"/>
        <w:rPr>
          <w:rFonts w:ascii="Arial" w:hAnsi="Arial" w:eastAsia="仿宋" w:cs="Arial"/>
          <w:b/>
          <w:bCs/>
          <w:sz w:val="24"/>
          <w:szCs w:val="24"/>
        </w:rPr>
      </w:pPr>
      <w:r>
        <w:rPr>
          <w:rFonts w:ascii="Arial" w:hAnsi="Arial" w:eastAsia="仿宋" w:cs="Arial"/>
          <w:b/>
          <w:bCs/>
          <w:sz w:val="24"/>
          <w:szCs w:val="24"/>
        </w:rPr>
        <w:t>推进公共安全视频监控应用向基层和群众延伸</w:t>
      </w:r>
    </w:p>
    <w:p>
      <w:pPr>
        <w:spacing w:line="360" w:lineRule="auto"/>
        <w:ind w:firstLine="480" w:firstLineChars="200"/>
        <w:jc w:val="both"/>
        <w:rPr>
          <w:rFonts w:ascii="Arial" w:hAnsi="Arial" w:eastAsia="仿宋" w:cs="Arial"/>
        </w:rPr>
      </w:pPr>
      <w:r>
        <w:rPr>
          <w:rFonts w:ascii="Arial" w:hAnsi="Arial" w:eastAsia="仿宋" w:cs="Arial"/>
          <w:bCs/>
        </w:rPr>
        <w:t>健全区级、乡镇街道、村/社区三级视频监控联网应用工作，动员基层干部群众积极参与辖区、小区视频图像监看。研发推广“基层社会治安信息手机终端应用系统”，使辖区居民和基础网格管理员通过手机终端监看视频监控图像，及时传输治安信息。</w:t>
      </w:r>
    </w:p>
    <w:p>
      <w:pPr>
        <w:pStyle w:val="4"/>
        <w:numPr>
          <w:ilvl w:val="0"/>
          <w:numId w:val="25"/>
        </w:numPr>
        <w:rPr>
          <w:rFonts w:ascii="Arial" w:hAnsi="Arial" w:eastAsia="仿宋" w:cs="Arial"/>
          <w:sz w:val="24"/>
          <w:szCs w:val="24"/>
        </w:rPr>
      </w:pPr>
      <w:bookmarkStart w:id="79" w:name="_Toc78041450"/>
      <w:bookmarkStart w:id="80" w:name="_Hlk66879177"/>
      <w:r>
        <w:rPr>
          <w:rFonts w:ascii="Arial" w:hAnsi="Arial" w:eastAsia="仿宋" w:cs="Arial"/>
          <w:sz w:val="24"/>
          <w:szCs w:val="24"/>
        </w:rPr>
        <w:t>社会治理</w:t>
      </w:r>
      <w:bookmarkEnd w:id="79"/>
    </w:p>
    <w:p>
      <w:pPr>
        <w:spacing w:line="360" w:lineRule="auto"/>
        <w:ind w:firstLine="480" w:firstLineChars="200"/>
        <w:jc w:val="both"/>
        <w:rPr>
          <w:rFonts w:ascii="Arial" w:hAnsi="Arial" w:eastAsia="仿宋" w:cs="Arial"/>
          <w:bCs/>
        </w:rPr>
      </w:pPr>
      <w:r>
        <w:rPr>
          <w:rFonts w:ascii="Arial" w:hAnsi="Arial" w:eastAsia="仿宋" w:cs="Arial"/>
          <w:bCs/>
        </w:rPr>
        <w:t>按照中央关于社会治理现代化的总体要求，以设区市为主要治理载体，以治理理念现代化、治理体系现代化、治理能力现代化为重点内容，在长沙市级层面领导下统筹谋划和实施治理，加快提升社会治理的社会化、法治化、智能化、专业化水平的发展过程。全面整合综治、公安、应急、民政、城管等多个职能部门的各类管理服务资源，统一管理，充分发挥现代信息技术的优势，推动城市管理能力创新提升，实现望城区的每一个单元、每一个因子“上线”联网，完成城市管理信息的智能化收集、整理、融合。坚持和完善共建共治共享的社会治理制度，实现基层政府、市场、社会组织与民众等利益相关主体对公共事务的共同治理，建设人人有责、人人尽责、人人享有的社会治理共同体。</w:t>
      </w:r>
    </w:p>
    <w:bookmarkEnd w:id="80"/>
    <w:p>
      <w:pPr>
        <w:pStyle w:val="63"/>
        <w:numPr>
          <w:ilvl w:val="0"/>
          <w:numId w:val="31"/>
        </w:numPr>
        <w:spacing w:line="360" w:lineRule="auto"/>
        <w:ind w:firstLineChars="0"/>
        <w:rPr>
          <w:rFonts w:ascii="Arial" w:hAnsi="Arial" w:eastAsia="仿宋" w:cs="Arial"/>
          <w:b/>
          <w:bCs/>
          <w:sz w:val="24"/>
          <w:szCs w:val="24"/>
        </w:rPr>
      </w:pPr>
      <w:r>
        <w:rPr>
          <w:rFonts w:ascii="Arial" w:hAnsi="Arial" w:eastAsia="仿宋" w:cs="Arial"/>
          <w:b/>
          <w:bCs/>
          <w:sz w:val="24"/>
          <w:szCs w:val="24"/>
        </w:rPr>
        <w:t>完善网格化治理一张图</w:t>
      </w:r>
    </w:p>
    <w:p>
      <w:pPr>
        <w:spacing w:line="360" w:lineRule="auto"/>
        <w:ind w:firstLine="480" w:firstLineChars="200"/>
        <w:jc w:val="both"/>
        <w:rPr>
          <w:rFonts w:ascii="Arial" w:hAnsi="Arial" w:eastAsia="仿宋" w:cs="Arial"/>
        </w:rPr>
      </w:pPr>
      <w:r>
        <w:rPr>
          <w:rFonts w:ascii="Arial" w:hAnsi="Arial" w:eastAsia="仿宋" w:cs="Arial"/>
        </w:rPr>
        <w:t>依托望城区社会治理服务平台支撑城市管理和社会综合治理，实现网格内“人、地、事、物、组织”等全要素信息的聚集和常态化管理，通过区级多部门数据汇集收集基础信息、管理监督巡查、反映群众需求、发现报告问题、排查化解矛盾、协助解决问题、动员公众参与等。</w:t>
      </w:r>
    </w:p>
    <w:p>
      <w:pPr>
        <w:pStyle w:val="63"/>
        <w:numPr>
          <w:ilvl w:val="0"/>
          <w:numId w:val="31"/>
        </w:numPr>
        <w:spacing w:line="360" w:lineRule="auto"/>
        <w:ind w:firstLineChars="0"/>
        <w:rPr>
          <w:rFonts w:ascii="Arial" w:hAnsi="Arial" w:eastAsia="仿宋" w:cs="Arial"/>
          <w:b/>
          <w:bCs/>
          <w:sz w:val="24"/>
          <w:szCs w:val="24"/>
        </w:rPr>
      </w:pPr>
      <w:r>
        <w:rPr>
          <w:rFonts w:ascii="Arial" w:hAnsi="Arial" w:eastAsia="仿宋" w:cs="Arial"/>
          <w:b/>
          <w:bCs/>
          <w:sz w:val="24"/>
          <w:szCs w:val="24"/>
        </w:rPr>
        <w:t>建设“一呼通”平台</w:t>
      </w:r>
    </w:p>
    <w:p>
      <w:pPr>
        <w:spacing w:line="360" w:lineRule="auto"/>
        <w:ind w:firstLine="480" w:firstLineChars="200"/>
        <w:jc w:val="both"/>
        <w:rPr>
          <w:rFonts w:ascii="Arial" w:hAnsi="Arial" w:eastAsia="仿宋" w:cs="Arial"/>
        </w:rPr>
      </w:pPr>
      <w:r>
        <w:rPr>
          <w:rFonts w:ascii="Arial" w:hAnsi="Arial" w:eastAsia="仿宋" w:cs="Arial"/>
          <w:color w:val="000000"/>
        </w:rPr>
        <w:t>推进平台与</w:t>
      </w:r>
      <w:r>
        <w:rPr>
          <w:rFonts w:hint="eastAsia" w:ascii="Arial" w:hAnsi="Arial" w:eastAsia="仿宋" w:cs="Arial"/>
        </w:rPr>
        <w:t>望事通</w:t>
      </w:r>
      <w:r>
        <w:rPr>
          <w:rFonts w:ascii="Arial" w:hAnsi="Arial" w:eastAsia="仿宋" w:cs="Arial"/>
        </w:rPr>
        <w:t>APP</w:t>
      </w:r>
      <w:r>
        <w:rPr>
          <w:rFonts w:ascii="Arial" w:hAnsi="Arial" w:eastAsia="仿宋" w:cs="Arial"/>
          <w:color w:val="000000"/>
        </w:rPr>
        <w:t>、雷锋580、12345热线、区长信箱、秸秆焚烧等平台进行对接</w:t>
      </w:r>
      <w:r>
        <w:rPr>
          <w:rFonts w:ascii="Arial" w:hAnsi="Arial" w:eastAsia="仿宋" w:cs="Arial"/>
        </w:rPr>
        <w:t>，在面向用户的应用层面建设评价分析、工单分拨、网格管理、热点分析（可视化）、联动吹哨、咨询服务典型案例库等场景，实现全区一个平台受理、派发、反馈、分拨社会治理事件。鼓励市民通过手机客户端等方式举报各类城市、社会治理问题，提高公众参与度和社会监督面，逐步形成全社会共同参与、多部门协作的开放式网格管理体系，提升基层社会治理精细化、智能化、高效化、现代化水平。</w:t>
      </w:r>
    </w:p>
    <w:p>
      <w:pPr>
        <w:pStyle w:val="63"/>
        <w:numPr>
          <w:ilvl w:val="0"/>
          <w:numId w:val="31"/>
        </w:numPr>
        <w:spacing w:line="360" w:lineRule="auto"/>
        <w:ind w:firstLineChars="0"/>
        <w:rPr>
          <w:rFonts w:ascii="Arial" w:hAnsi="Arial" w:eastAsia="仿宋" w:cs="Arial"/>
          <w:b/>
          <w:bCs/>
          <w:sz w:val="24"/>
          <w:szCs w:val="24"/>
        </w:rPr>
      </w:pPr>
      <w:r>
        <w:rPr>
          <w:rFonts w:ascii="Arial" w:hAnsi="Arial" w:eastAsia="仿宋" w:cs="Arial"/>
          <w:b/>
          <w:bCs/>
          <w:sz w:val="24"/>
          <w:szCs w:val="24"/>
        </w:rPr>
        <w:t>推动综治信息平台实战运行</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依托信息化手段，构建贯通区、街镇、社区（村）三级，联通相关领域的市域社会治理信息综合、指挥调度、联动处置体系。采用“9+X”模式，构建综治信息系统总体框架。“9”是根据现阶段综治业务需要，设置9大基础应用模块，包括综治组织及综合业务、实有人口、特殊人群、重点青少年、非公有制经济组织和社会组织、社会治安、矛盾纠纷排查化解、校园及周边安全、护路护线等，在此基础上实现大数据挖掘、研判分析、统计报表、综合查询等深度应用。“X”是各地、各层级根据业务工作需要进行的个性化定制和扩展延伸。通过信息采集、案（事）件流转等，动态掌握人、地、物、事、组织等基础信息，并整合教育、公安、民政、司法、住房保障、交通运输、卫健、市场、安全生产监管等相关业务数据，进行数据交换、关联对比，实现综治相关数据资源互通共享。</w:t>
      </w:r>
    </w:p>
    <w:p>
      <w:pPr>
        <w:pStyle w:val="4"/>
        <w:numPr>
          <w:ilvl w:val="0"/>
          <w:numId w:val="25"/>
        </w:numPr>
        <w:rPr>
          <w:rFonts w:ascii="Arial" w:hAnsi="Arial" w:eastAsia="仿宋" w:cs="Arial"/>
          <w:sz w:val="24"/>
          <w:szCs w:val="24"/>
        </w:rPr>
      </w:pPr>
      <w:bookmarkStart w:id="81" w:name="_Toc78041451"/>
      <w:bookmarkStart w:id="82" w:name="_Hlk66879184"/>
      <w:r>
        <w:rPr>
          <w:rFonts w:ascii="Arial" w:hAnsi="Arial" w:eastAsia="仿宋" w:cs="Arial"/>
          <w:sz w:val="24"/>
          <w:szCs w:val="24"/>
        </w:rPr>
        <w:t>智慧城管</w:t>
      </w:r>
      <w:bookmarkEnd w:id="81"/>
    </w:p>
    <w:p>
      <w:pPr>
        <w:spacing w:line="360" w:lineRule="auto"/>
        <w:ind w:firstLine="480" w:firstLineChars="200"/>
        <w:jc w:val="both"/>
        <w:rPr>
          <w:rFonts w:ascii="Arial" w:hAnsi="Arial" w:eastAsia="仿宋" w:cs="Arial"/>
          <w:bCs/>
        </w:rPr>
      </w:pPr>
      <w:r>
        <w:rPr>
          <w:rFonts w:ascii="Arial" w:hAnsi="Arial" w:eastAsia="仿宋" w:cs="Arial"/>
          <w:bCs/>
        </w:rPr>
        <w:t>以习</w:t>
      </w:r>
      <w:r>
        <w:rPr>
          <w:rFonts w:hint="eastAsia" w:ascii="Arial" w:hAnsi="Arial" w:eastAsia="仿宋" w:cs="Arial"/>
          <w:bCs/>
          <w:lang w:eastAsia="zh-CN"/>
        </w:rPr>
        <w:t>近平</w:t>
      </w:r>
      <w:r>
        <w:rPr>
          <w:rFonts w:ascii="Arial" w:hAnsi="Arial" w:eastAsia="仿宋" w:cs="Arial"/>
          <w:bCs/>
        </w:rPr>
        <w:t>总书记提出的“提高城市管理水平，要在科学化、精细化、智能化上下功夫”为指导思想，促进现代信息技术与城市治理相融合，加强城市综合管理和服务体系智能化建设，整合城市管理资源，打造用数据说话、用数据管理、用数据决策、用数据创新的城市管理新机制，全面构建感知、分析、服务、监察、指挥“五位一体”的新型智慧城市管理模式，提高城市管理水平，促进城市运行高效有序。</w:t>
      </w:r>
    </w:p>
    <w:bookmarkEnd w:id="82"/>
    <w:p>
      <w:pPr>
        <w:pStyle w:val="63"/>
        <w:numPr>
          <w:ilvl w:val="0"/>
          <w:numId w:val="32"/>
        </w:numPr>
        <w:spacing w:line="360" w:lineRule="auto"/>
        <w:ind w:firstLineChars="0"/>
        <w:rPr>
          <w:rFonts w:ascii="Arial" w:hAnsi="Arial" w:eastAsia="仿宋" w:cs="Arial"/>
          <w:b/>
          <w:bCs/>
          <w:sz w:val="24"/>
          <w:szCs w:val="24"/>
        </w:rPr>
      </w:pPr>
      <w:r>
        <w:rPr>
          <w:rFonts w:ascii="Arial" w:hAnsi="Arial" w:eastAsia="仿宋" w:cs="Arial"/>
          <w:b/>
          <w:bCs/>
          <w:sz w:val="24"/>
          <w:szCs w:val="24"/>
        </w:rPr>
        <w:t>城管事件感知引擎</w:t>
      </w:r>
    </w:p>
    <w:p>
      <w:pPr>
        <w:spacing w:line="360" w:lineRule="auto"/>
        <w:ind w:firstLine="480" w:firstLineChars="200"/>
        <w:jc w:val="both"/>
        <w:rPr>
          <w:rFonts w:ascii="Arial" w:hAnsi="Arial" w:eastAsia="仿宋" w:cs="Arial"/>
        </w:rPr>
      </w:pPr>
      <w:r>
        <w:rPr>
          <w:rFonts w:ascii="Arial" w:hAnsi="Arial" w:eastAsia="仿宋" w:cs="Arial"/>
        </w:rPr>
        <w:t>根据事件上报的信息，通过事件信息中的特征分析出城市具体事件分类。通过事件分类关联到权责单位，同时分析通过不同来源上报的重复事件和群体事件，最终实现事件的智能化分类与权责处置分配。基于自然语言处理能力、图像分析能力等对各类城市事件进行识别验证，通过梳理城市事件的分类标准，梳理权责清单和派发依据，建立智能化事件派发体系，通过机器学习实现事件精准派发。</w:t>
      </w:r>
    </w:p>
    <w:p>
      <w:pPr>
        <w:pStyle w:val="63"/>
        <w:numPr>
          <w:ilvl w:val="0"/>
          <w:numId w:val="32"/>
        </w:numPr>
        <w:spacing w:line="360" w:lineRule="auto"/>
        <w:ind w:firstLineChars="0"/>
        <w:rPr>
          <w:rFonts w:ascii="Arial" w:hAnsi="Arial" w:eastAsia="仿宋" w:cs="Arial"/>
          <w:b/>
          <w:bCs/>
          <w:sz w:val="24"/>
          <w:szCs w:val="24"/>
        </w:rPr>
      </w:pPr>
      <w:r>
        <w:rPr>
          <w:rFonts w:ascii="Arial" w:hAnsi="Arial" w:eastAsia="仿宋" w:cs="Arial"/>
          <w:b/>
          <w:bCs/>
          <w:sz w:val="24"/>
          <w:szCs w:val="24"/>
        </w:rPr>
        <w:t>建设城管智慧执法系统和处罚数据审核平台</w:t>
      </w:r>
    </w:p>
    <w:p>
      <w:pPr>
        <w:spacing w:line="360" w:lineRule="auto"/>
        <w:ind w:firstLine="480" w:firstLineChars="200"/>
        <w:rPr>
          <w:rFonts w:ascii="Arial" w:hAnsi="Arial" w:eastAsia="仿宋" w:cs="Arial"/>
        </w:rPr>
      </w:pPr>
      <w:r>
        <w:rPr>
          <w:rFonts w:ascii="Arial" w:hAnsi="Arial" w:eastAsia="仿宋" w:cs="Arial"/>
        </w:rPr>
        <w:t>根据国务院办公厅《关于全面推行行政执法公示制度执法全过程记录制度重大执法决定法制审核制度的指导意见》（国办发〔2018〕118号）和住房和城乡建设部《关于全面推行行政执法公示制度执法全过程记录制度重大执法决定法制审核制度的实施方案》（建法函〔2019〕53号）要求，对违停告知单、执法单位、执法人员、违法信息采集的设备等进行统一管理，将地理信息、音视频与执法过程有效结合，实现执法过程透明公开。执法采集数据上传后经过处罚数据审核平台审核通过，推送至交警相关业务系统列入处罚，建立和完善业务部门管理与综合执法信息衔接制度，提升城管执法信息化水平和综合执法效率，规范办案流程。</w:t>
      </w:r>
    </w:p>
    <w:p>
      <w:pPr>
        <w:pStyle w:val="63"/>
        <w:numPr>
          <w:ilvl w:val="0"/>
          <w:numId w:val="32"/>
        </w:numPr>
        <w:spacing w:line="360" w:lineRule="auto"/>
        <w:ind w:firstLineChars="0"/>
        <w:rPr>
          <w:rFonts w:ascii="Arial" w:hAnsi="Arial" w:eastAsia="仿宋" w:cs="Arial"/>
          <w:b/>
          <w:bCs/>
          <w:sz w:val="24"/>
          <w:szCs w:val="24"/>
        </w:rPr>
      </w:pPr>
      <w:r>
        <w:rPr>
          <w:rFonts w:ascii="Arial" w:hAnsi="Arial" w:eastAsia="仿宋" w:cs="Arial"/>
          <w:b/>
          <w:bCs/>
          <w:sz w:val="24"/>
          <w:szCs w:val="24"/>
        </w:rPr>
        <w:t>建设城管视频监测分析平台</w:t>
      </w:r>
    </w:p>
    <w:p>
      <w:pPr>
        <w:spacing w:line="360" w:lineRule="auto"/>
        <w:ind w:firstLine="480" w:firstLineChars="200"/>
        <w:jc w:val="both"/>
        <w:rPr>
          <w:rFonts w:ascii="Arial" w:hAnsi="Arial" w:eastAsia="仿宋" w:cs="Arial"/>
        </w:rPr>
      </w:pPr>
      <w:r>
        <w:rPr>
          <w:rFonts w:ascii="Arial" w:hAnsi="Arial" w:eastAsia="仿宋" w:cs="Arial"/>
        </w:rPr>
        <w:t>整合、对接望城区各部门已有视频监控资源，运用人工智能和大数据分析技术，对设置的监控区域实行24小时动态实时监控检测，对监控区域内的违规类型进行实时的检测报警。主要实现对违章停车、出店经营、暴露垃圾、乱堆物料、沿街晾晒等城管问题的智能抓拍，解决了传统多人“盯屏”，分析滞后的问题，提升城市管理问题发现效率。</w:t>
      </w:r>
    </w:p>
    <w:p>
      <w:pPr>
        <w:pStyle w:val="63"/>
        <w:numPr>
          <w:ilvl w:val="0"/>
          <w:numId w:val="32"/>
        </w:numPr>
        <w:spacing w:line="360" w:lineRule="auto"/>
        <w:ind w:firstLineChars="0"/>
        <w:rPr>
          <w:rFonts w:ascii="Arial" w:hAnsi="Arial" w:eastAsia="仿宋" w:cs="Arial"/>
          <w:b/>
          <w:bCs/>
          <w:sz w:val="24"/>
          <w:szCs w:val="24"/>
        </w:rPr>
      </w:pPr>
      <w:r>
        <w:rPr>
          <w:rFonts w:ascii="Arial" w:hAnsi="Arial" w:eastAsia="仿宋" w:cs="Arial"/>
          <w:b/>
          <w:bCs/>
          <w:sz w:val="24"/>
          <w:szCs w:val="24"/>
        </w:rPr>
        <w:t>建设智慧市政系统</w:t>
      </w:r>
    </w:p>
    <w:p>
      <w:pPr>
        <w:spacing w:line="360" w:lineRule="auto"/>
        <w:ind w:firstLine="480" w:firstLineChars="200"/>
        <w:jc w:val="both"/>
        <w:rPr>
          <w:rFonts w:ascii="Arial" w:hAnsi="Arial" w:eastAsia="仿宋" w:cs="Arial"/>
        </w:rPr>
      </w:pPr>
      <w:r>
        <w:rPr>
          <w:rFonts w:ascii="Arial" w:hAnsi="Arial" w:eastAsia="仿宋" w:cs="Arial"/>
        </w:rPr>
        <w:t>以保障城市“路平、灯亮、水通”为目标，运用物联感知技术，实现对道路、照明、桥梁、排水、供水、供气等市政设施日常管理养护的在线监测、智能告警、高效派遣、长效考核，提高市政设施管理水平和群众满意度。</w:t>
      </w:r>
    </w:p>
    <w:p>
      <w:pPr>
        <w:pStyle w:val="63"/>
        <w:numPr>
          <w:ilvl w:val="0"/>
          <w:numId w:val="32"/>
        </w:numPr>
        <w:spacing w:line="360" w:lineRule="auto"/>
        <w:ind w:firstLineChars="0"/>
        <w:rPr>
          <w:rFonts w:ascii="Arial" w:hAnsi="Arial" w:eastAsia="仿宋" w:cs="Arial"/>
          <w:b/>
          <w:bCs/>
          <w:sz w:val="24"/>
          <w:szCs w:val="24"/>
        </w:rPr>
      </w:pPr>
      <w:r>
        <w:rPr>
          <w:rFonts w:ascii="Arial" w:hAnsi="Arial" w:eastAsia="仿宋" w:cs="Arial"/>
          <w:b/>
          <w:bCs/>
          <w:sz w:val="24"/>
          <w:szCs w:val="24"/>
        </w:rPr>
        <w:t>建设智慧管服务平台</w:t>
      </w:r>
    </w:p>
    <w:p>
      <w:pPr>
        <w:spacing w:line="360" w:lineRule="auto"/>
        <w:ind w:firstLine="480" w:firstLineChars="200"/>
        <w:jc w:val="both"/>
        <w:rPr>
          <w:rFonts w:ascii="Arial" w:hAnsi="Arial" w:eastAsia="仿宋" w:cs="Arial"/>
        </w:rPr>
      </w:pPr>
      <w:r>
        <w:rPr>
          <w:rFonts w:ascii="Arial" w:hAnsi="Arial" w:eastAsia="仿宋" w:cs="Arial"/>
        </w:rPr>
        <w:t>在重点监测工地安装视频、黑车识别、冲洗判断、FRID设备，实现车辆进出工地信息自动判断，实现冲洗视频保留以及工地实时出土量自动统计。通过车载终设备进行运输过程数据采集和自动判断，运输过程实现动态管控，对是否密闭运输、是否偏离线路、是否沿路抛洒、是否违规倾倒、是否超速等违章行为自动识别和报警。对消纳场实现车辆进出的自动判断、冲洗视频保留。用技术手段管控“渣土三黑”，降低交通事故发生率，改善城市环境和空气质量，助力建设文明城市。</w:t>
      </w:r>
    </w:p>
    <w:p>
      <w:pPr>
        <w:pStyle w:val="63"/>
        <w:numPr>
          <w:ilvl w:val="0"/>
          <w:numId w:val="32"/>
        </w:numPr>
        <w:spacing w:line="360" w:lineRule="auto"/>
        <w:ind w:firstLineChars="0"/>
        <w:rPr>
          <w:rFonts w:ascii="Arial" w:hAnsi="Arial" w:eastAsia="仿宋" w:cs="Arial"/>
          <w:b/>
          <w:bCs/>
          <w:sz w:val="24"/>
          <w:szCs w:val="24"/>
        </w:rPr>
      </w:pPr>
      <w:r>
        <w:rPr>
          <w:rFonts w:ascii="Arial" w:hAnsi="Arial" w:eastAsia="仿宋" w:cs="Arial"/>
          <w:b/>
          <w:bCs/>
          <w:sz w:val="24"/>
          <w:szCs w:val="24"/>
        </w:rPr>
        <w:t>垃圾分类减量管理工作</w:t>
      </w:r>
    </w:p>
    <w:p>
      <w:pPr>
        <w:spacing w:line="360" w:lineRule="auto"/>
        <w:ind w:firstLine="480" w:firstLineChars="200"/>
        <w:jc w:val="both"/>
        <w:rPr>
          <w:rFonts w:ascii="Arial" w:hAnsi="Arial" w:eastAsia="仿宋" w:cs="Arial"/>
          <w:bCs/>
        </w:rPr>
      </w:pPr>
      <w:r>
        <w:rPr>
          <w:rFonts w:ascii="Arial" w:hAnsi="Arial" w:eastAsia="仿宋" w:cs="Arial"/>
          <w:bCs/>
        </w:rPr>
        <w:t>依托移动互联网、物联网、云计算等技术，通过信息化手段，从垃圾分类宣传、垃圾分类投递、垃圾分类收集、垃圾分类清运、垃圾分类处理等方面着手，对垃圾分类各个环节进行智能化管理。包括对垃圾分类设备的感知和管理、智能网络化的家庭垃圾分类管理、垃圾清运追踪管理，以及为管理人员涉及的垃圾分类宣传管理和数据分析功能。通过分类有标准、监管有手段，协同强化监督检查，动员市民养成分类习惯，实现垃圾的城市精细化管理。</w:t>
      </w:r>
    </w:p>
    <w:p>
      <w:pPr>
        <w:pStyle w:val="4"/>
        <w:rPr>
          <w:rFonts w:ascii="Arial" w:hAnsi="Arial" w:eastAsia="仿宋" w:cs="Arial"/>
          <w:sz w:val="24"/>
          <w:szCs w:val="24"/>
        </w:rPr>
      </w:pPr>
      <w:bookmarkStart w:id="83" w:name="_Toc78041452"/>
      <w:bookmarkStart w:id="84" w:name="_Hlk66879190"/>
      <w:bookmarkStart w:id="85" w:name="_Hlk66781442"/>
      <w:r>
        <w:rPr>
          <w:rFonts w:ascii="Arial" w:hAnsi="Arial" w:eastAsia="仿宋" w:cs="Arial"/>
          <w:sz w:val="24"/>
          <w:szCs w:val="24"/>
        </w:rPr>
        <w:t>智慧消防</w:t>
      </w:r>
      <w:bookmarkEnd w:id="83"/>
    </w:p>
    <w:p>
      <w:pPr>
        <w:spacing w:line="360" w:lineRule="auto"/>
        <w:ind w:firstLine="480" w:firstLineChars="200"/>
        <w:jc w:val="both"/>
        <w:rPr>
          <w:rFonts w:ascii="Arial" w:hAnsi="Arial" w:eastAsia="仿宋" w:cs="Arial"/>
          <w:bCs/>
        </w:rPr>
      </w:pPr>
      <w:r>
        <w:rPr>
          <w:rFonts w:ascii="Arial" w:hAnsi="Arial" w:eastAsia="仿宋" w:cs="Arial"/>
          <w:bCs/>
        </w:rPr>
        <w:t>运用物联网、云计算、大数据等技术实现联网单位消防系统实时监控，通过接入不同厂商的视频监控、水电风烟、温度、可燃气体、红外等物联网传感器及消控主机，打破目前传统消防系统独立、消防信息孤岛的现状，实现对联网单位人、事、物的统一监管。通过AI智能算法充分利用各重点单位已建设的视频监控及消防设施，实现火情、消防通道及疏散通道占用、消控室无人值守等风险场景预警，并联动消防业务平台分级弹窗、报警及消防救援指导，协助联网单位快速发现、定位、解决火灾报警信息，为消防管理部门提供消防数据信息和科学手段支撑，共同打造实时、高效、智能的消防生态系统。</w:t>
      </w:r>
    </w:p>
    <w:bookmarkEnd w:id="84"/>
    <w:p>
      <w:pPr>
        <w:pStyle w:val="63"/>
        <w:numPr>
          <w:ilvl w:val="0"/>
          <w:numId w:val="33"/>
        </w:numPr>
        <w:spacing w:line="360" w:lineRule="auto"/>
        <w:ind w:left="0" w:firstLine="482"/>
        <w:rPr>
          <w:rFonts w:ascii="Arial" w:hAnsi="Arial" w:eastAsia="仿宋" w:cs="Arial"/>
          <w:b/>
          <w:bCs/>
          <w:sz w:val="24"/>
          <w:szCs w:val="24"/>
        </w:rPr>
      </w:pPr>
      <w:r>
        <w:rPr>
          <w:rFonts w:ascii="Arial" w:hAnsi="Arial" w:eastAsia="仿宋" w:cs="Arial"/>
          <w:b/>
          <w:bCs/>
          <w:sz w:val="24"/>
          <w:szCs w:val="24"/>
        </w:rPr>
        <w:t>智慧消防监管服务平台</w:t>
      </w:r>
    </w:p>
    <w:p>
      <w:pPr>
        <w:spacing w:line="360" w:lineRule="auto"/>
        <w:ind w:firstLine="480" w:firstLineChars="200"/>
        <w:jc w:val="both"/>
        <w:rPr>
          <w:rFonts w:ascii="Arial" w:hAnsi="Arial" w:eastAsia="仿宋" w:cs="Arial"/>
          <w:bCs/>
        </w:rPr>
      </w:pPr>
      <w:r>
        <w:rPr>
          <w:rFonts w:ascii="Arial" w:hAnsi="Arial" w:eastAsia="仿宋" w:cs="Arial"/>
          <w:bCs/>
        </w:rPr>
        <w:t>智慧消防监管服务平台运用物联网、云计算、大数据等技术实现信息联网实时监控，打破目前传统消防系统独立、消防信息孤岛的现状，实现对联网单位人、事、物的统一监管，并通过AI智能算法充分利用各重点单位已建设的视频监控及消防设施，实现消防安全隐患事前预警、事中报警、事后管理，遏制重特大火灾事故发生。实现自动化、智能化的火情、消防通道及疏散通道占用、消控室无人值守等风险场景预警，联动消防业务平台分级弹窗、报警及消防救援指导，共同打造实时、高效、智能的消防生态系统。为消防管理部门提供消防数据信息和科学手段支撑，为联网单位的消防安全保驾护航。</w:t>
      </w:r>
    </w:p>
    <w:p>
      <w:pPr>
        <w:pStyle w:val="63"/>
        <w:numPr>
          <w:ilvl w:val="0"/>
          <w:numId w:val="33"/>
        </w:numPr>
        <w:spacing w:line="360" w:lineRule="auto"/>
        <w:ind w:left="0" w:firstLine="482"/>
        <w:rPr>
          <w:rFonts w:ascii="Arial" w:hAnsi="Arial" w:eastAsia="仿宋" w:cs="Arial"/>
          <w:b/>
          <w:bCs/>
          <w:sz w:val="24"/>
          <w:szCs w:val="24"/>
        </w:rPr>
      </w:pPr>
      <w:bookmarkStart w:id="86" w:name="_Toc66205443"/>
      <w:r>
        <w:rPr>
          <w:rFonts w:ascii="Arial" w:hAnsi="Arial" w:eastAsia="仿宋" w:cs="Arial"/>
          <w:b/>
          <w:bCs/>
          <w:sz w:val="24"/>
          <w:szCs w:val="24"/>
        </w:rPr>
        <w:t>智能感知设备</w:t>
      </w:r>
      <w:bookmarkEnd w:id="86"/>
    </w:p>
    <w:p>
      <w:pPr>
        <w:spacing w:line="360" w:lineRule="auto"/>
        <w:ind w:firstLine="480" w:firstLineChars="200"/>
        <w:jc w:val="both"/>
        <w:rPr>
          <w:rFonts w:ascii="Arial" w:hAnsi="Arial" w:eastAsia="仿宋" w:cs="Arial"/>
          <w:bCs/>
        </w:rPr>
      </w:pPr>
      <w:bookmarkStart w:id="87" w:name="_Toc66205441"/>
      <w:r>
        <w:rPr>
          <w:rFonts w:ascii="Arial" w:hAnsi="Arial" w:eastAsia="仿宋" w:cs="Arial"/>
          <w:bCs/>
        </w:rPr>
        <w:t>通过对消防重点部位如监控室、通道、重要出入口、消防危险源等</w:t>
      </w:r>
      <w:bookmarkEnd w:id="87"/>
      <w:r>
        <w:rPr>
          <w:rFonts w:ascii="Arial" w:hAnsi="Arial" w:eastAsia="仿宋" w:cs="Arial"/>
          <w:bCs/>
        </w:rPr>
        <w:t>区域进行视频监控联网（或对部分进行升级改造），使用AI算法实现火焰、烟雾、堵塞、消控室脱岗等识别预警，并实现与消防主机的联动报警。适用于建筑内安全出口、消防通道、建筑外消防车通道，当发生消防通道堵塞、车辆占道、电动车进电梯和楼道时，会自动触发消防通道附近扬声器进行语音呼叫，第一时间驱离。</w:t>
      </w:r>
    </w:p>
    <w:p>
      <w:pPr>
        <w:spacing w:line="360" w:lineRule="auto"/>
        <w:ind w:firstLine="480" w:firstLineChars="200"/>
        <w:jc w:val="both"/>
        <w:rPr>
          <w:rFonts w:ascii="Arial" w:hAnsi="Arial" w:eastAsia="仿宋" w:cs="Arial"/>
          <w:bCs/>
        </w:rPr>
      </w:pPr>
      <w:r>
        <w:rPr>
          <w:rFonts w:ascii="Arial" w:hAnsi="Arial" w:eastAsia="仿宋" w:cs="Arial"/>
          <w:bCs/>
        </w:rPr>
        <w:t>通过对全区重要建筑消防设施部署智能传感设备，掌握重点区域的基本消防安全情况。在望城区特定高层建筑上部署高层红外火灾视频监控，衔接智慧消防监管服务平台，实现大区域覆盖预警监控。</w:t>
      </w:r>
    </w:p>
    <w:bookmarkEnd w:id="85"/>
    <w:p>
      <w:pPr>
        <w:pStyle w:val="4"/>
        <w:numPr>
          <w:ilvl w:val="0"/>
          <w:numId w:val="25"/>
        </w:numPr>
        <w:rPr>
          <w:rFonts w:ascii="Arial" w:hAnsi="Arial" w:eastAsia="仿宋" w:cs="Arial"/>
          <w:sz w:val="24"/>
          <w:szCs w:val="24"/>
        </w:rPr>
      </w:pPr>
      <w:bookmarkStart w:id="88" w:name="_Toc78041453"/>
      <w:bookmarkStart w:id="89" w:name="_Hlk66879216"/>
      <w:r>
        <w:rPr>
          <w:rFonts w:ascii="Arial" w:hAnsi="Arial" w:eastAsia="仿宋" w:cs="Arial"/>
          <w:sz w:val="24"/>
          <w:szCs w:val="24"/>
        </w:rPr>
        <w:t>市场监管</w:t>
      </w:r>
      <w:bookmarkEnd w:id="88"/>
    </w:p>
    <w:p>
      <w:pPr>
        <w:spacing w:line="360" w:lineRule="auto"/>
        <w:ind w:firstLine="480" w:firstLineChars="200"/>
        <w:jc w:val="both"/>
        <w:rPr>
          <w:rFonts w:ascii="Arial" w:hAnsi="Arial" w:eastAsia="仿宋" w:cs="Arial"/>
          <w:bCs/>
        </w:rPr>
      </w:pPr>
      <w:r>
        <w:rPr>
          <w:rFonts w:ascii="Arial" w:hAnsi="Arial" w:eastAsia="仿宋" w:cs="Arial"/>
          <w:bCs/>
        </w:rPr>
        <w:t>适应机构改革业务融合的迫切需要，有序推进信息化建设，提升信息化保障水平，提升智慧市场监管与服务能力，围绕激发市场主体活力、维护市场正常秩序、促进市场公平竞争的总体要求，以市场监管信息化驱动市场监管现代化，促进市场监管工作效能与水平全面提升。</w:t>
      </w:r>
    </w:p>
    <w:bookmarkEnd w:id="89"/>
    <w:p>
      <w:pPr>
        <w:pStyle w:val="63"/>
        <w:numPr>
          <w:ilvl w:val="0"/>
          <w:numId w:val="34"/>
        </w:numPr>
        <w:spacing w:line="360" w:lineRule="auto"/>
        <w:ind w:firstLineChars="0"/>
        <w:rPr>
          <w:rFonts w:ascii="Arial" w:hAnsi="Arial" w:eastAsia="仿宋" w:cs="Arial"/>
          <w:b/>
          <w:bCs/>
          <w:sz w:val="24"/>
          <w:szCs w:val="24"/>
        </w:rPr>
      </w:pPr>
      <w:bookmarkStart w:id="90" w:name="_Hlk66879240"/>
      <w:r>
        <w:rPr>
          <w:rFonts w:ascii="Arial" w:hAnsi="Arial" w:eastAsia="仿宋" w:cs="Arial"/>
          <w:b/>
          <w:bCs/>
          <w:sz w:val="24"/>
          <w:szCs w:val="24"/>
        </w:rPr>
        <w:t>推动“智慧市场监管”体系建设</w:t>
      </w:r>
    </w:p>
    <w:bookmarkEnd w:id="90"/>
    <w:p>
      <w:pPr>
        <w:spacing w:line="360" w:lineRule="auto"/>
        <w:ind w:firstLine="480" w:firstLineChars="200"/>
        <w:jc w:val="both"/>
        <w:rPr>
          <w:rFonts w:ascii="Arial" w:hAnsi="Arial" w:eastAsia="仿宋" w:cs="Arial"/>
          <w:bCs/>
        </w:rPr>
      </w:pPr>
      <w:r>
        <w:rPr>
          <w:rFonts w:ascii="Arial" w:hAnsi="Arial" w:eastAsia="仿宋" w:cs="Arial"/>
          <w:bCs/>
        </w:rPr>
        <w:t>加强数据和业务整合，大力推动“智慧市场监管”建设，搭建符合基层工作实际的监管平台，充分运用信息技术提升监管效能。运用大数据、人工智能等技术创新市场监管方式，综合利用包括政府数据、行业数据、网络数据、电商数据、社会数据等与市场主体相关的大数据资源，通过大数据关联与融合，完成市场主体的基本属性、行为特征等的全景“画像”，了解市场全态、掌握市场规律、挖掘业务关联，构建市场主体的全过程监管组织模式，实现大数据下的信用监管、精准监管、风险监管、动态监管、协同监管以及依法监管，支撑宏观经济运行的辅助决策，提升市场监管现代化水平。</w:t>
      </w:r>
    </w:p>
    <w:p>
      <w:pPr>
        <w:pStyle w:val="63"/>
        <w:numPr>
          <w:ilvl w:val="0"/>
          <w:numId w:val="34"/>
        </w:numPr>
        <w:spacing w:line="360" w:lineRule="auto"/>
        <w:ind w:firstLineChars="0"/>
        <w:rPr>
          <w:rFonts w:ascii="Arial" w:hAnsi="Arial" w:eastAsia="仿宋" w:cs="Arial"/>
          <w:b/>
          <w:bCs/>
          <w:sz w:val="24"/>
          <w:szCs w:val="24"/>
        </w:rPr>
      </w:pPr>
      <w:bookmarkStart w:id="91" w:name="_Hlk66879245"/>
      <w:r>
        <w:rPr>
          <w:rFonts w:ascii="Arial" w:hAnsi="Arial" w:eastAsia="仿宋" w:cs="Arial"/>
          <w:b/>
          <w:bCs/>
          <w:sz w:val="24"/>
          <w:szCs w:val="24"/>
        </w:rPr>
        <w:t>构建综合监管预警体系</w:t>
      </w:r>
    </w:p>
    <w:bookmarkEnd w:id="91"/>
    <w:p>
      <w:pPr>
        <w:spacing w:line="360" w:lineRule="auto"/>
        <w:ind w:firstLine="480" w:firstLineChars="200"/>
        <w:jc w:val="both"/>
        <w:rPr>
          <w:rFonts w:ascii="Arial" w:hAnsi="Arial" w:eastAsia="仿宋" w:cs="Arial"/>
          <w:bCs/>
        </w:rPr>
      </w:pPr>
      <w:r>
        <w:rPr>
          <w:rFonts w:ascii="Arial" w:hAnsi="Arial" w:eastAsia="仿宋" w:cs="Arial"/>
          <w:bCs/>
        </w:rPr>
        <w:t>建立和完善药品日常监督检查、食品药品检验检测、药品审评认证、执业药师管理、诚信体系管理、稽查执法管理（含移动执法）、药品不良反应监测、监控大厅等系统，强化流程控制，规范执法操作，实时跟踪进度，实现各系统数据实时、真实、完整，信息互联互通、相互依托、互相支持；利用便携设备和无线上网技术，实现在线查询历史案件、法律法规、食品药品监管信息。建设基层检验检测信息化体系，形成完整的食品药品综合业监管业务信息化体系。</w:t>
      </w:r>
    </w:p>
    <w:p>
      <w:pPr>
        <w:spacing w:line="360" w:lineRule="auto"/>
        <w:ind w:firstLine="480" w:firstLineChars="200"/>
        <w:jc w:val="both"/>
        <w:rPr>
          <w:rFonts w:ascii="Arial" w:hAnsi="Arial" w:eastAsia="仿宋" w:cs="Arial"/>
          <w:bCs/>
        </w:rPr>
      </w:pPr>
      <w:r>
        <w:rPr>
          <w:rFonts w:ascii="Arial" w:hAnsi="Arial" w:eastAsia="仿宋" w:cs="Arial"/>
          <w:bCs/>
        </w:rPr>
        <w:t>统筹协调广告监管与虚假违法广告整治工作</w:t>
      </w:r>
      <w:r>
        <w:rPr>
          <w:rFonts w:hint="eastAsia" w:ascii="Arial" w:hAnsi="Arial" w:eastAsia="仿宋" w:cs="Arial"/>
          <w:bCs/>
        </w:rPr>
        <w:t>，</w:t>
      </w:r>
      <w:r>
        <w:rPr>
          <w:rFonts w:ascii="Arial" w:hAnsi="Arial" w:eastAsia="仿宋" w:cs="Arial"/>
          <w:bCs/>
        </w:rPr>
        <w:t>推动广告发展战略实施，推动公益广告事业发展。强化日常监管，依托广告监测大数据，建立虚假违法广告线索移送、证据提供、案件督办、结果反馈一体化监管执法系统,开展虚假违法广告专项整治。</w:t>
      </w:r>
    </w:p>
    <w:p>
      <w:pPr>
        <w:spacing w:line="360" w:lineRule="auto"/>
        <w:ind w:firstLine="480" w:firstLineChars="200"/>
        <w:jc w:val="both"/>
        <w:rPr>
          <w:rFonts w:ascii="Arial" w:hAnsi="Arial" w:eastAsia="仿宋" w:cs="Arial"/>
          <w:bCs/>
        </w:rPr>
      </w:pPr>
      <w:r>
        <w:rPr>
          <w:rFonts w:ascii="Arial" w:hAnsi="Arial" w:eastAsia="仿宋" w:cs="Arial"/>
          <w:bCs/>
        </w:rPr>
        <w:t>加强食品药品安全预警和应急能力信息化建设，利用互联网、物联网技术，应用管理软件和风险评估工具，按照“先进、科学、高效”的建设原则，建立和完善食品药品安全预警系统、决策分析系统、应急指挥系统和应急综合管理系统。提高食品药品监管专业数据应用处理能力，强化监管执法信息积累。实现突发事件监测、信息报告、综合研判、决策指挥、调查处置、总结评估、责任追究等信息化，为应急处置提供支撑。实现食品药品安全事故早发现、早预警、早处置。</w:t>
      </w:r>
    </w:p>
    <w:p>
      <w:pPr>
        <w:pStyle w:val="63"/>
        <w:numPr>
          <w:ilvl w:val="0"/>
          <w:numId w:val="34"/>
        </w:numPr>
        <w:spacing w:line="360" w:lineRule="auto"/>
        <w:ind w:firstLineChars="0"/>
        <w:rPr>
          <w:rFonts w:ascii="Arial" w:hAnsi="Arial" w:eastAsia="仿宋" w:cs="Arial"/>
          <w:b/>
          <w:bCs/>
          <w:sz w:val="24"/>
          <w:szCs w:val="24"/>
        </w:rPr>
      </w:pPr>
      <w:bookmarkStart w:id="92" w:name="_Hlk66879250"/>
      <w:r>
        <w:rPr>
          <w:rFonts w:ascii="Arial" w:hAnsi="Arial" w:eastAsia="仿宋" w:cs="Arial"/>
          <w:b/>
          <w:bCs/>
          <w:sz w:val="24"/>
          <w:szCs w:val="24"/>
        </w:rPr>
        <w:t>构建综合追溯体系</w:t>
      </w:r>
    </w:p>
    <w:bookmarkEnd w:id="92"/>
    <w:p>
      <w:pPr>
        <w:spacing w:line="360" w:lineRule="auto"/>
        <w:ind w:firstLine="480" w:firstLineChars="200"/>
        <w:jc w:val="both"/>
        <w:rPr>
          <w:rFonts w:ascii="Arial" w:hAnsi="Arial" w:eastAsia="仿宋" w:cs="Arial"/>
          <w:bCs/>
        </w:rPr>
      </w:pPr>
      <w:r>
        <w:rPr>
          <w:rFonts w:ascii="Arial" w:hAnsi="Arial" w:eastAsia="仿宋" w:cs="Arial"/>
          <w:bCs/>
        </w:rPr>
        <w:t>建设完善望城区特种设备追溯检验管理体系，以“集中部署、应用分散、数据集中”为出发点，围绕特种设备许可办理、信息采集、检验检测、动态监管、事故应急处置、信息公示与查询、数据互通的全过程管理，整合特种设备相关的管理平台，提高安全监管工作决策科学化水平，促进质量安全综合治理，提升质量安全与公共安全水平</w:t>
      </w:r>
    </w:p>
    <w:p>
      <w:pPr>
        <w:spacing w:line="360" w:lineRule="auto"/>
        <w:ind w:firstLine="480" w:firstLineChars="200"/>
        <w:jc w:val="both"/>
        <w:rPr>
          <w:rFonts w:ascii="Arial" w:hAnsi="Arial" w:eastAsia="仿宋" w:cs="Arial"/>
          <w:bCs/>
        </w:rPr>
      </w:pPr>
      <w:r>
        <w:rPr>
          <w:rFonts w:ascii="Arial" w:hAnsi="Arial" w:eastAsia="仿宋" w:cs="Arial"/>
          <w:bCs/>
        </w:rPr>
        <w:t>依托长沙市食品药品质量追溯平台加强药品生产、流通、使用全过程监管信息化建设，建立药品生产监管、流通监管、冷链监管和特殊药品、基本药物监管为核心的电子监管实时监控系统。加强餐饮服务、保健食品、化妆品质量追溯平台建设，建立索证索票监管系统。实现重要监管数据实时、定向、定品种采集、自动识别、统计分析，生成药品安全趋势、安全指数和预警信号。与全国药品电子监管网等实现互联互通，数据共享。</w:t>
      </w:r>
    </w:p>
    <w:p>
      <w:pPr>
        <w:pStyle w:val="63"/>
        <w:numPr>
          <w:ilvl w:val="0"/>
          <w:numId w:val="34"/>
        </w:numPr>
        <w:spacing w:line="360" w:lineRule="auto"/>
        <w:ind w:firstLineChars="0"/>
        <w:rPr>
          <w:rFonts w:ascii="Arial" w:hAnsi="Arial" w:eastAsia="仿宋" w:cs="Arial"/>
          <w:b/>
          <w:bCs/>
          <w:sz w:val="24"/>
          <w:szCs w:val="24"/>
        </w:rPr>
      </w:pPr>
      <w:bookmarkStart w:id="93" w:name="_Hlk66879256"/>
      <w:r>
        <w:rPr>
          <w:rFonts w:ascii="Arial" w:hAnsi="Arial" w:eastAsia="仿宋" w:cs="Arial"/>
          <w:b/>
          <w:bCs/>
          <w:sz w:val="24"/>
          <w:szCs w:val="24"/>
        </w:rPr>
        <w:t>构建知识产权保障体系</w:t>
      </w:r>
    </w:p>
    <w:bookmarkEnd w:id="93"/>
    <w:p>
      <w:pPr>
        <w:spacing w:line="360" w:lineRule="auto"/>
        <w:ind w:firstLine="480" w:firstLineChars="200"/>
        <w:jc w:val="both"/>
        <w:rPr>
          <w:rFonts w:ascii="Arial" w:hAnsi="Arial" w:eastAsia="仿宋" w:cs="Arial"/>
          <w:bCs/>
        </w:rPr>
      </w:pPr>
      <w:r>
        <w:rPr>
          <w:rFonts w:ascii="Arial" w:hAnsi="Arial" w:eastAsia="仿宋" w:cs="Arial"/>
          <w:bCs/>
        </w:rPr>
        <w:t>建设望城区知识产权保障体系，整合高等院校、科研院所及其它专利信息服务资源，为企业和代理机构牵线搭桥，与技术转移机构、代理机构、专利事务所、法律事务所、风险投资机构建立紧密联系，共同推进科技成果转化、技术转移和自主创新，提供企业交流互动的新渠道。</w:t>
      </w:r>
    </w:p>
    <w:p>
      <w:pPr>
        <w:pStyle w:val="4"/>
        <w:numPr>
          <w:ilvl w:val="0"/>
          <w:numId w:val="25"/>
        </w:numPr>
        <w:rPr>
          <w:rFonts w:ascii="Arial" w:hAnsi="Arial" w:eastAsia="仿宋" w:cs="Arial"/>
          <w:sz w:val="24"/>
          <w:szCs w:val="24"/>
        </w:rPr>
      </w:pPr>
      <w:bookmarkStart w:id="94" w:name="_Toc78041454"/>
      <w:bookmarkStart w:id="95" w:name="_Hlk66879262"/>
      <w:r>
        <w:rPr>
          <w:rFonts w:ascii="Arial" w:hAnsi="Arial" w:eastAsia="仿宋" w:cs="Arial"/>
          <w:sz w:val="24"/>
          <w:szCs w:val="24"/>
        </w:rPr>
        <w:t>智慧党建</w:t>
      </w:r>
      <w:bookmarkEnd w:id="94"/>
    </w:p>
    <w:p>
      <w:pPr>
        <w:spacing w:line="360" w:lineRule="auto"/>
        <w:ind w:firstLine="480" w:firstLineChars="200"/>
        <w:jc w:val="both"/>
        <w:rPr>
          <w:rFonts w:ascii="Arial" w:hAnsi="Arial" w:eastAsia="仿宋" w:cs="Arial"/>
          <w:bCs/>
        </w:rPr>
      </w:pPr>
      <w:r>
        <w:rPr>
          <w:rFonts w:ascii="Arial" w:hAnsi="Arial" w:eastAsia="仿宋" w:cs="Arial"/>
          <w:bCs/>
        </w:rPr>
        <w:t>遵循党内相关规章制度及中组部、省委市委组织部下发的各类信息化规范要求，依托长沙市智慧党建平台，完成与红星云、学习强国、全国党员管理信息系统等上级信息系统的无缝对接，依托长沙市智慧党建平台</w:t>
      </w:r>
      <w:r>
        <w:rPr>
          <w:rFonts w:ascii="Arial" w:hAnsi="Arial" w:eastAsia="仿宋" w:cs="Arial"/>
        </w:rPr>
        <w:t>，</w:t>
      </w:r>
      <w:r>
        <w:rPr>
          <w:rFonts w:ascii="Arial" w:hAnsi="Arial" w:eastAsia="仿宋" w:cs="Arial"/>
          <w:bCs/>
        </w:rPr>
        <w:t>结合望城区基层党建工作实际，</w:t>
      </w:r>
      <w:r>
        <w:rPr>
          <w:rFonts w:ascii="Arial" w:hAnsi="Arial" w:eastAsia="仿宋" w:cs="Arial"/>
        </w:rPr>
        <w:t>实现党建业务覆盖区、街道、村各级各级党组织。同步</w:t>
      </w:r>
      <w:r>
        <w:rPr>
          <w:rFonts w:ascii="Arial" w:hAnsi="Arial" w:eastAsia="仿宋" w:cs="Arial"/>
          <w:bCs/>
        </w:rPr>
        <w:t>扩展望城区党建个性化业务，</w:t>
      </w:r>
      <w:r>
        <w:rPr>
          <w:rFonts w:ascii="Arial" w:hAnsi="Arial" w:eastAsia="仿宋" w:cs="Arial"/>
        </w:rPr>
        <w:t>包括</w:t>
      </w:r>
      <w:r>
        <w:rPr>
          <w:rFonts w:ascii="Arial" w:hAnsi="Arial" w:eastAsia="仿宋" w:cs="Arial"/>
          <w:bCs/>
        </w:rPr>
        <w:t>党员管理、党员教育、组织生活、党群服务、老干管理、两新工作等，实现党内信息系统的互联互通和数据融合共享，便于各级党组织、基层党员、流动党员的系统交流和即时沟通协作。</w:t>
      </w:r>
    </w:p>
    <w:bookmarkEnd w:id="95"/>
    <w:p>
      <w:pPr>
        <w:pStyle w:val="3"/>
        <w:ind w:left="482" w:hanging="482" w:hangingChars="200"/>
        <w:rPr>
          <w:rFonts w:ascii="Arial" w:hAnsi="Arial" w:eastAsia="仿宋" w:cs="Arial"/>
          <w:sz w:val="24"/>
          <w:szCs w:val="24"/>
        </w:rPr>
      </w:pPr>
      <w:bookmarkStart w:id="96" w:name="_Toc11770723"/>
      <w:bookmarkStart w:id="97" w:name="_Toc12549667"/>
      <w:bookmarkStart w:id="98" w:name="_Toc16427382"/>
      <w:bookmarkStart w:id="99" w:name="_Toc78041455"/>
      <w:bookmarkStart w:id="100" w:name="_Hlk66879381"/>
      <w:r>
        <w:rPr>
          <w:rFonts w:ascii="Arial" w:hAnsi="Arial" w:eastAsia="仿宋" w:cs="Arial"/>
          <w:sz w:val="24"/>
          <w:szCs w:val="24"/>
        </w:rPr>
        <w:t>产业经济领域工程</w:t>
      </w:r>
      <w:bookmarkEnd w:id="96"/>
      <w:bookmarkEnd w:id="97"/>
      <w:bookmarkEnd w:id="98"/>
      <w:bookmarkEnd w:id="99"/>
    </w:p>
    <w:p>
      <w:pPr>
        <w:pStyle w:val="4"/>
        <w:numPr>
          <w:ilvl w:val="0"/>
          <w:numId w:val="35"/>
        </w:numPr>
        <w:rPr>
          <w:rFonts w:ascii="Arial" w:hAnsi="Arial" w:eastAsia="仿宋" w:cs="Arial"/>
          <w:sz w:val="24"/>
          <w:szCs w:val="24"/>
        </w:rPr>
      </w:pPr>
      <w:bookmarkStart w:id="101" w:name="_Toc78041456"/>
      <w:r>
        <w:rPr>
          <w:rFonts w:ascii="Arial" w:hAnsi="Arial" w:eastAsia="仿宋" w:cs="Arial"/>
          <w:sz w:val="24"/>
          <w:szCs w:val="24"/>
        </w:rPr>
        <w:t>智能制造</w:t>
      </w:r>
      <w:bookmarkEnd w:id="101"/>
    </w:p>
    <w:p>
      <w:pPr>
        <w:spacing w:line="360" w:lineRule="auto"/>
        <w:ind w:firstLine="480" w:firstLineChars="200"/>
        <w:jc w:val="both"/>
        <w:rPr>
          <w:rFonts w:ascii="Arial" w:hAnsi="Arial" w:eastAsia="仿宋" w:cs="Arial"/>
          <w:bCs/>
        </w:rPr>
      </w:pPr>
      <w:r>
        <w:rPr>
          <w:rFonts w:ascii="Arial" w:hAnsi="Arial" w:eastAsia="仿宋" w:cs="Arial"/>
          <w:bCs/>
        </w:rPr>
        <w:t>望城区先进制造业加速崛起，以智能制造引领制造业高质量发展，形成智能制造的望城速度。望城区智能制造工程将以“中国制造2025”战略与“互联网+”理念为指导，制造装备互联为基础，基于“工业互联+云服务+智能终端”创新模式，打造智能制造新生态，让制造更简单。</w:t>
      </w:r>
    </w:p>
    <w:p>
      <w:pPr>
        <w:spacing w:line="360" w:lineRule="auto"/>
        <w:ind w:firstLine="480" w:firstLineChars="200"/>
        <w:jc w:val="both"/>
        <w:rPr>
          <w:rFonts w:ascii="Arial" w:hAnsi="Arial" w:eastAsia="仿宋" w:cs="Arial"/>
          <w:bCs/>
        </w:rPr>
      </w:pPr>
      <w:r>
        <w:rPr>
          <w:rFonts w:ascii="Arial" w:hAnsi="Arial" w:eastAsia="仿宋" w:cs="Arial"/>
          <w:bCs/>
        </w:rPr>
        <w:t>深入推进智能制造试点示范。以行业龙头为重点建设智能工厂和标杆企业，开展重点行业共性解决方案示范，形成可复制推广的智能制造望城经验与模式，带动全产业链智能化改造升级。优化智能制造的平台支撑体系，鼓励智能制造骨干企业加强与各平台合作，深入开展中小企业“上云商平台”。</w:t>
      </w:r>
    </w:p>
    <w:p>
      <w:pPr>
        <w:pStyle w:val="63"/>
        <w:numPr>
          <w:ilvl w:val="0"/>
          <w:numId w:val="36"/>
        </w:numPr>
        <w:spacing w:line="360" w:lineRule="auto"/>
        <w:ind w:firstLineChars="0"/>
        <w:rPr>
          <w:rFonts w:ascii="Arial" w:hAnsi="Arial" w:eastAsia="仿宋" w:cs="Arial"/>
          <w:b/>
          <w:bCs/>
          <w:sz w:val="24"/>
          <w:szCs w:val="24"/>
        </w:rPr>
      </w:pPr>
      <w:r>
        <w:rPr>
          <w:rFonts w:ascii="Arial" w:hAnsi="Arial" w:eastAsia="仿宋" w:cs="Arial"/>
          <w:b/>
          <w:bCs/>
          <w:sz w:val="24"/>
          <w:szCs w:val="24"/>
        </w:rPr>
        <w:t>构建全面智能制造产业链</w:t>
      </w:r>
    </w:p>
    <w:p>
      <w:pPr>
        <w:spacing w:line="360" w:lineRule="auto"/>
        <w:ind w:firstLine="480" w:firstLineChars="200"/>
        <w:jc w:val="both"/>
        <w:rPr>
          <w:rFonts w:ascii="Arial" w:hAnsi="Arial" w:eastAsia="仿宋" w:cs="Arial"/>
          <w:bCs/>
        </w:rPr>
      </w:pPr>
      <w:r>
        <w:rPr>
          <w:rFonts w:ascii="Arial" w:hAnsi="Arial" w:eastAsia="仿宋" w:cs="Arial"/>
          <w:bCs/>
        </w:rPr>
        <w:t>紧扣《中国制造2025》国家行动纲领，以体现信息技术与制造技术深度融合的数字化网络化智能化制造为主线，着眼新一代信息技术产业、高档</w:t>
      </w:r>
      <w:r>
        <w:fldChar w:fldCharType="begin"/>
      </w:r>
      <w:r>
        <w:instrText xml:space="preserve"> HYPERLINK "https://baike.baidu.com/item/%E6%95%B0%E6%8E%A7%E6%9C%BA%E5%BA%8A/6197" \t "_blank" </w:instrText>
      </w:r>
      <w:r>
        <w:fldChar w:fldCharType="separate"/>
      </w:r>
      <w:r>
        <w:rPr>
          <w:rFonts w:ascii="Arial" w:hAnsi="Arial" w:eastAsia="仿宋" w:cs="Arial"/>
          <w:bCs/>
        </w:rPr>
        <w:t>数控机床</w:t>
      </w:r>
      <w:r>
        <w:rPr>
          <w:rFonts w:ascii="Arial" w:hAnsi="Arial" w:eastAsia="仿宋" w:cs="Arial"/>
          <w:bCs/>
        </w:rPr>
        <w:fldChar w:fldCharType="end"/>
      </w:r>
      <w:r>
        <w:rPr>
          <w:rFonts w:ascii="Arial" w:hAnsi="Arial" w:eastAsia="仿宋" w:cs="Arial"/>
          <w:bCs/>
        </w:rPr>
        <w:t>和机器人、先进轨道交通装备、节能与新能源汽车、电力装备等十大领域，围绕望城特色智能制造领域基础环境，吸引系统集成、智能制造装备、云计算、工业互联网、智能生产等行业领域先进企业落户，围绕产业链条方向进行本土龙头企业培育、高端人才招引和高校人才培育，带动望城智能制造产业链整体提升，形成以高端人才集聚引领创新驱动发展的新格局，营造具有竞争力的智能制造产业链条，推动望城智能制造创新力和竞争力迈上新台阶。</w:t>
      </w:r>
    </w:p>
    <w:bookmarkEnd w:id="100"/>
    <w:p>
      <w:pPr>
        <w:pStyle w:val="63"/>
        <w:numPr>
          <w:ilvl w:val="0"/>
          <w:numId w:val="36"/>
        </w:numPr>
        <w:spacing w:line="360" w:lineRule="auto"/>
        <w:ind w:firstLineChars="0"/>
        <w:rPr>
          <w:rFonts w:ascii="Arial" w:hAnsi="Arial" w:eastAsia="仿宋" w:cs="Arial"/>
          <w:b/>
          <w:bCs/>
          <w:sz w:val="24"/>
          <w:szCs w:val="24"/>
        </w:rPr>
      </w:pPr>
      <w:r>
        <w:rPr>
          <w:rFonts w:ascii="Arial" w:hAnsi="Arial" w:eastAsia="仿宋" w:cs="Arial"/>
          <w:b/>
          <w:bCs/>
          <w:sz w:val="24"/>
          <w:szCs w:val="24"/>
        </w:rPr>
        <w:t>建设个性化制造平台</w:t>
      </w:r>
    </w:p>
    <w:p>
      <w:pPr>
        <w:spacing w:line="360" w:lineRule="auto"/>
        <w:ind w:firstLine="480" w:firstLineChars="200"/>
        <w:jc w:val="both"/>
        <w:rPr>
          <w:rFonts w:ascii="Arial" w:hAnsi="Arial" w:eastAsia="仿宋" w:cs="Arial"/>
          <w:bCs/>
        </w:rPr>
      </w:pPr>
      <w:r>
        <w:rPr>
          <w:rFonts w:ascii="Arial" w:hAnsi="Arial" w:eastAsia="仿宋" w:cs="Arial"/>
          <w:bCs/>
        </w:rPr>
        <w:t>汇聚社会化创新设计资源和生产加工资源，并进行有效连接，为定制化产品需求提供高度柔性的云制造服务。通过充分利用平台资源及互联网思维模式，个性化云制造模式可创建全新的C2M2C创新模式。</w:t>
      </w:r>
    </w:p>
    <w:p>
      <w:pPr>
        <w:pStyle w:val="63"/>
        <w:numPr>
          <w:ilvl w:val="0"/>
          <w:numId w:val="36"/>
        </w:numPr>
        <w:spacing w:line="360" w:lineRule="auto"/>
        <w:ind w:firstLineChars="0"/>
        <w:rPr>
          <w:rFonts w:ascii="Arial" w:hAnsi="Arial" w:eastAsia="仿宋" w:cs="Arial"/>
          <w:b/>
          <w:sz w:val="24"/>
          <w:szCs w:val="24"/>
        </w:rPr>
      </w:pPr>
      <w:r>
        <w:rPr>
          <w:rFonts w:ascii="Arial" w:hAnsi="Arial" w:eastAsia="仿宋" w:cs="Arial"/>
          <w:b/>
          <w:bCs/>
          <w:sz w:val="24"/>
          <w:szCs w:val="24"/>
        </w:rPr>
        <w:t>建设</w:t>
      </w:r>
      <w:r>
        <w:rPr>
          <w:rFonts w:ascii="Arial" w:hAnsi="Arial" w:eastAsia="仿宋" w:cs="Arial"/>
          <w:b/>
          <w:sz w:val="24"/>
          <w:szCs w:val="24"/>
        </w:rPr>
        <w:t>工艺管理平台</w:t>
      </w:r>
    </w:p>
    <w:p>
      <w:pPr>
        <w:spacing w:line="360" w:lineRule="auto"/>
        <w:ind w:firstLine="480" w:firstLineChars="200"/>
        <w:jc w:val="both"/>
        <w:rPr>
          <w:rFonts w:ascii="Arial" w:hAnsi="Arial" w:eastAsia="仿宋" w:cs="Arial"/>
        </w:rPr>
      </w:pPr>
      <w:r>
        <w:rPr>
          <w:rFonts w:ascii="Arial" w:hAnsi="Arial" w:eastAsia="仿宋" w:cs="Arial"/>
        </w:rPr>
        <w:t>所有工艺文件、工艺数据、工艺资源和三维工艺动画等的集中管理与发布，跟随产品的生产进行流转，</w:t>
      </w:r>
      <w:r>
        <w:rPr>
          <w:rFonts w:ascii="Arial" w:hAnsi="Arial" w:eastAsia="仿宋" w:cs="Arial"/>
          <w:bCs/>
        </w:rPr>
        <w:t>负责工艺的发布与再收集</w:t>
      </w:r>
      <w:r>
        <w:rPr>
          <w:rFonts w:ascii="Arial" w:hAnsi="Arial" w:eastAsia="仿宋" w:cs="Arial"/>
        </w:rPr>
        <w:t>、再优化。工艺管理平台是智能制造的幕后指挥；同时，又与其他平台进行协同、融合，共同构成应用平台。</w:t>
      </w:r>
    </w:p>
    <w:p>
      <w:pPr>
        <w:pStyle w:val="63"/>
        <w:numPr>
          <w:ilvl w:val="0"/>
          <w:numId w:val="36"/>
        </w:numPr>
        <w:spacing w:line="360" w:lineRule="auto"/>
        <w:ind w:firstLineChars="0"/>
        <w:rPr>
          <w:rFonts w:ascii="Arial" w:hAnsi="Arial" w:eastAsia="仿宋" w:cs="Arial"/>
          <w:b/>
          <w:bCs/>
          <w:sz w:val="24"/>
          <w:szCs w:val="24"/>
        </w:rPr>
      </w:pPr>
      <w:r>
        <w:rPr>
          <w:rFonts w:ascii="Arial" w:hAnsi="Arial" w:eastAsia="仿宋" w:cs="Arial"/>
          <w:b/>
          <w:bCs/>
          <w:sz w:val="24"/>
          <w:szCs w:val="24"/>
        </w:rPr>
        <w:t>建设产能平台</w:t>
      </w:r>
    </w:p>
    <w:p>
      <w:pPr>
        <w:spacing w:line="360" w:lineRule="auto"/>
        <w:ind w:firstLine="480" w:firstLineChars="200"/>
        <w:jc w:val="both"/>
        <w:rPr>
          <w:rFonts w:ascii="Arial" w:hAnsi="Arial" w:eastAsia="仿宋" w:cs="Arial"/>
        </w:rPr>
      </w:pPr>
      <w:r>
        <w:rPr>
          <w:rFonts w:ascii="Arial" w:hAnsi="Arial" w:eastAsia="仿宋" w:cs="Arial"/>
        </w:rPr>
        <w:t>主要实现产能管理、加工订单、生产发货、工时交易、生产进度等生产能力监测与管控。</w:t>
      </w:r>
    </w:p>
    <w:p>
      <w:pPr>
        <w:pStyle w:val="63"/>
        <w:numPr>
          <w:ilvl w:val="0"/>
          <w:numId w:val="36"/>
        </w:numPr>
        <w:spacing w:line="360" w:lineRule="auto"/>
        <w:ind w:firstLineChars="0"/>
        <w:rPr>
          <w:rFonts w:ascii="Arial" w:hAnsi="Arial" w:eastAsia="仿宋" w:cs="Arial"/>
          <w:b/>
          <w:sz w:val="24"/>
          <w:szCs w:val="24"/>
        </w:rPr>
      </w:pPr>
      <w:r>
        <w:rPr>
          <w:rFonts w:ascii="Arial" w:hAnsi="Arial" w:eastAsia="仿宋" w:cs="Arial"/>
          <w:b/>
          <w:bCs/>
          <w:sz w:val="24"/>
          <w:szCs w:val="24"/>
        </w:rPr>
        <w:t>建设</w:t>
      </w:r>
      <w:r>
        <w:rPr>
          <w:rFonts w:ascii="Arial" w:hAnsi="Arial" w:eastAsia="仿宋" w:cs="Arial"/>
          <w:b/>
          <w:sz w:val="24"/>
          <w:szCs w:val="24"/>
        </w:rPr>
        <w:t>在线工厂</w:t>
      </w:r>
    </w:p>
    <w:p>
      <w:pPr>
        <w:spacing w:line="360" w:lineRule="auto"/>
        <w:ind w:firstLine="480" w:firstLineChars="200"/>
        <w:jc w:val="both"/>
        <w:rPr>
          <w:rFonts w:ascii="Arial" w:hAnsi="Arial" w:eastAsia="仿宋" w:cs="Arial"/>
          <w:bCs/>
        </w:rPr>
      </w:pPr>
      <w:r>
        <w:rPr>
          <w:rFonts w:ascii="Arial" w:hAnsi="Arial" w:eastAsia="仿宋" w:cs="Arial"/>
          <w:bCs/>
        </w:rPr>
        <w:t>主要实现计划管理、生产协同、产品管理、程序管理、设备监控、生产监控等生产过程中的管控。</w:t>
      </w:r>
    </w:p>
    <w:p>
      <w:pPr>
        <w:pStyle w:val="63"/>
        <w:numPr>
          <w:ilvl w:val="0"/>
          <w:numId w:val="36"/>
        </w:numPr>
        <w:spacing w:line="360" w:lineRule="auto"/>
        <w:ind w:firstLineChars="0"/>
        <w:rPr>
          <w:rFonts w:ascii="Arial" w:hAnsi="Arial" w:eastAsia="仿宋" w:cs="Arial"/>
          <w:b/>
          <w:sz w:val="24"/>
          <w:szCs w:val="24"/>
        </w:rPr>
      </w:pPr>
      <w:r>
        <w:rPr>
          <w:rFonts w:ascii="Arial" w:hAnsi="Arial" w:eastAsia="仿宋" w:cs="Arial"/>
          <w:b/>
          <w:bCs/>
          <w:sz w:val="24"/>
          <w:szCs w:val="24"/>
        </w:rPr>
        <w:t>建设</w:t>
      </w:r>
      <w:r>
        <w:rPr>
          <w:rFonts w:ascii="Arial" w:hAnsi="Arial" w:eastAsia="仿宋" w:cs="Arial"/>
          <w:b/>
          <w:sz w:val="24"/>
          <w:szCs w:val="24"/>
        </w:rPr>
        <w:t>机床设备云</w:t>
      </w:r>
    </w:p>
    <w:p>
      <w:pPr>
        <w:spacing w:line="360" w:lineRule="auto"/>
        <w:ind w:firstLine="480" w:firstLineChars="200"/>
        <w:rPr>
          <w:rFonts w:ascii="Arial" w:hAnsi="Arial" w:eastAsia="仿宋" w:cs="Arial"/>
          <w:bCs/>
        </w:rPr>
      </w:pPr>
      <w:r>
        <w:rPr>
          <w:rFonts w:ascii="Arial" w:hAnsi="Arial" w:eastAsia="仿宋" w:cs="Arial"/>
          <w:bCs/>
        </w:rPr>
        <w:t>主要实现账号管理、机床网盘、远程诊断、机床租赁、故障预防等与物理机床资源的云化配置及管控。</w:t>
      </w:r>
    </w:p>
    <w:p>
      <w:pPr>
        <w:pStyle w:val="4"/>
        <w:numPr>
          <w:ilvl w:val="0"/>
          <w:numId w:val="35"/>
        </w:numPr>
        <w:rPr>
          <w:rFonts w:ascii="Arial" w:hAnsi="Arial" w:eastAsia="仿宋" w:cs="Arial"/>
          <w:sz w:val="24"/>
          <w:szCs w:val="24"/>
        </w:rPr>
      </w:pPr>
      <w:bookmarkStart w:id="102" w:name="_Toc78041457"/>
      <w:r>
        <w:rPr>
          <w:rFonts w:ascii="Arial" w:hAnsi="Arial" w:eastAsia="仿宋" w:cs="Arial"/>
          <w:sz w:val="24"/>
          <w:szCs w:val="24"/>
        </w:rPr>
        <w:t>智能终端</w:t>
      </w:r>
      <w:bookmarkEnd w:id="102"/>
    </w:p>
    <w:p>
      <w:pPr>
        <w:spacing w:line="360" w:lineRule="auto"/>
        <w:ind w:firstLine="480" w:firstLineChars="200"/>
        <w:jc w:val="both"/>
        <w:rPr>
          <w:rFonts w:ascii="Arial" w:hAnsi="Arial" w:eastAsia="仿宋" w:cs="Arial"/>
          <w:bCs/>
        </w:rPr>
      </w:pPr>
      <w:r>
        <w:rPr>
          <w:rFonts w:ascii="Arial" w:hAnsi="Arial" w:eastAsia="仿宋" w:cs="Arial"/>
          <w:bCs/>
        </w:rPr>
        <w:t>以长沙市”三智一芯”产业发展方向为指引，以望城“一仓、一园、一镇”产业生态位基础，进一步聚焦智能终端产业链强链、延链、补链，持续大力发展智能终端产业，加快推进智能终端产业结构升级，提升产业的本地配套能力，建立起完整的智能终端产业链，实现芯片设计制造、终端制造及零部件配套一体化的产业发展格局，提升产业综合竞争力，激发千亿级产业集群的“链”式效应，把望城打造成智能终端产业集群的新高地，为望城高质量发展提供强劲动能。</w:t>
      </w:r>
    </w:p>
    <w:p>
      <w:pPr>
        <w:pStyle w:val="63"/>
        <w:numPr>
          <w:ilvl w:val="0"/>
          <w:numId w:val="37"/>
        </w:numPr>
        <w:spacing w:line="360" w:lineRule="auto"/>
        <w:ind w:firstLineChars="0"/>
        <w:rPr>
          <w:rFonts w:ascii="Arial" w:hAnsi="Arial" w:eastAsia="仿宋" w:cs="Arial"/>
          <w:b/>
          <w:bCs/>
          <w:sz w:val="24"/>
          <w:szCs w:val="24"/>
        </w:rPr>
      </w:pPr>
      <w:r>
        <w:rPr>
          <w:rFonts w:ascii="Arial" w:hAnsi="Arial" w:eastAsia="仿宋" w:cs="Arial"/>
          <w:b/>
          <w:bCs/>
          <w:sz w:val="24"/>
          <w:szCs w:val="24"/>
        </w:rPr>
        <w:t>升级完善智能终端产业结构</w:t>
      </w:r>
    </w:p>
    <w:p>
      <w:pPr>
        <w:spacing w:line="360" w:lineRule="auto"/>
        <w:ind w:firstLine="480" w:firstLineChars="200"/>
        <w:jc w:val="both"/>
        <w:rPr>
          <w:rFonts w:ascii="Arial" w:hAnsi="Arial" w:eastAsia="仿宋" w:cs="Arial"/>
          <w:bCs/>
        </w:rPr>
      </w:pPr>
      <w:r>
        <w:rPr>
          <w:rFonts w:ascii="Arial" w:hAnsi="Arial" w:eastAsia="仿宋" w:cs="Arial"/>
          <w:bCs/>
        </w:rPr>
        <w:t>升级完善智能终端产业结构，扶持壮大一批龙头企业和企业集团，成为支撑智能终端产业发展的主导力量；跟踪和把握智能终端产业发展方向，集中力量和资源突破一批核心关键技术，引导智能终端企业加强与高校、科研机构的合作，引导企业联合组建产业联盟、建设企业技术中心，集中力量开展技术攻关；围绕智能终端产业重点领域，以龙头企业和关键产品为核心，注重产业链的横向一体化和纵向一体化的结合,推进产业链的完善和延伸；推进智能终端产品高端化和规模化发展，支持有实力的企业在产品的形态、功能、商业模式上加强创新，形成更多贴近用户个性化需求的特色智能终端产品；按照实施重大项目一引进龙头企业推进产业链式聚集一打造智能终端产业集群的发展思路，提升智能终端产业聚集水平，提高产业的规模效应和整体协作能力，打造智能终端产业集群，必将充分发挥其引领望城已有产业升级，促进新产业聚集，带动望城千亿级智能终端产业集群效应显现的重要作用，为望城智能制造业发展注入新动能。</w:t>
      </w:r>
    </w:p>
    <w:p>
      <w:pPr>
        <w:pStyle w:val="4"/>
        <w:numPr>
          <w:ilvl w:val="0"/>
          <w:numId w:val="35"/>
        </w:numPr>
        <w:rPr>
          <w:rFonts w:ascii="Arial" w:hAnsi="Arial" w:eastAsia="仿宋" w:cs="Arial"/>
          <w:sz w:val="24"/>
          <w:szCs w:val="24"/>
        </w:rPr>
      </w:pPr>
      <w:bookmarkStart w:id="103" w:name="_Toc78041458"/>
      <w:bookmarkStart w:id="104" w:name="_Hlk66879390"/>
      <w:r>
        <w:rPr>
          <w:rFonts w:ascii="Arial" w:hAnsi="Arial" w:eastAsia="仿宋" w:cs="Arial"/>
          <w:sz w:val="24"/>
          <w:szCs w:val="24"/>
        </w:rPr>
        <w:t>智慧物流</w:t>
      </w:r>
      <w:bookmarkEnd w:id="103"/>
    </w:p>
    <w:p>
      <w:pPr>
        <w:spacing w:line="360" w:lineRule="auto"/>
        <w:ind w:firstLine="480" w:firstLineChars="200"/>
        <w:jc w:val="both"/>
        <w:rPr>
          <w:rFonts w:ascii="Arial" w:hAnsi="Arial" w:eastAsia="仿宋" w:cs="Arial"/>
          <w:bCs/>
        </w:rPr>
      </w:pPr>
      <w:r>
        <w:rPr>
          <w:rFonts w:ascii="Arial" w:hAnsi="Arial" w:eastAsia="仿宋" w:cs="Arial"/>
          <w:bCs/>
        </w:rPr>
        <w:t>智慧物流是为望城区内外各种产业企业（包括供应商、制造商、经销商、物流服务商、零售商）提供的综合协同平台。通过供应链管理SaaS软件、供应链协同总线和供应链大数据分析帮助企业持续优化供应链体系、一体化计划管理、高效订单执行、仓储物流优化等。实现数字化供应链转型、物流一体化计划管理、企业各个经营版块之间平衡需求和供给关系、采购模式转型、仓储物流优化。</w:t>
      </w:r>
    </w:p>
    <w:bookmarkEnd w:id="104"/>
    <w:p>
      <w:pPr>
        <w:pStyle w:val="63"/>
        <w:numPr>
          <w:ilvl w:val="0"/>
          <w:numId w:val="38"/>
        </w:numPr>
        <w:spacing w:line="360" w:lineRule="auto"/>
        <w:ind w:firstLineChars="0"/>
        <w:rPr>
          <w:rFonts w:ascii="Arial" w:hAnsi="Arial" w:eastAsia="仿宋" w:cs="Arial"/>
          <w:b/>
          <w:bCs/>
          <w:sz w:val="24"/>
          <w:szCs w:val="24"/>
        </w:rPr>
      </w:pPr>
      <w:r>
        <w:rPr>
          <w:rFonts w:ascii="Arial" w:hAnsi="Arial" w:eastAsia="仿宋" w:cs="Arial"/>
          <w:b/>
          <w:bCs/>
          <w:sz w:val="24"/>
          <w:szCs w:val="24"/>
        </w:rPr>
        <w:t>建设供应链SaaS系统</w:t>
      </w:r>
    </w:p>
    <w:p>
      <w:pPr>
        <w:spacing w:line="360" w:lineRule="auto"/>
        <w:ind w:firstLine="480" w:firstLineChars="200"/>
        <w:jc w:val="both"/>
        <w:rPr>
          <w:rFonts w:ascii="Arial" w:hAnsi="Arial" w:eastAsia="仿宋" w:cs="Arial"/>
        </w:rPr>
      </w:pPr>
      <w:r>
        <w:rPr>
          <w:rFonts w:ascii="Arial" w:hAnsi="Arial" w:eastAsia="仿宋" w:cs="Arial"/>
        </w:rPr>
        <w:t>供应链SaaS为企业提供供应链相关的线上管理软件。包括销售管理系统、计划管理系统、采购管理系统、生产管理系统、库存管理系统、物流管理系统、财务管理系统等。</w:t>
      </w:r>
    </w:p>
    <w:p>
      <w:pPr>
        <w:pStyle w:val="63"/>
        <w:numPr>
          <w:ilvl w:val="0"/>
          <w:numId w:val="38"/>
        </w:numPr>
        <w:spacing w:line="360" w:lineRule="auto"/>
        <w:ind w:firstLineChars="0"/>
        <w:rPr>
          <w:rFonts w:ascii="Arial" w:hAnsi="Arial" w:eastAsia="仿宋" w:cs="Arial"/>
          <w:b/>
          <w:bCs/>
          <w:sz w:val="24"/>
          <w:szCs w:val="24"/>
        </w:rPr>
      </w:pPr>
      <w:r>
        <w:rPr>
          <w:rFonts w:ascii="Arial" w:hAnsi="Arial" w:eastAsia="仿宋" w:cs="Arial"/>
          <w:b/>
          <w:bCs/>
          <w:sz w:val="24"/>
          <w:szCs w:val="24"/>
        </w:rPr>
        <w:t>建设供应链内部协同总线</w:t>
      </w:r>
    </w:p>
    <w:p>
      <w:pPr>
        <w:spacing w:line="360" w:lineRule="auto"/>
        <w:ind w:firstLine="480" w:firstLineChars="200"/>
        <w:jc w:val="both"/>
        <w:rPr>
          <w:rFonts w:ascii="Arial" w:hAnsi="Arial" w:eastAsia="仿宋" w:cs="Arial"/>
        </w:rPr>
      </w:pPr>
      <w:r>
        <w:rPr>
          <w:rFonts w:ascii="Arial" w:hAnsi="Arial" w:eastAsia="仿宋" w:cs="Arial"/>
        </w:rPr>
        <w:t>通过销售、计划、采购、生产、库存、物流、财务</w:t>
      </w:r>
      <w:r>
        <w:rPr>
          <w:rFonts w:ascii="Arial" w:hAnsi="Arial" w:eastAsia="仿宋" w:cs="Arial"/>
          <w:bCs/>
        </w:rPr>
        <w:t>SaaS</w:t>
      </w:r>
      <w:r>
        <w:rPr>
          <w:rFonts w:ascii="Arial" w:hAnsi="Arial" w:eastAsia="仿宋" w:cs="Arial"/>
        </w:rPr>
        <w:t>等业务系统的使用，整合企业内部相关供应链资源，通过协同总线实现数据共享和业务协作。通过内部协同总线，更好的实现企业内部资源的合理分配，提高业务透明度并贯彻规范化流程，实现企业内部供应链一体化高效运作。</w:t>
      </w:r>
    </w:p>
    <w:p>
      <w:pPr>
        <w:pStyle w:val="63"/>
        <w:numPr>
          <w:ilvl w:val="0"/>
          <w:numId w:val="38"/>
        </w:numPr>
        <w:spacing w:line="360" w:lineRule="auto"/>
        <w:ind w:firstLineChars="0"/>
        <w:rPr>
          <w:rFonts w:ascii="Arial" w:hAnsi="Arial" w:eastAsia="仿宋" w:cs="Arial"/>
          <w:b/>
          <w:bCs/>
          <w:sz w:val="24"/>
          <w:szCs w:val="24"/>
        </w:rPr>
      </w:pPr>
      <w:r>
        <w:rPr>
          <w:rFonts w:ascii="Arial" w:hAnsi="Arial" w:eastAsia="仿宋" w:cs="Arial"/>
          <w:b/>
          <w:bCs/>
          <w:sz w:val="24"/>
          <w:szCs w:val="24"/>
        </w:rPr>
        <w:t>建设供应链外部协同总线</w:t>
      </w:r>
    </w:p>
    <w:p>
      <w:pPr>
        <w:spacing w:line="360" w:lineRule="auto"/>
        <w:ind w:firstLine="480" w:firstLineChars="200"/>
        <w:jc w:val="both"/>
        <w:rPr>
          <w:rFonts w:ascii="Arial" w:hAnsi="Arial" w:eastAsia="仿宋" w:cs="Arial"/>
        </w:rPr>
      </w:pPr>
      <w:r>
        <w:rPr>
          <w:rFonts w:ascii="Arial" w:hAnsi="Arial" w:eastAsia="仿宋" w:cs="Arial"/>
        </w:rPr>
        <w:t>在企业允许开放的范围内，通过销售、计划、采购、生产、库存、物流、财务SaaS等业务系统的使用，整合企业之间相关供应链资源，通过协同总线实现跨企业、跨产业间的数据共享和业务协作。</w:t>
      </w:r>
      <w:r>
        <w:rPr>
          <w:rFonts w:ascii="Arial" w:hAnsi="Arial" w:eastAsia="仿宋" w:cs="Arial"/>
          <w:bCs/>
        </w:rPr>
        <w:t>通过外部协同总线</w:t>
      </w:r>
      <w:r>
        <w:rPr>
          <w:rFonts w:ascii="Arial" w:hAnsi="Arial" w:eastAsia="仿宋" w:cs="Arial"/>
        </w:rPr>
        <w:t>，整合更优质的供应链资源供企业分享、协作，实现企业之间、产业之间供应链一体化高效运作。</w:t>
      </w:r>
    </w:p>
    <w:p>
      <w:pPr>
        <w:pStyle w:val="63"/>
        <w:numPr>
          <w:ilvl w:val="0"/>
          <w:numId w:val="38"/>
        </w:numPr>
        <w:spacing w:line="360" w:lineRule="auto"/>
        <w:ind w:firstLineChars="0"/>
        <w:rPr>
          <w:rFonts w:ascii="Arial" w:hAnsi="Arial" w:eastAsia="仿宋" w:cs="Arial"/>
          <w:b/>
          <w:bCs/>
          <w:sz w:val="24"/>
          <w:szCs w:val="24"/>
        </w:rPr>
      </w:pPr>
      <w:r>
        <w:rPr>
          <w:rFonts w:ascii="Arial" w:hAnsi="Arial" w:eastAsia="仿宋" w:cs="Arial"/>
          <w:b/>
          <w:bCs/>
          <w:sz w:val="24"/>
          <w:szCs w:val="24"/>
        </w:rPr>
        <w:t>建设供应链大数据分析系统</w:t>
      </w:r>
    </w:p>
    <w:p>
      <w:pPr>
        <w:spacing w:line="360" w:lineRule="auto"/>
        <w:ind w:firstLine="480" w:firstLineChars="200"/>
        <w:jc w:val="both"/>
        <w:rPr>
          <w:rFonts w:ascii="Arial" w:hAnsi="Arial" w:eastAsia="仿宋" w:cs="Arial"/>
        </w:rPr>
      </w:pPr>
      <w:r>
        <w:rPr>
          <w:rFonts w:ascii="Arial" w:hAnsi="Arial" w:eastAsia="仿宋" w:cs="Arial"/>
        </w:rPr>
        <w:t>通过供应链各环节SaaS系统获取的数据进行商业智能挖掘分析，面向各个企业提供库存优化、需求预测、供应链预测、采购支出优化、逆向物流优化、供应链网络优化等智能辅助分析建议，</w:t>
      </w:r>
      <w:r>
        <w:rPr>
          <w:rFonts w:ascii="Arial" w:hAnsi="Arial" w:eastAsia="仿宋" w:cs="Arial"/>
          <w:bCs/>
        </w:rPr>
        <w:t>帮助企业更好完成供应链运行</w:t>
      </w:r>
      <w:r>
        <w:rPr>
          <w:rFonts w:ascii="Arial" w:hAnsi="Arial" w:eastAsia="仿宋" w:cs="Arial"/>
        </w:rPr>
        <w:t>，降低库存，降低各个环节的运行成本。</w:t>
      </w:r>
    </w:p>
    <w:p>
      <w:pPr>
        <w:pStyle w:val="4"/>
        <w:numPr>
          <w:ilvl w:val="0"/>
          <w:numId w:val="35"/>
        </w:numPr>
        <w:rPr>
          <w:rFonts w:ascii="Arial" w:hAnsi="Arial" w:eastAsia="仿宋" w:cs="Arial"/>
          <w:sz w:val="24"/>
          <w:szCs w:val="24"/>
        </w:rPr>
      </w:pPr>
      <w:bookmarkStart w:id="105" w:name="_Toc78041459"/>
      <w:r>
        <w:rPr>
          <w:rFonts w:ascii="Arial" w:hAnsi="Arial" w:eastAsia="仿宋" w:cs="Arial"/>
          <w:sz w:val="24"/>
          <w:szCs w:val="24"/>
        </w:rPr>
        <w:t>智慧园区</w:t>
      </w:r>
      <w:bookmarkEnd w:id="105"/>
    </w:p>
    <w:p>
      <w:pPr>
        <w:spacing w:line="360" w:lineRule="auto"/>
        <w:ind w:firstLine="480" w:firstLineChars="200"/>
        <w:jc w:val="both"/>
        <w:rPr>
          <w:rFonts w:ascii="Arial" w:hAnsi="Arial" w:eastAsia="仿宋" w:cs="Arial"/>
        </w:rPr>
      </w:pPr>
      <w:r>
        <w:rPr>
          <w:rFonts w:ascii="Arial" w:hAnsi="Arial" w:eastAsia="仿宋" w:cs="Arial"/>
        </w:rPr>
        <w:t>智慧园区将以产业园区作为重点规划及建设对象，并结合工业园区管理体制、服务企业的职能和特点，以服务企业为使命，</w:t>
      </w:r>
      <w:r>
        <w:rPr>
          <w:rFonts w:ascii="Arial" w:hAnsi="Arial" w:eastAsia="仿宋" w:cs="Arial"/>
          <w:bCs/>
        </w:rPr>
        <w:t>以服务融合为手段</w:t>
      </w:r>
      <w:r>
        <w:rPr>
          <w:rFonts w:ascii="Arial" w:hAnsi="Arial" w:eastAsia="仿宋" w:cs="Arial"/>
        </w:rPr>
        <w:t>，以优化服务为目标。同时，利用大数据、人工智能、物联网等信息技术，加强园区内企业安全生产、环境保护等方面的智能监测与分析。一方面，通过整合与调度现有服务平台的服务资源，</w:t>
      </w:r>
      <w:r>
        <w:rPr>
          <w:rFonts w:ascii="Arial" w:hAnsi="Arial" w:eastAsia="仿宋" w:cs="Arial"/>
          <w:bCs/>
        </w:rPr>
        <w:t>以园区内企业的需求为导向融合相关联的服务</w:t>
      </w:r>
      <w:r>
        <w:rPr>
          <w:rFonts w:ascii="Arial" w:hAnsi="Arial" w:eastAsia="仿宋" w:cs="Arial"/>
        </w:rPr>
        <w:t>，形成资源的聚集和服务的融合。通过设立服务规则、优化服务体系、拓展服务渠道、提供数据共享等，为各类服务平台提供增值服务，不断优化并提升园区现有服务的能力，最终形成企业入园全流程服务；另一方面，通过有效的监控手段保障园区的安全及生态环境，降低园区管理成本，为企业提供更加智慧、人性、舒适的工作环境。打造企业共享的资源平台，提升园区核心竞争力，吸引人才，聚集企业，促进园区招商引资。</w:t>
      </w:r>
    </w:p>
    <w:p>
      <w:pPr>
        <w:pStyle w:val="63"/>
        <w:numPr>
          <w:ilvl w:val="0"/>
          <w:numId w:val="39"/>
        </w:numPr>
        <w:spacing w:line="360" w:lineRule="auto"/>
        <w:ind w:firstLineChars="0"/>
        <w:rPr>
          <w:rFonts w:ascii="Arial" w:hAnsi="Arial" w:eastAsia="仿宋" w:cs="Arial"/>
          <w:b/>
          <w:bCs/>
          <w:sz w:val="24"/>
          <w:szCs w:val="24"/>
        </w:rPr>
      </w:pPr>
      <w:r>
        <w:rPr>
          <w:rFonts w:ascii="Arial" w:hAnsi="Arial" w:eastAsia="仿宋" w:cs="Arial"/>
          <w:b/>
          <w:bCs/>
          <w:sz w:val="24"/>
          <w:szCs w:val="24"/>
        </w:rPr>
        <w:t>智慧园区二期</w:t>
      </w:r>
    </w:p>
    <w:p>
      <w:pPr>
        <w:spacing w:line="360" w:lineRule="auto"/>
        <w:ind w:firstLine="480" w:firstLineChars="200"/>
        <w:jc w:val="both"/>
        <w:rPr>
          <w:rFonts w:ascii="Arial" w:hAnsi="Arial" w:eastAsia="仿宋" w:cs="Arial"/>
        </w:rPr>
      </w:pPr>
      <w:r>
        <w:rPr>
          <w:rFonts w:ascii="Arial" w:hAnsi="Arial" w:eastAsia="仿宋" w:cs="Arial"/>
        </w:rPr>
        <w:t>智慧园区包括智慧微园区、渣土偷盗视频AI分析系统、智慧安监平台、园区移动办公APP升级、财务共享平台。通过智能化和数字化的整合应用，解决园区渣土监管、风险管控、财务管控等重点难点问题，从人、财、物等方面实现深入智慧、透彻感知、全面互联，构建微园区的产业服务生态圈。</w:t>
      </w:r>
    </w:p>
    <w:p>
      <w:pPr>
        <w:pStyle w:val="63"/>
        <w:numPr>
          <w:ilvl w:val="0"/>
          <w:numId w:val="39"/>
        </w:numPr>
        <w:spacing w:line="360" w:lineRule="auto"/>
        <w:ind w:firstLineChars="0"/>
        <w:rPr>
          <w:rFonts w:ascii="Arial" w:hAnsi="Arial" w:eastAsia="仿宋" w:cs="Arial"/>
          <w:b/>
          <w:bCs/>
          <w:sz w:val="24"/>
          <w:szCs w:val="24"/>
        </w:rPr>
      </w:pPr>
      <w:r>
        <w:rPr>
          <w:rFonts w:ascii="Arial" w:hAnsi="Arial" w:eastAsia="仿宋" w:cs="Arial"/>
          <w:b/>
          <w:bCs/>
          <w:sz w:val="24"/>
          <w:szCs w:val="24"/>
        </w:rPr>
        <w:t>园区企业服务</w:t>
      </w:r>
    </w:p>
    <w:p>
      <w:pPr>
        <w:spacing w:line="360" w:lineRule="auto"/>
        <w:ind w:firstLine="480" w:firstLineChars="200"/>
        <w:jc w:val="both"/>
        <w:rPr>
          <w:rFonts w:ascii="Arial" w:hAnsi="Arial" w:eastAsia="仿宋" w:cs="Arial"/>
        </w:rPr>
      </w:pPr>
      <w:r>
        <w:rPr>
          <w:rFonts w:ascii="Arial" w:hAnsi="Arial" w:eastAsia="仿宋" w:cs="Arial"/>
        </w:rPr>
        <w:t>园区企业服务主要涵盖企业入园全流程的信息化服务。包括主题服务、创业服务、项目服务、机构服务、行业服务、</w:t>
      </w:r>
      <w:r>
        <w:rPr>
          <w:rFonts w:ascii="Arial" w:hAnsi="Arial" w:eastAsia="仿宋" w:cs="Arial"/>
          <w:bCs/>
        </w:rPr>
        <w:t>交流沟通和企业空间</w:t>
      </w:r>
      <w:r>
        <w:rPr>
          <w:rFonts w:ascii="Arial" w:hAnsi="Arial" w:eastAsia="仿宋" w:cs="Arial"/>
        </w:rPr>
        <w:t>。</w:t>
      </w:r>
    </w:p>
    <w:p>
      <w:pPr>
        <w:pStyle w:val="63"/>
        <w:numPr>
          <w:ilvl w:val="0"/>
          <w:numId w:val="39"/>
        </w:numPr>
        <w:spacing w:line="360" w:lineRule="auto"/>
        <w:ind w:firstLineChars="0"/>
        <w:rPr>
          <w:rFonts w:ascii="Arial" w:hAnsi="Arial" w:eastAsia="仿宋" w:cs="Arial"/>
          <w:b/>
          <w:bCs/>
          <w:sz w:val="24"/>
          <w:szCs w:val="24"/>
        </w:rPr>
      </w:pPr>
      <w:r>
        <w:rPr>
          <w:rFonts w:ascii="Arial" w:hAnsi="Arial" w:eastAsia="仿宋" w:cs="Arial"/>
          <w:b/>
          <w:bCs/>
          <w:sz w:val="24"/>
          <w:szCs w:val="24"/>
        </w:rPr>
        <w:t>动力环境监测系统</w:t>
      </w:r>
    </w:p>
    <w:p>
      <w:pPr>
        <w:spacing w:line="360" w:lineRule="auto"/>
        <w:ind w:firstLine="480" w:firstLineChars="200"/>
        <w:jc w:val="both"/>
        <w:rPr>
          <w:rFonts w:ascii="Arial" w:hAnsi="Arial" w:eastAsia="仿宋" w:cs="Arial"/>
        </w:rPr>
      </w:pPr>
      <w:r>
        <w:rPr>
          <w:rFonts w:ascii="Arial" w:hAnsi="Arial" w:eastAsia="仿宋" w:cs="Arial"/>
        </w:rPr>
        <w:t>动力环境监测系统作为园区一种重要的监测、控制、管理手段，可通过现有的网络资源，在园区总监控中心和办公计算机、或移动网络设备上实现对所辖机房的监控、管理，大大减轻日常巡视人员的工作量，便于及时发现危险隐患，保障安全生产，为产线、机房等区域无人值守模式提供了完备、可靠的保障。同时通过科学合规的能耗监测系统，</w:t>
      </w:r>
      <w:r>
        <w:rPr>
          <w:rFonts w:ascii="Arial" w:hAnsi="Arial" w:eastAsia="仿宋" w:cs="Arial"/>
          <w:bCs/>
        </w:rPr>
        <w:t>准确掌握数据中心的能耗状况</w:t>
      </w:r>
      <w:r>
        <w:rPr>
          <w:rFonts w:ascii="Arial" w:hAnsi="Arial" w:eastAsia="仿宋" w:cs="Arial"/>
        </w:rPr>
        <w:t>，指导数据中心管理者通过各种节能措施提高数据中心的能耗利用率，减少浪费，降低电力成本。</w:t>
      </w:r>
    </w:p>
    <w:p>
      <w:pPr>
        <w:pStyle w:val="63"/>
        <w:numPr>
          <w:ilvl w:val="0"/>
          <w:numId w:val="39"/>
        </w:numPr>
        <w:spacing w:line="360" w:lineRule="auto"/>
        <w:ind w:firstLineChars="0"/>
        <w:rPr>
          <w:rFonts w:ascii="Arial" w:hAnsi="Arial" w:eastAsia="仿宋" w:cs="Arial"/>
          <w:b/>
          <w:bCs/>
          <w:sz w:val="24"/>
          <w:szCs w:val="24"/>
        </w:rPr>
      </w:pPr>
      <w:r>
        <w:rPr>
          <w:rFonts w:ascii="Arial" w:hAnsi="Arial" w:eastAsia="仿宋" w:cs="Arial"/>
          <w:b/>
          <w:bCs/>
          <w:sz w:val="24"/>
          <w:szCs w:val="24"/>
        </w:rPr>
        <w:t>建筑集成管理系统</w:t>
      </w:r>
    </w:p>
    <w:p>
      <w:pPr>
        <w:spacing w:line="360" w:lineRule="auto"/>
        <w:ind w:firstLine="480" w:firstLineChars="200"/>
        <w:jc w:val="both"/>
        <w:rPr>
          <w:rFonts w:ascii="Arial" w:hAnsi="Arial" w:eastAsia="仿宋" w:cs="Arial"/>
        </w:rPr>
      </w:pPr>
      <w:r>
        <w:rPr>
          <w:rFonts w:ascii="Arial" w:hAnsi="Arial" w:eastAsia="仿宋" w:cs="Arial"/>
        </w:rPr>
        <w:t>主要要是对已建或拟建硬件设备（包含与硬件配套的系统）进行集成，集成模块通过硬件厂家开放的各种标准的/私有的协议、</w:t>
      </w:r>
      <w:r>
        <w:rPr>
          <w:rFonts w:ascii="Arial" w:hAnsi="Arial" w:eastAsia="仿宋" w:cs="Arial"/>
          <w:bCs/>
        </w:rPr>
        <w:t>点表</w:t>
      </w:r>
      <w:r>
        <w:rPr>
          <w:rFonts w:ascii="Arial" w:hAnsi="Arial" w:eastAsia="仿宋" w:cs="Arial"/>
        </w:rPr>
        <w:t>，可对设备进行数据采集，并且实现联动。</w:t>
      </w:r>
    </w:p>
    <w:p>
      <w:pPr>
        <w:pStyle w:val="63"/>
        <w:numPr>
          <w:ilvl w:val="0"/>
          <w:numId w:val="39"/>
        </w:numPr>
        <w:spacing w:line="360" w:lineRule="auto"/>
        <w:ind w:firstLineChars="0"/>
        <w:rPr>
          <w:rFonts w:ascii="Arial" w:hAnsi="Arial" w:eastAsia="仿宋" w:cs="Arial"/>
          <w:b/>
          <w:bCs/>
          <w:sz w:val="24"/>
          <w:szCs w:val="24"/>
        </w:rPr>
      </w:pPr>
      <w:r>
        <w:rPr>
          <w:rFonts w:ascii="Arial" w:hAnsi="Arial" w:eastAsia="仿宋" w:cs="Arial"/>
          <w:b/>
          <w:bCs/>
          <w:sz w:val="24"/>
          <w:szCs w:val="24"/>
        </w:rPr>
        <w:t>园区运营管理中心</w:t>
      </w:r>
    </w:p>
    <w:p>
      <w:pPr>
        <w:spacing w:line="360" w:lineRule="auto"/>
        <w:ind w:firstLine="480" w:firstLineChars="200"/>
        <w:jc w:val="both"/>
        <w:rPr>
          <w:rFonts w:ascii="Arial" w:hAnsi="Arial" w:eastAsia="仿宋" w:cs="Arial"/>
        </w:rPr>
      </w:pPr>
      <w:r>
        <w:rPr>
          <w:rFonts w:ascii="Arial" w:hAnsi="Arial" w:eastAsia="仿宋" w:cs="Arial"/>
        </w:rPr>
        <w:t>运营管理中心作为项目的全业务链生成运行决策指挥中枢，系统通过建设“指挥屏幕”，满足“调度运行、办公管理、安全监控、运营数据分析和决策支持”等安全生产和业务运行功能需要，建成具有国际水准的、全业务应用的运营指挥中心和高智能化应用的办公环境。实现与各个区域项目的双向交互无缝衔接，与各区域项目安全监控和运营管理进行无缝集成融合，满足日常指挥调度、安全监控与应急指挥的要求、综合展示运营、财务、管理数据。实现远程指挥可视化、现场监控实时化、管理智能化、数据采集自动化、信息展示动态化、系统应用集成化，支撑经营业务发展、安全监控和精细化管理，提升效益、效率和效能。</w:t>
      </w:r>
    </w:p>
    <w:p>
      <w:pPr>
        <w:pStyle w:val="63"/>
        <w:numPr>
          <w:ilvl w:val="0"/>
          <w:numId w:val="39"/>
        </w:numPr>
        <w:spacing w:line="360" w:lineRule="auto"/>
        <w:ind w:firstLineChars="0"/>
        <w:rPr>
          <w:rFonts w:ascii="Arial" w:hAnsi="Arial" w:eastAsia="仿宋" w:cs="Arial"/>
          <w:b/>
          <w:bCs/>
          <w:sz w:val="24"/>
          <w:szCs w:val="24"/>
        </w:rPr>
      </w:pPr>
      <w:r>
        <w:rPr>
          <w:rFonts w:ascii="Arial" w:hAnsi="Arial" w:eastAsia="仿宋" w:cs="Arial"/>
          <w:b/>
          <w:bCs/>
          <w:sz w:val="24"/>
          <w:szCs w:val="24"/>
        </w:rPr>
        <w:t>虚拟园区</w:t>
      </w:r>
    </w:p>
    <w:p>
      <w:pPr>
        <w:spacing w:line="360" w:lineRule="auto"/>
        <w:ind w:firstLine="480" w:firstLineChars="200"/>
        <w:jc w:val="both"/>
        <w:rPr>
          <w:rFonts w:ascii="Arial" w:hAnsi="Arial" w:eastAsia="仿宋" w:cs="Arial"/>
        </w:rPr>
      </w:pPr>
      <w:r>
        <w:rPr>
          <w:rFonts w:ascii="Arial" w:hAnsi="Arial" w:eastAsia="仿宋" w:cs="Arial"/>
        </w:rPr>
        <w:t>虚拟园区是通过线下的电子展厅和线上的WEB</w:t>
      </w:r>
      <w:r>
        <w:rPr>
          <w:rFonts w:ascii="Arial" w:hAnsi="Arial" w:eastAsia="仿宋" w:cs="Arial"/>
          <w:bCs/>
        </w:rPr>
        <w:t>浏览器</w:t>
      </w:r>
      <w:r>
        <w:rPr>
          <w:rFonts w:ascii="Arial" w:hAnsi="Arial" w:eastAsia="仿宋" w:cs="Arial"/>
        </w:rPr>
        <w:t>，展示园区地理位置、园区基础设施、园区企业分类、园区运营商提供的服务，以及其他与项目相关的更为详细的内容和服务。</w:t>
      </w:r>
    </w:p>
    <w:p>
      <w:pPr>
        <w:pStyle w:val="63"/>
        <w:numPr>
          <w:ilvl w:val="0"/>
          <w:numId w:val="39"/>
        </w:numPr>
        <w:spacing w:line="360" w:lineRule="auto"/>
        <w:ind w:firstLineChars="0"/>
        <w:rPr>
          <w:rFonts w:ascii="Arial" w:hAnsi="Arial" w:eastAsia="仿宋" w:cs="Arial"/>
          <w:b/>
          <w:bCs/>
          <w:sz w:val="24"/>
          <w:szCs w:val="24"/>
        </w:rPr>
      </w:pPr>
      <w:r>
        <w:rPr>
          <w:rFonts w:ascii="Arial" w:hAnsi="Arial" w:eastAsia="仿宋" w:cs="Arial"/>
          <w:b/>
          <w:bCs/>
          <w:sz w:val="24"/>
          <w:szCs w:val="24"/>
        </w:rPr>
        <w:t>展示中心</w:t>
      </w:r>
    </w:p>
    <w:p>
      <w:pPr>
        <w:spacing w:line="360" w:lineRule="auto"/>
        <w:ind w:firstLine="480" w:firstLineChars="200"/>
        <w:jc w:val="both"/>
        <w:rPr>
          <w:rFonts w:ascii="Arial" w:hAnsi="Arial" w:eastAsia="仿宋" w:cs="Arial"/>
        </w:rPr>
      </w:pPr>
      <w:r>
        <w:rPr>
          <w:rFonts w:ascii="Arial" w:hAnsi="Arial" w:eastAsia="仿宋" w:cs="Arial"/>
        </w:rPr>
        <w:t>展示中心对于园区有着非常重要的意义，园区管委会可以通过展示中心来展示园区的设计制作、地理区域位置、</w:t>
      </w:r>
      <w:r>
        <w:rPr>
          <w:rFonts w:ascii="Arial" w:hAnsi="Arial" w:eastAsia="仿宋" w:cs="Arial"/>
          <w:bCs/>
        </w:rPr>
        <w:t>传递生动理念以及园区的商业价值等信息</w:t>
      </w:r>
      <w:r>
        <w:rPr>
          <w:rFonts w:ascii="Arial" w:hAnsi="Arial" w:eastAsia="仿宋" w:cs="Arial"/>
        </w:rPr>
        <w:t>，让潜在客户能够快速地、全面地、准确地了解园区景观、周边环境、办公环境以及园区未来发展规划等详细信息。与此同时，传统内容通过数字化整合，给受众提供一个沉浸体验、多维感知、愉悦新颖的数字化园区体验空间，向客户全面展现园区的美好前景。通过展示中心，客户可体验园区在未来的真实景观、周边的环境、办公环境及配套设施，可以验证客户所购买的单位与周边环境的协调关系、通过该户型的窗户可真切的看到未来属于自己的景观。展示中心给客户提供一种崭新的方式展示、宣传园区；完美体现了客户的设计方案，通过第一人称角色切换，给予潜在客户以真实在场，亲临其景的感受。</w:t>
      </w:r>
    </w:p>
    <w:p>
      <w:pPr>
        <w:pStyle w:val="4"/>
        <w:numPr>
          <w:ilvl w:val="0"/>
          <w:numId w:val="35"/>
        </w:numPr>
        <w:rPr>
          <w:rFonts w:ascii="Arial" w:hAnsi="Arial" w:eastAsia="仿宋" w:cs="Arial"/>
          <w:sz w:val="24"/>
          <w:szCs w:val="24"/>
        </w:rPr>
      </w:pPr>
      <w:bookmarkStart w:id="106" w:name="_Toc78041460"/>
      <w:bookmarkStart w:id="107" w:name="_Hlk66879397"/>
      <w:r>
        <w:rPr>
          <w:rFonts w:ascii="Arial" w:hAnsi="Arial" w:eastAsia="仿宋" w:cs="Arial"/>
          <w:sz w:val="24"/>
          <w:szCs w:val="24"/>
        </w:rPr>
        <w:t>智慧农业</w:t>
      </w:r>
      <w:bookmarkEnd w:id="106"/>
    </w:p>
    <w:p>
      <w:pPr>
        <w:spacing w:line="360" w:lineRule="auto"/>
        <w:ind w:firstLine="480" w:firstLineChars="200"/>
        <w:jc w:val="both"/>
        <w:rPr>
          <w:rFonts w:ascii="Arial" w:hAnsi="Arial" w:eastAsia="仿宋" w:cs="Arial"/>
        </w:rPr>
      </w:pPr>
      <w:r>
        <w:rPr>
          <w:rFonts w:ascii="Arial" w:hAnsi="Arial" w:eastAsia="仿宋" w:cs="Arial"/>
        </w:rPr>
        <w:t>智慧农业依托部署在农业生产现场的各种感知设备（温度、湿度、光照、PM2.5等）、控制设备（灌溉智能控制、温室智能控制等）和溯源设备（RFID为主），运用物联网、大数据、云计算等技术，覆盖农产品从生产、物流、溯源的全生命周期管理。</w:t>
      </w:r>
    </w:p>
    <w:bookmarkEnd w:id="107"/>
    <w:p>
      <w:pPr>
        <w:pStyle w:val="63"/>
        <w:numPr>
          <w:ilvl w:val="0"/>
          <w:numId w:val="40"/>
        </w:numPr>
        <w:spacing w:line="360" w:lineRule="auto"/>
        <w:ind w:firstLineChars="0"/>
        <w:rPr>
          <w:rFonts w:ascii="Arial" w:hAnsi="Arial" w:eastAsia="仿宋" w:cs="Arial"/>
          <w:b/>
          <w:sz w:val="24"/>
          <w:szCs w:val="24"/>
        </w:rPr>
      </w:pPr>
      <w:r>
        <w:rPr>
          <w:rFonts w:ascii="Arial" w:hAnsi="Arial" w:eastAsia="仿宋" w:cs="Arial"/>
          <w:b/>
          <w:sz w:val="24"/>
          <w:szCs w:val="24"/>
        </w:rPr>
        <w:t>建设农产品电子商务体系</w:t>
      </w:r>
    </w:p>
    <w:p>
      <w:pPr>
        <w:spacing w:line="360" w:lineRule="auto"/>
        <w:ind w:firstLine="480" w:firstLineChars="200"/>
        <w:jc w:val="both"/>
        <w:rPr>
          <w:rFonts w:ascii="Arial" w:hAnsi="Arial" w:eastAsia="仿宋" w:cs="Arial"/>
        </w:rPr>
      </w:pPr>
      <w:r>
        <w:rPr>
          <w:rFonts w:ascii="Arial" w:hAnsi="Arial" w:eastAsia="仿宋" w:cs="Arial"/>
        </w:rPr>
        <w:t>扶持企业组织散户农民实施规模化种植和农产品统一收购，以“湖南电子商务网”、“超级社区”等电子商务平台为载体，</w:t>
      </w:r>
      <w:r>
        <w:rPr>
          <w:rFonts w:ascii="Arial" w:hAnsi="Arial" w:eastAsia="仿宋" w:cs="Arial"/>
          <w:bCs/>
        </w:rPr>
        <w:t>开拓网上销售渠道</w:t>
      </w:r>
      <w:r>
        <w:rPr>
          <w:rFonts w:ascii="Arial" w:hAnsi="Arial" w:eastAsia="仿宋" w:cs="Arial"/>
        </w:rPr>
        <w:t>，实现农产品包装进城入市，帮助农民增收。采用“垂直电商入驻”模式进驻超级社区、天猫、京东、亚马逊等综合电子商务平台，借助大平台的知名度和用户数量优势扩大农产品的销售规模。</w:t>
      </w:r>
    </w:p>
    <w:p>
      <w:pPr>
        <w:pStyle w:val="63"/>
        <w:numPr>
          <w:ilvl w:val="0"/>
          <w:numId w:val="40"/>
        </w:numPr>
        <w:spacing w:line="360" w:lineRule="auto"/>
        <w:ind w:firstLineChars="0"/>
        <w:rPr>
          <w:rFonts w:ascii="Arial" w:hAnsi="Arial" w:eastAsia="仿宋" w:cs="Arial"/>
          <w:b/>
          <w:sz w:val="24"/>
          <w:szCs w:val="24"/>
        </w:rPr>
      </w:pPr>
      <w:r>
        <w:rPr>
          <w:rFonts w:ascii="Arial" w:hAnsi="Arial" w:eastAsia="仿宋" w:cs="Arial"/>
          <w:b/>
          <w:sz w:val="24"/>
          <w:szCs w:val="24"/>
        </w:rPr>
        <w:t>建设生鲜农产品供给基地</w:t>
      </w:r>
    </w:p>
    <w:p>
      <w:pPr>
        <w:spacing w:line="360" w:lineRule="auto"/>
        <w:ind w:firstLine="480" w:firstLineChars="200"/>
        <w:jc w:val="both"/>
        <w:rPr>
          <w:rFonts w:ascii="Arial" w:hAnsi="Arial" w:eastAsia="仿宋" w:cs="Arial"/>
        </w:rPr>
      </w:pPr>
      <w:r>
        <w:rPr>
          <w:rFonts w:ascii="Arial" w:hAnsi="Arial" w:eastAsia="仿宋" w:cs="Arial"/>
        </w:rPr>
        <w:t>利用望城区优质绿色生鲜农产品的优势，吸引淘宝生鲜、顺丰优选、京东生鲜等国内知名企业入驻开展生鲜电商业务，</w:t>
      </w:r>
      <w:r>
        <w:rPr>
          <w:rFonts w:ascii="Arial" w:hAnsi="Arial" w:eastAsia="仿宋" w:cs="Arial"/>
          <w:bCs/>
        </w:rPr>
        <w:t>同时引导并鼓励黑麋峰云雾茶</w:t>
      </w:r>
      <w:r>
        <w:rPr>
          <w:rFonts w:ascii="Arial" w:hAnsi="Arial" w:eastAsia="仿宋" w:cs="Arial"/>
        </w:rPr>
        <w:t>、靖港米粉、乌山贡米、靖港毛毛鱼等农业产品与知名生鲜电商企业开展合作，为其提供高端绿色有机茶、蔬菜和水产等高附加值的高端生鲜农产品。</w:t>
      </w:r>
    </w:p>
    <w:p>
      <w:pPr>
        <w:pStyle w:val="63"/>
        <w:numPr>
          <w:ilvl w:val="0"/>
          <w:numId w:val="40"/>
        </w:numPr>
        <w:spacing w:line="360" w:lineRule="auto"/>
        <w:ind w:firstLineChars="0"/>
        <w:rPr>
          <w:rFonts w:ascii="Arial" w:hAnsi="Arial" w:eastAsia="仿宋" w:cs="Arial"/>
          <w:b/>
          <w:sz w:val="24"/>
          <w:szCs w:val="24"/>
        </w:rPr>
      </w:pPr>
      <w:r>
        <w:rPr>
          <w:rFonts w:ascii="Arial" w:hAnsi="Arial" w:eastAsia="仿宋" w:cs="Arial"/>
          <w:b/>
          <w:bCs/>
          <w:sz w:val="24"/>
          <w:szCs w:val="24"/>
        </w:rPr>
        <w:t>建设</w:t>
      </w:r>
      <w:r>
        <w:rPr>
          <w:rFonts w:ascii="Arial" w:hAnsi="Arial" w:eastAsia="仿宋" w:cs="Arial"/>
          <w:b/>
          <w:sz w:val="24"/>
          <w:szCs w:val="24"/>
        </w:rPr>
        <w:t>食品信息溯源体系</w:t>
      </w:r>
    </w:p>
    <w:p>
      <w:pPr>
        <w:spacing w:line="360" w:lineRule="auto"/>
        <w:ind w:firstLine="480" w:firstLineChars="200"/>
        <w:jc w:val="both"/>
        <w:rPr>
          <w:rFonts w:ascii="Arial" w:hAnsi="Arial" w:eastAsia="仿宋" w:cs="Arial"/>
        </w:rPr>
      </w:pPr>
      <w:r>
        <w:rPr>
          <w:rFonts w:ascii="Arial" w:hAnsi="Arial" w:eastAsia="仿宋" w:cs="Arial"/>
        </w:rPr>
        <w:t>采用NB-IoT、电子标签对农林渔产品进行质量安全管理及质量追溯。通过网站、查询终端、手机短信等渠道，为消费者、企业、</w:t>
      </w:r>
      <w:r>
        <w:rPr>
          <w:rFonts w:ascii="Arial" w:hAnsi="Arial" w:eastAsia="仿宋" w:cs="Arial"/>
          <w:bCs/>
        </w:rPr>
        <w:t>第三方组织</w:t>
      </w:r>
      <w:r>
        <w:rPr>
          <w:rFonts w:ascii="Arial" w:hAnsi="Arial" w:eastAsia="仿宋" w:cs="Arial"/>
        </w:rPr>
        <w:t>、政府提供透明实时的追溯信息服务；根据溯源码、批次编号为用户提供食品信息追溯查询服务。</w:t>
      </w:r>
    </w:p>
    <w:p>
      <w:pPr>
        <w:pStyle w:val="63"/>
        <w:numPr>
          <w:ilvl w:val="0"/>
          <w:numId w:val="40"/>
        </w:numPr>
        <w:spacing w:line="360" w:lineRule="auto"/>
        <w:ind w:firstLineChars="0"/>
        <w:rPr>
          <w:rFonts w:ascii="Arial" w:hAnsi="Arial" w:eastAsia="仿宋" w:cs="Arial"/>
          <w:b/>
          <w:sz w:val="24"/>
          <w:szCs w:val="24"/>
        </w:rPr>
      </w:pPr>
      <w:r>
        <w:rPr>
          <w:rFonts w:ascii="Arial" w:hAnsi="Arial" w:eastAsia="仿宋" w:cs="Arial"/>
          <w:b/>
          <w:bCs/>
          <w:sz w:val="24"/>
          <w:szCs w:val="24"/>
        </w:rPr>
        <w:t>建设</w:t>
      </w:r>
      <w:r>
        <w:rPr>
          <w:rFonts w:ascii="Arial" w:hAnsi="Arial" w:eastAsia="仿宋" w:cs="Arial"/>
          <w:b/>
          <w:sz w:val="24"/>
          <w:szCs w:val="24"/>
        </w:rPr>
        <w:t>生产评估服务平台</w:t>
      </w:r>
    </w:p>
    <w:p>
      <w:pPr>
        <w:spacing w:line="360" w:lineRule="auto"/>
        <w:ind w:firstLine="480" w:firstLineChars="200"/>
        <w:jc w:val="both"/>
        <w:rPr>
          <w:rFonts w:ascii="Arial" w:hAnsi="Arial" w:eastAsia="仿宋" w:cs="Arial"/>
        </w:rPr>
      </w:pPr>
      <w:r>
        <w:rPr>
          <w:rFonts w:ascii="Arial" w:hAnsi="Arial" w:eastAsia="仿宋" w:cs="Arial"/>
        </w:rPr>
        <w:t>建立生产评估服务平台，依托大数据平台实现种子、环境、气象、水务、土壤等数据接入产业数据库，</w:t>
      </w:r>
      <w:r>
        <w:rPr>
          <w:rFonts w:ascii="Arial" w:hAnsi="Arial" w:eastAsia="仿宋" w:cs="Arial"/>
          <w:bCs/>
        </w:rPr>
        <w:t>通过互联网和电商收集市场信息</w:t>
      </w:r>
      <w:r>
        <w:rPr>
          <w:rFonts w:ascii="Arial" w:hAnsi="Arial" w:eastAsia="仿宋" w:cs="Arial"/>
        </w:rPr>
        <w:t>，结合传感技术和监控技术对生产工艺的监测，完成大农业各领域的协同评估，实现生产线和生产工艺优化改造。</w:t>
      </w:r>
    </w:p>
    <w:p>
      <w:pPr>
        <w:pStyle w:val="63"/>
        <w:numPr>
          <w:ilvl w:val="0"/>
          <w:numId w:val="40"/>
        </w:numPr>
        <w:spacing w:line="360" w:lineRule="auto"/>
        <w:ind w:firstLineChars="0"/>
        <w:rPr>
          <w:rFonts w:ascii="Arial" w:hAnsi="Arial" w:eastAsia="仿宋" w:cs="Arial"/>
          <w:b/>
          <w:sz w:val="24"/>
          <w:szCs w:val="24"/>
        </w:rPr>
      </w:pPr>
      <w:r>
        <w:rPr>
          <w:rFonts w:ascii="Arial" w:hAnsi="Arial" w:eastAsia="仿宋" w:cs="Arial"/>
          <w:b/>
          <w:bCs/>
          <w:sz w:val="24"/>
          <w:szCs w:val="24"/>
        </w:rPr>
        <w:t>建设</w:t>
      </w:r>
      <w:r>
        <w:rPr>
          <w:rFonts w:ascii="Arial" w:hAnsi="Arial" w:eastAsia="仿宋" w:cs="Arial"/>
          <w:b/>
          <w:sz w:val="24"/>
          <w:szCs w:val="24"/>
        </w:rPr>
        <w:t>项目申报平台</w:t>
      </w:r>
    </w:p>
    <w:p>
      <w:pPr>
        <w:spacing w:line="360" w:lineRule="auto"/>
        <w:ind w:firstLine="480" w:firstLineChars="200"/>
        <w:jc w:val="both"/>
        <w:rPr>
          <w:rFonts w:ascii="Arial" w:hAnsi="Arial" w:eastAsia="仿宋" w:cs="Arial"/>
        </w:rPr>
      </w:pPr>
      <w:r>
        <w:rPr>
          <w:rFonts w:ascii="Arial" w:hAnsi="Arial" w:eastAsia="仿宋" w:cs="Arial"/>
        </w:rPr>
        <w:t>建设项目申报平台，依托数据共享交换平台等获取企业法人、关联企业、家庭成员，同申报平台中的数据进行比对，对农业企业申报项目进行有效管理，针对有些家庭既有合作社、农庄和公司，有种植业、加工业、养殖业，在省市区项目扶持申报的时候，解决重复申报的问题。</w:t>
      </w:r>
    </w:p>
    <w:p>
      <w:pPr>
        <w:pStyle w:val="4"/>
        <w:numPr>
          <w:ilvl w:val="0"/>
          <w:numId w:val="35"/>
        </w:numPr>
        <w:rPr>
          <w:rFonts w:ascii="Arial" w:hAnsi="Arial" w:eastAsia="仿宋" w:cs="Arial"/>
          <w:sz w:val="24"/>
          <w:szCs w:val="24"/>
        </w:rPr>
      </w:pPr>
      <w:bookmarkStart w:id="108" w:name="_Toc78041461"/>
      <w:bookmarkStart w:id="109" w:name="_Hlk66879409"/>
      <w:r>
        <w:rPr>
          <w:rFonts w:ascii="Arial" w:hAnsi="Arial" w:eastAsia="仿宋" w:cs="Arial"/>
          <w:sz w:val="24"/>
          <w:szCs w:val="24"/>
        </w:rPr>
        <w:t>工业互联网</w:t>
      </w:r>
      <w:bookmarkEnd w:id="108"/>
    </w:p>
    <w:p>
      <w:pPr>
        <w:spacing w:line="360" w:lineRule="auto"/>
        <w:ind w:firstLine="480" w:firstLineChars="200"/>
        <w:jc w:val="both"/>
        <w:rPr>
          <w:rFonts w:ascii="Arial" w:hAnsi="Arial" w:eastAsia="仿宋" w:cs="Arial"/>
        </w:rPr>
      </w:pPr>
      <w:r>
        <w:rPr>
          <w:rFonts w:ascii="Arial" w:hAnsi="Arial" w:eastAsia="仿宋" w:cs="Arial"/>
        </w:rPr>
        <w:t>工业互联网平台正在构建现代化产业体系的新基础、新要素和新业态，其也是建设制造强国和网络强国的焊接点。</w:t>
      </w:r>
      <w:r>
        <w:rPr>
          <w:rFonts w:ascii="Arial" w:hAnsi="Arial" w:eastAsia="仿宋" w:cs="Arial"/>
          <w:bCs/>
        </w:rPr>
        <w:t>从制造强国来看</w:t>
      </w:r>
      <w:r>
        <w:rPr>
          <w:rFonts w:ascii="Arial" w:hAnsi="Arial" w:eastAsia="仿宋" w:cs="Arial"/>
        </w:rPr>
        <w:t>，工业互联网平台通过跨设备、跨系统、跨厂区、跨地区的资源链接和高效协同，加速重构生产体系、引领组织变革、优化资源配置，打造新型制造体系。从网络强国来看，工业互联网平台为信息通信业发展提供了新的蓝海，推动5G、窄带物联网（NB-IoT）、软件定义网络（SDN）、时间敏感网络（TSN）等网络技术的演进升级，促进我国信息网络基础设施、技术产业、应用水平的提升。</w:t>
      </w:r>
    </w:p>
    <w:p>
      <w:pPr>
        <w:spacing w:line="360" w:lineRule="auto"/>
        <w:ind w:firstLine="480" w:firstLineChars="200"/>
        <w:jc w:val="both"/>
        <w:rPr>
          <w:rFonts w:ascii="Arial" w:hAnsi="Arial" w:eastAsia="仿宋" w:cs="Arial"/>
        </w:rPr>
      </w:pPr>
      <w:r>
        <w:rPr>
          <w:rFonts w:ascii="Arial" w:hAnsi="Arial" w:eastAsia="仿宋" w:cs="Arial"/>
        </w:rPr>
        <w:t>工业互联网平台的本质是通过构建精准、实时、高效的数据采集互联体系，推动机器、物料、系统、产品、人等参与主体各类要素信息的泛在感知、云端汇聚、高效分析和科学决策，推动涉及生产全要素、</w:t>
      </w:r>
      <w:r>
        <w:rPr>
          <w:rFonts w:ascii="Arial" w:hAnsi="Arial" w:eastAsia="仿宋" w:cs="Arial"/>
          <w:bCs/>
        </w:rPr>
        <w:t>全流程</w:t>
      </w:r>
      <w:r>
        <w:rPr>
          <w:rFonts w:ascii="Arial" w:hAnsi="Arial" w:eastAsia="仿宋" w:cs="Arial"/>
        </w:rPr>
        <w:t>、全产业链、产品全生命周期管理的各类资源优化配置。伴随着新一代信息通信技术和制造业的融合发展，产业生态的竞争正在从ICT领域向制造领域拓展，领军企业围绕“智能机器+云平台+工业APP”功能架构，整合“平台提供商+应用开发者+用户”生态资源，抢占工业大数据入口的主导权、培育海量开发者、提升用户粘性，打造基于工业互联网平台的制造业生态，不断巩固和强化制造业的垄断地位。</w:t>
      </w:r>
    </w:p>
    <w:bookmarkEnd w:id="109"/>
    <w:p>
      <w:pPr>
        <w:pStyle w:val="63"/>
        <w:numPr>
          <w:ilvl w:val="0"/>
          <w:numId w:val="41"/>
        </w:numPr>
        <w:spacing w:line="360" w:lineRule="auto"/>
        <w:ind w:firstLineChars="0"/>
        <w:rPr>
          <w:rFonts w:ascii="Arial" w:hAnsi="Arial" w:eastAsia="仿宋" w:cs="Arial"/>
          <w:b/>
          <w:bCs/>
          <w:sz w:val="24"/>
          <w:szCs w:val="24"/>
        </w:rPr>
      </w:pPr>
      <w:r>
        <w:rPr>
          <w:rFonts w:ascii="Arial" w:hAnsi="Arial" w:eastAsia="仿宋" w:cs="Arial"/>
          <w:b/>
          <w:bCs/>
          <w:sz w:val="24"/>
          <w:szCs w:val="24"/>
        </w:rPr>
        <w:t>数据采集建设</w:t>
      </w:r>
    </w:p>
    <w:p>
      <w:pPr>
        <w:spacing w:line="360" w:lineRule="auto"/>
        <w:ind w:firstLine="480" w:firstLineChars="200"/>
        <w:jc w:val="both"/>
        <w:rPr>
          <w:rFonts w:ascii="Arial" w:hAnsi="Arial" w:eastAsia="仿宋" w:cs="Arial"/>
        </w:rPr>
      </w:pPr>
      <w:r>
        <w:rPr>
          <w:rFonts w:ascii="Arial" w:hAnsi="Arial" w:eastAsia="仿宋" w:cs="Arial"/>
        </w:rPr>
        <w:t>针对企业老旧设备无法进行数据采集的问题，支持企业通过添加传感器和通信模块的方式实现老旧设备数据采集与传输，</w:t>
      </w:r>
      <w:r>
        <w:rPr>
          <w:rFonts w:ascii="Arial" w:hAnsi="Arial" w:eastAsia="仿宋" w:cs="Arial"/>
          <w:bCs/>
        </w:rPr>
        <w:t>通过软硬件升级实现封闭数控系统接口协议开放</w:t>
      </w:r>
      <w:r>
        <w:rPr>
          <w:rFonts w:ascii="Arial" w:hAnsi="Arial" w:eastAsia="仿宋" w:cs="Arial"/>
        </w:rPr>
        <w:t>，通过引入新型数字化装备提升生产现场数据采集能力；针对企业信息化系统落后的问题，支持企业部署MES/DCS/SCADA等生产控制系统、ERP/PLM/SCM等经营管理软件、CAD/CAE/CAPP等研发设计软件，通过统一接口协议、云化部署等方式，实现生产现场（OT层）实时数据和企业管理（IT层）数据的接入、集成、汇聚。</w:t>
      </w:r>
    </w:p>
    <w:p>
      <w:pPr>
        <w:pStyle w:val="63"/>
        <w:numPr>
          <w:ilvl w:val="0"/>
          <w:numId w:val="41"/>
        </w:numPr>
        <w:spacing w:line="360" w:lineRule="auto"/>
        <w:ind w:firstLineChars="0"/>
        <w:rPr>
          <w:rFonts w:ascii="Arial" w:hAnsi="Arial" w:eastAsia="仿宋" w:cs="Arial"/>
          <w:b/>
          <w:bCs/>
          <w:sz w:val="24"/>
          <w:szCs w:val="24"/>
        </w:rPr>
      </w:pPr>
      <w:r>
        <w:rPr>
          <w:rFonts w:ascii="Arial" w:hAnsi="Arial" w:eastAsia="仿宋" w:cs="Arial"/>
          <w:b/>
          <w:bCs/>
          <w:sz w:val="24"/>
          <w:szCs w:val="24"/>
        </w:rPr>
        <w:t>数据传输与安全建设行动</w:t>
      </w:r>
    </w:p>
    <w:p>
      <w:pPr>
        <w:spacing w:line="360" w:lineRule="auto"/>
        <w:ind w:firstLine="480" w:firstLineChars="200"/>
        <w:jc w:val="both"/>
        <w:rPr>
          <w:rFonts w:ascii="Arial" w:hAnsi="Arial" w:eastAsia="仿宋" w:cs="Arial"/>
        </w:rPr>
      </w:pPr>
      <w:bookmarkStart w:id="110" w:name="_Hlk66883949"/>
      <w:r>
        <w:rPr>
          <w:rFonts w:ascii="Arial" w:hAnsi="Arial" w:eastAsia="仿宋" w:cs="Arial"/>
        </w:rPr>
        <w:t>针对企业工厂网络设施落后的问题，支持企业在工厂内建设完善的通信网络架构，运用工业以太网、3G/4G/5G通讯、工业PON、IPV6等技术，提升工厂内网络连接的数据带宽，降低网络时延，确保通信传输稳定可靠；针对生产流程长、产品种类多的企业面临的识别、分选、记录困难等问题，支持企业建立针对产品或零部件的标识管理系统，自</w:t>
      </w:r>
      <w:bookmarkEnd w:id="110"/>
      <w:r>
        <w:rPr>
          <w:rFonts w:ascii="Arial" w:hAnsi="Arial" w:eastAsia="仿宋" w:cs="Arial"/>
        </w:rPr>
        <w:t>动识别零部件、在制品、供需、产品等对象，持续记录相关信息，</w:t>
      </w:r>
      <w:r>
        <w:rPr>
          <w:rFonts w:ascii="Arial" w:hAnsi="Arial" w:eastAsia="仿宋" w:cs="Arial"/>
          <w:bCs/>
        </w:rPr>
        <w:t>实现产品生产流程的信息追溯</w:t>
      </w:r>
      <w:r>
        <w:rPr>
          <w:rFonts w:ascii="Arial" w:hAnsi="Arial" w:eastAsia="仿宋" w:cs="Arial"/>
        </w:rPr>
        <w:t>；针对企业网络安全、数据安全、设备安全等方面防护建设不充分的问题，支持企业在工厂内部署运用工业防火墙、安全检测审计、入侵检测等安全系统，形成网络防护、应急响应等信息安全保障能力，避免系统失效。</w:t>
      </w:r>
    </w:p>
    <w:p>
      <w:pPr>
        <w:pStyle w:val="4"/>
        <w:rPr>
          <w:rFonts w:ascii="Arial" w:hAnsi="Arial" w:eastAsia="仿宋" w:cs="Arial"/>
          <w:sz w:val="24"/>
          <w:szCs w:val="24"/>
        </w:rPr>
      </w:pPr>
      <w:bookmarkStart w:id="111" w:name="_Toc78041462"/>
      <w:bookmarkStart w:id="112" w:name="_Hlk66879418"/>
      <w:bookmarkStart w:id="113" w:name="_Toc11770724"/>
      <w:bookmarkStart w:id="114" w:name="_Toc12549668"/>
      <w:bookmarkStart w:id="115" w:name="_Toc16427383"/>
      <w:r>
        <w:rPr>
          <w:rFonts w:ascii="Arial" w:hAnsi="Arial" w:eastAsia="仿宋" w:cs="Arial"/>
          <w:sz w:val="24"/>
          <w:szCs w:val="24"/>
        </w:rPr>
        <w:t>智能网联</w:t>
      </w:r>
      <w:bookmarkEnd w:id="111"/>
    </w:p>
    <w:p>
      <w:pPr>
        <w:spacing w:line="360" w:lineRule="auto"/>
        <w:ind w:firstLine="480" w:firstLineChars="200"/>
        <w:jc w:val="both"/>
        <w:rPr>
          <w:rFonts w:ascii="Arial" w:hAnsi="Arial" w:eastAsia="仿宋" w:cs="Arial"/>
        </w:rPr>
      </w:pPr>
      <w:r>
        <w:rPr>
          <w:rFonts w:ascii="Arial" w:hAnsi="Arial" w:eastAsia="仿宋" w:cs="Arial"/>
        </w:rPr>
        <w:t>以长沙智能网联核心技术全面赋能智慧交通，全面提升全区交通效能、运营监管和智慧出行等能力，围绕5G基站、智能道路设备等在望城区的落地建设衔接智能网联和无人驾驶技术的应用和落地，</w:t>
      </w:r>
      <w:r>
        <w:rPr>
          <w:rFonts w:ascii="Arial" w:hAnsi="Arial" w:eastAsia="仿宋" w:cs="Arial"/>
          <w:bCs/>
        </w:rPr>
        <w:t>配合拓展更加丰富的测试和应用场景</w:t>
      </w:r>
      <w:r>
        <w:rPr>
          <w:rFonts w:ascii="Arial" w:hAnsi="Arial" w:eastAsia="仿宋" w:cs="Arial"/>
        </w:rPr>
        <w:t>，跟进智能网联汽车产业的发展。为公众提供更加安全、更加便捷和更加舒适的出行服务，为智能网联汽车与智慧交通融合发展的“长沙模式”提供望城力量。</w:t>
      </w:r>
    </w:p>
    <w:p>
      <w:pPr>
        <w:pStyle w:val="63"/>
        <w:numPr>
          <w:ilvl w:val="0"/>
          <w:numId w:val="42"/>
        </w:numPr>
        <w:spacing w:line="360" w:lineRule="auto"/>
        <w:ind w:firstLineChars="0"/>
        <w:rPr>
          <w:rFonts w:ascii="Arial" w:hAnsi="Arial" w:eastAsia="仿宋" w:cs="Arial"/>
          <w:b/>
          <w:bCs/>
          <w:sz w:val="24"/>
          <w:szCs w:val="24"/>
        </w:rPr>
      </w:pPr>
      <w:r>
        <w:rPr>
          <w:rFonts w:ascii="Arial" w:hAnsi="Arial" w:eastAsia="仿宋" w:cs="Arial"/>
          <w:b/>
          <w:bCs/>
          <w:sz w:val="24"/>
          <w:szCs w:val="24"/>
        </w:rPr>
        <w:t>构建智能网联产业链</w:t>
      </w:r>
    </w:p>
    <w:p>
      <w:pPr>
        <w:spacing w:line="360" w:lineRule="auto"/>
        <w:ind w:firstLine="480" w:firstLineChars="200"/>
        <w:jc w:val="both"/>
        <w:rPr>
          <w:rFonts w:ascii="Arial" w:hAnsi="Arial" w:eastAsia="仿宋" w:cs="Arial"/>
        </w:rPr>
      </w:pPr>
      <w:r>
        <w:rPr>
          <w:rFonts w:ascii="Arial" w:hAnsi="Arial" w:eastAsia="仿宋" w:cs="Arial"/>
        </w:rPr>
        <w:t>以长沙智能网联核心技术为核心全面构建通信和计算相结合的车联网体系架构，全面覆盖感知系统、控制系统、执行系统、智能驾驶舱、自动驾驶、智能网联汽车、出行服务、物流服务等产业链条，大力支持LTE-V2X、5G-V2X等无线通信网络关键技术研发与产业化，逐步实现高级别自动驾驶功能的智能网联汽车和5G-V2X规模化商业应用，实现“人-车-路-云”高度协同，更好的满足人民群众日益增长的美好生活需求。</w:t>
      </w:r>
    </w:p>
    <w:bookmarkEnd w:id="112"/>
    <w:p>
      <w:pPr>
        <w:pStyle w:val="63"/>
        <w:numPr>
          <w:ilvl w:val="0"/>
          <w:numId w:val="42"/>
        </w:numPr>
        <w:spacing w:line="360" w:lineRule="auto"/>
        <w:ind w:firstLineChars="0"/>
        <w:rPr>
          <w:rFonts w:ascii="Arial" w:hAnsi="Arial" w:eastAsia="仿宋" w:cs="Arial"/>
          <w:b/>
          <w:bCs/>
          <w:sz w:val="24"/>
          <w:szCs w:val="24"/>
        </w:rPr>
      </w:pPr>
      <w:r>
        <w:rPr>
          <w:rFonts w:ascii="Arial" w:hAnsi="Arial" w:eastAsia="仿宋" w:cs="Arial"/>
          <w:b/>
          <w:bCs/>
          <w:sz w:val="24"/>
          <w:szCs w:val="24"/>
        </w:rPr>
        <w:t>智能道路</w:t>
      </w:r>
    </w:p>
    <w:p>
      <w:pPr>
        <w:spacing w:line="360" w:lineRule="auto"/>
        <w:ind w:firstLine="480" w:firstLineChars="200"/>
        <w:jc w:val="both"/>
        <w:rPr>
          <w:rFonts w:ascii="Arial" w:hAnsi="Arial" w:eastAsia="仿宋" w:cs="Arial"/>
        </w:rPr>
      </w:pPr>
      <w:r>
        <w:rPr>
          <w:rFonts w:ascii="Arial" w:hAnsi="Arial" w:eastAsia="仿宋" w:cs="Arial"/>
        </w:rPr>
        <w:t>车路智联网是由智能车辆和智能道路协同而构成。在望城部分测试干道构建智能道路基础设施，</w:t>
      </w:r>
      <w:r>
        <w:rPr>
          <w:rFonts w:ascii="Arial" w:hAnsi="Arial" w:eastAsia="仿宋" w:cs="Arial"/>
          <w:bCs/>
        </w:rPr>
        <w:t>与长沙智能网联测试区一起推动测试验证</w:t>
      </w:r>
      <w:r>
        <w:rPr>
          <w:rFonts w:ascii="Arial" w:hAnsi="Arial" w:eastAsia="仿宋" w:cs="Arial"/>
        </w:rPr>
        <w:t>，发展综合信息服务，逐步完成重点车辆、路侧设备等的智能化、网联化改造。</w:t>
      </w:r>
    </w:p>
    <w:p>
      <w:pPr>
        <w:spacing w:line="360" w:lineRule="auto"/>
        <w:ind w:firstLine="482" w:firstLineChars="200"/>
        <w:rPr>
          <w:rFonts w:ascii="Arial" w:hAnsi="Arial" w:eastAsia="仿宋" w:cs="Arial"/>
          <w:b/>
          <w:bCs/>
        </w:rPr>
      </w:pPr>
      <w:r>
        <w:rPr>
          <w:rFonts w:ascii="Arial" w:hAnsi="Arial" w:eastAsia="仿宋" w:cs="Arial"/>
          <w:b/>
          <w:bCs/>
        </w:rPr>
        <w:t>（2）智能信息采集和汇聚</w:t>
      </w:r>
    </w:p>
    <w:p>
      <w:pPr>
        <w:spacing w:line="360" w:lineRule="auto"/>
        <w:ind w:firstLine="480" w:firstLineChars="200"/>
        <w:jc w:val="both"/>
        <w:rPr>
          <w:rFonts w:ascii="Arial" w:hAnsi="Arial" w:eastAsia="仿宋" w:cs="Arial"/>
        </w:rPr>
      </w:pPr>
      <w:r>
        <w:rPr>
          <w:rFonts w:ascii="Arial" w:hAnsi="Arial" w:eastAsia="仿宋" w:cs="Arial"/>
        </w:rPr>
        <w:t>加强公交站点、停车位、充电桩、智能灯杆等静态交通信息和交通路况、道路施工、车辆到站等动态交通信息的采集和汇聚。</w:t>
      </w:r>
      <w:r>
        <w:rPr>
          <w:rFonts w:ascii="Arial" w:hAnsi="Arial" w:eastAsia="仿宋" w:cs="Arial"/>
          <w:bCs/>
        </w:rPr>
        <w:t>推进与湘江新区智能网联数据共享开放利用</w:t>
      </w:r>
      <w:r>
        <w:rPr>
          <w:rFonts w:ascii="Arial" w:hAnsi="Arial" w:eastAsia="仿宋" w:cs="Arial"/>
        </w:rPr>
        <w:t>，鼓励社会机构利用政府开放数据，整合社会、企业数据，为市民一体化出行提供基于位置的实时引导、车位搜寻、智慧停车、智能支付结算等全流程服务。</w:t>
      </w:r>
    </w:p>
    <w:p>
      <w:pPr>
        <w:pStyle w:val="4"/>
        <w:numPr>
          <w:ilvl w:val="0"/>
          <w:numId w:val="35"/>
        </w:numPr>
        <w:rPr>
          <w:rFonts w:ascii="Arial" w:hAnsi="Arial" w:eastAsia="仿宋" w:cs="Arial"/>
          <w:sz w:val="24"/>
          <w:szCs w:val="24"/>
        </w:rPr>
      </w:pPr>
      <w:bookmarkStart w:id="116" w:name="_Toc78041463"/>
      <w:bookmarkStart w:id="117" w:name="_Hlk66879425"/>
      <w:r>
        <w:rPr>
          <w:rFonts w:ascii="Arial" w:hAnsi="Arial" w:eastAsia="仿宋" w:cs="Arial"/>
          <w:sz w:val="24"/>
          <w:szCs w:val="24"/>
        </w:rPr>
        <w:t>数字经济</w:t>
      </w:r>
      <w:bookmarkEnd w:id="116"/>
    </w:p>
    <w:p>
      <w:pPr>
        <w:spacing w:line="360" w:lineRule="auto"/>
        <w:ind w:firstLine="480" w:firstLineChars="200"/>
        <w:jc w:val="both"/>
        <w:rPr>
          <w:rFonts w:ascii="Arial" w:hAnsi="Arial" w:eastAsia="仿宋" w:cs="Arial"/>
        </w:rPr>
      </w:pPr>
      <w:r>
        <w:rPr>
          <w:rFonts w:ascii="Arial" w:hAnsi="Arial" w:eastAsia="仿宋" w:cs="Arial"/>
        </w:rPr>
        <w:t>《中共中央关于制定国民经济和社会发展第十四个五年规划和二〇三五年远景目标的建议》提出，建立数据资源产权、交易流通、跨境传输和安全保护等基础制度和标准规范，推动数据资源开发利用。</w:t>
      </w:r>
    </w:p>
    <w:p>
      <w:pPr>
        <w:spacing w:line="360" w:lineRule="auto"/>
        <w:ind w:firstLine="480" w:firstLineChars="200"/>
        <w:jc w:val="both"/>
        <w:rPr>
          <w:rFonts w:ascii="Arial" w:hAnsi="Arial" w:eastAsia="仿宋" w:cs="Arial"/>
        </w:rPr>
      </w:pPr>
      <w:r>
        <w:rPr>
          <w:rFonts w:ascii="Arial" w:hAnsi="Arial" w:eastAsia="仿宋" w:cs="Arial"/>
        </w:rPr>
        <w:t>在望城区探索以数据作为新型生产要素，按数据贡献分配价值的数据共享模式，扩大基础公共信息数据有序开放，提升数据共享交易效率。依靠国家数据统一共享开放平台和湖南省、长沙市级数据开放成果，推动本地数据要素流通交易，建立数据市场秩序，推进数据资产化建设，在行业应用中跨平台、跨领域数据资产流通共享。在保障数据交易各方合法权益、保护隐私及数据所有权的基础上，面向社会提供数据交易、结算、交付、安全保障、数据资产管理和融资等综合配套服务。</w:t>
      </w:r>
    </w:p>
    <w:p>
      <w:pPr>
        <w:pStyle w:val="63"/>
        <w:numPr>
          <w:ilvl w:val="0"/>
          <w:numId w:val="43"/>
        </w:numPr>
        <w:spacing w:line="360" w:lineRule="auto"/>
        <w:ind w:firstLineChars="0"/>
        <w:rPr>
          <w:rFonts w:ascii="Arial" w:hAnsi="Arial" w:eastAsia="仿宋" w:cs="Arial"/>
          <w:b/>
          <w:bCs/>
          <w:sz w:val="24"/>
          <w:szCs w:val="24"/>
        </w:rPr>
      </w:pPr>
      <w:r>
        <w:rPr>
          <w:rFonts w:hint="eastAsia" w:ascii="Arial" w:hAnsi="Arial" w:eastAsia="仿宋" w:cs="Arial"/>
          <w:b/>
          <w:bCs/>
          <w:sz w:val="24"/>
          <w:szCs w:val="24"/>
        </w:rPr>
        <w:t>发展</w:t>
      </w:r>
      <w:r>
        <w:rPr>
          <w:rFonts w:ascii="Arial" w:hAnsi="Arial" w:eastAsia="仿宋" w:cs="Arial"/>
          <w:b/>
          <w:bCs/>
          <w:sz w:val="24"/>
          <w:szCs w:val="24"/>
        </w:rPr>
        <w:t>数字货币产业</w:t>
      </w:r>
    </w:p>
    <w:p>
      <w:pPr>
        <w:spacing w:line="360" w:lineRule="auto"/>
        <w:ind w:firstLine="480" w:firstLineChars="200"/>
        <w:jc w:val="both"/>
        <w:rPr>
          <w:rFonts w:ascii="Arial" w:hAnsi="Arial" w:eastAsia="仿宋" w:cs="Arial"/>
        </w:rPr>
      </w:pPr>
      <w:r>
        <w:rPr>
          <w:rFonts w:ascii="Arial" w:hAnsi="Arial" w:eastAsia="仿宋" w:cs="Arial"/>
        </w:rPr>
        <w:t>以《中共中央关于制定国民经济和社会发展第十四个五年规划和二〇三五年远景目标的建议》为指引，结合《湖南省区块链发展总体规划（2020—2025年）》，积极探索芯片和基础技术行业、银行IT行业、数字加密和网络安全、银行核心系统、银行IT系统数字货币钱包、支付终端等数字伙子上下游产业，稳妥推进数字货币研发，健全市场化利率形成和传导机制，积极探索数字货币在大额支付端、现金数字化方面应用场景，增强数字服务产业核心竞争力，加强对技术研发潜力大的产业集群的支持，打造数字服务产业最优生态圈。</w:t>
      </w:r>
    </w:p>
    <w:bookmarkEnd w:id="117"/>
    <w:p>
      <w:pPr>
        <w:pStyle w:val="3"/>
        <w:ind w:left="482" w:hanging="482" w:hangingChars="200"/>
        <w:rPr>
          <w:rFonts w:ascii="Arial" w:hAnsi="Arial" w:eastAsia="仿宋" w:cs="Arial"/>
          <w:sz w:val="24"/>
          <w:szCs w:val="24"/>
        </w:rPr>
      </w:pPr>
      <w:bookmarkStart w:id="118" w:name="_Hlk66879009"/>
      <w:bookmarkStart w:id="119" w:name="_Toc78041464"/>
      <w:r>
        <w:rPr>
          <w:rFonts w:ascii="Arial" w:hAnsi="Arial" w:eastAsia="仿宋" w:cs="Arial"/>
          <w:sz w:val="24"/>
          <w:szCs w:val="24"/>
        </w:rPr>
        <w:t>文明宜居领域工程</w:t>
      </w:r>
      <w:bookmarkEnd w:id="113"/>
      <w:bookmarkEnd w:id="114"/>
      <w:bookmarkEnd w:id="115"/>
      <w:bookmarkEnd w:id="118"/>
      <w:bookmarkEnd w:id="119"/>
    </w:p>
    <w:p>
      <w:pPr>
        <w:pStyle w:val="4"/>
        <w:numPr>
          <w:ilvl w:val="0"/>
          <w:numId w:val="44"/>
        </w:numPr>
        <w:rPr>
          <w:rFonts w:ascii="Arial" w:hAnsi="Arial" w:eastAsia="仿宋" w:cs="Arial"/>
          <w:sz w:val="24"/>
          <w:szCs w:val="24"/>
        </w:rPr>
      </w:pPr>
      <w:bookmarkStart w:id="120" w:name="_Toc78041465"/>
      <w:bookmarkStart w:id="121" w:name="_Hlk66879503"/>
      <w:r>
        <w:rPr>
          <w:rFonts w:ascii="Arial" w:hAnsi="Arial" w:eastAsia="仿宋" w:cs="Arial"/>
          <w:sz w:val="24"/>
          <w:szCs w:val="24"/>
        </w:rPr>
        <w:t>智慧环保</w:t>
      </w:r>
      <w:bookmarkEnd w:id="120"/>
    </w:p>
    <w:p>
      <w:pPr>
        <w:spacing w:line="360" w:lineRule="auto"/>
        <w:ind w:firstLine="480" w:firstLineChars="200"/>
        <w:jc w:val="both"/>
        <w:rPr>
          <w:rFonts w:ascii="Arial" w:hAnsi="Arial" w:eastAsia="仿宋" w:cs="Arial"/>
        </w:rPr>
      </w:pPr>
      <w:r>
        <w:rPr>
          <w:rFonts w:ascii="Arial" w:hAnsi="Arial" w:eastAsia="仿宋" w:cs="Arial"/>
        </w:rPr>
        <w:t>智慧环保以数字环保为基础，融合了物联网、大数据、云计算等技术，通过实时采集污染源、水环境、空气环境、噪声等数据，构建全方位、多层次、全覆盖的生态环境监测网络，以更加精细和动态的方式实现环境管理，将环境的保护实现最有效化，有效提高环保部门的管理效率，提升环境保护效果。</w:t>
      </w:r>
    </w:p>
    <w:bookmarkEnd w:id="121"/>
    <w:p>
      <w:pPr>
        <w:pStyle w:val="63"/>
        <w:numPr>
          <w:ilvl w:val="0"/>
          <w:numId w:val="45"/>
        </w:numPr>
        <w:spacing w:line="360" w:lineRule="auto"/>
        <w:ind w:firstLineChars="0"/>
        <w:rPr>
          <w:rFonts w:ascii="Arial" w:hAnsi="Arial" w:eastAsia="仿宋" w:cs="Arial"/>
          <w:b/>
          <w:bCs/>
          <w:sz w:val="24"/>
          <w:szCs w:val="24"/>
        </w:rPr>
      </w:pPr>
      <w:r>
        <w:rPr>
          <w:rFonts w:ascii="Arial" w:hAnsi="Arial" w:eastAsia="仿宋" w:cs="Arial"/>
          <w:b/>
          <w:bCs/>
          <w:sz w:val="24"/>
          <w:szCs w:val="24"/>
        </w:rPr>
        <w:t>饮用水源地监测管理系统</w:t>
      </w:r>
    </w:p>
    <w:p>
      <w:pPr>
        <w:spacing w:line="360" w:lineRule="auto"/>
        <w:ind w:firstLine="480" w:firstLineChars="200"/>
        <w:jc w:val="both"/>
        <w:rPr>
          <w:rFonts w:ascii="Arial" w:hAnsi="Arial" w:eastAsia="仿宋" w:cs="Arial"/>
        </w:rPr>
      </w:pPr>
      <w:r>
        <w:rPr>
          <w:rFonts w:ascii="Arial" w:hAnsi="Arial" w:eastAsia="仿宋" w:cs="Arial"/>
        </w:rPr>
        <w:t>对饮用水源的实时监测，包含水质分析、河道排污预警，捕鱼、钓鱼监控管理，实时对饮用水源地的安全进行预警。</w:t>
      </w:r>
    </w:p>
    <w:p>
      <w:pPr>
        <w:pStyle w:val="63"/>
        <w:numPr>
          <w:ilvl w:val="0"/>
          <w:numId w:val="45"/>
        </w:numPr>
        <w:spacing w:line="360" w:lineRule="auto"/>
        <w:ind w:firstLineChars="0"/>
        <w:rPr>
          <w:rFonts w:ascii="Arial" w:hAnsi="Arial" w:eastAsia="仿宋" w:cs="Arial"/>
          <w:b/>
          <w:bCs/>
          <w:sz w:val="24"/>
          <w:szCs w:val="24"/>
        </w:rPr>
      </w:pPr>
      <w:r>
        <w:rPr>
          <w:rFonts w:ascii="Arial" w:hAnsi="Arial" w:eastAsia="仿宋" w:cs="Arial"/>
          <w:b/>
          <w:bCs/>
          <w:sz w:val="24"/>
          <w:szCs w:val="24"/>
        </w:rPr>
        <w:t>建设环境基础监测体系</w:t>
      </w:r>
    </w:p>
    <w:p>
      <w:pPr>
        <w:spacing w:line="360" w:lineRule="auto"/>
        <w:ind w:firstLine="480" w:firstLineChars="200"/>
        <w:jc w:val="both"/>
        <w:rPr>
          <w:rFonts w:ascii="Arial" w:hAnsi="Arial" w:eastAsia="仿宋" w:cs="Arial"/>
        </w:rPr>
      </w:pPr>
      <w:r>
        <w:rPr>
          <w:rFonts w:ascii="Arial" w:hAnsi="Arial" w:eastAsia="仿宋" w:cs="Arial"/>
        </w:rPr>
        <w:t>建设针对望城区域内水系、大气、生态监测评估、预测预警、监察执法体系的建设，打造覆盖污染源、危险源、固废的立体监控平台。完善天地一体化的望城大气污染监控能力，强化对望城的大气颗粒物自动监控、餐饮业污染源在线监测；建成覆盖望城生态涵养带的生态环境监测管理系统，通过采集生态区湿度、温度、视频、图像等数据，对其进行监控管理；对望城污染源、危险源、固体废弃物等实现视频监控、状态感知、运输过程感知、处理过程感知，打造污染源全覆盖监控体系。</w:t>
      </w:r>
    </w:p>
    <w:p>
      <w:pPr>
        <w:pStyle w:val="63"/>
        <w:numPr>
          <w:ilvl w:val="0"/>
          <w:numId w:val="45"/>
        </w:numPr>
        <w:spacing w:line="360" w:lineRule="auto"/>
        <w:ind w:firstLineChars="0"/>
        <w:rPr>
          <w:rFonts w:ascii="Arial" w:hAnsi="Arial" w:eastAsia="仿宋" w:cs="Arial"/>
          <w:b/>
          <w:bCs/>
          <w:sz w:val="24"/>
          <w:szCs w:val="24"/>
        </w:rPr>
      </w:pPr>
      <w:r>
        <w:rPr>
          <w:rFonts w:ascii="Arial" w:hAnsi="Arial" w:eastAsia="仿宋" w:cs="Arial"/>
          <w:b/>
          <w:bCs/>
          <w:sz w:val="24"/>
          <w:szCs w:val="24"/>
        </w:rPr>
        <w:t>构建生态环境监测大数据平台</w:t>
      </w:r>
    </w:p>
    <w:p>
      <w:pPr>
        <w:spacing w:line="360" w:lineRule="auto"/>
        <w:ind w:firstLine="480" w:firstLineChars="200"/>
        <w:jc w:val="both"/>
        <w:rPr>
          <w:rFonts w:ascii="Arial" w:hAnsi="Arial" w:eastAsia="仿宋" w:cs="Arial"/>
        </w:rPr>
      </w:pPr>
      <w:r>
        <w:rPr>
          <w:rFonts w:ascii="Arial" w:hAnsi="Arial" w:eastAsia="仿宋" w:cs="Arial"/>
        </w:rPr>
        <w:t>建立望城生态环境监测大数据平台，依托大数据平台的数据共享交换能力，汇集、管理区内各部门产生的生态环境监测等海量数据，实现各部门间的信息共享。加强对生态环境监测大数据资源的开发与应用，为生态环境管理、决策和执法监督提供有力支撑。</w:t>
      </w:r>
    </w:p>
    <w:p>
      <w:pPr>
        <w:pStyle w:val="63"/>
        <w:numPr>
          <w:ilvl w:val="0"/>
          <w:numId w:val="45"/>
        </w:numPr>
        <w:spacing w:line="360" w:lineRule="auto"/>
        <w:ind w:firstLineChars="0"/>
        <w:rPr>
          <w:rFonts w:ascii="Arial" w:hAnsi="Arial" w:eastAsia="仿宋" w:cs="Arial"/>
          <w:b/>
          <w:bCs/>
          <w:sz w:val="24"/>
          <w:szCs w:val="24"/>
        </w:rPr>
      </w:pPr>
      <w:r>
        <w:rPr>
          <w:rFonts w:ascii="Arial" w:hAnsi="Arial" w:eastAsia="仿宋" w:cs="Arial"/>
          <w:b/>
          <w:bCs/>
          <w:sz w:val="24"/>
          <w:szCs w:val="24"/>
        </w:rPr>
        <w:t>建成统一发布生态环境监测平台</w:t>
      </w:r>
    </w:p>
    <w:p>
      <w:pPr>
        <w:spacing w:line="360" w:lineRule="auto"/>
        <w:ind w:firstLine="480" w:firstLineChars="200"/>
        <w:jc w:val="both"/>
        <w:rPr>
          <w:rFonts w:ascii="Arial" w:hAnsi="Arial" w:eastAsia="仿宋" w:cs="Arial"/>
        </w:rPr>
      </w:pPr>
      <w:r>
        <w:rPr>
          <w:rFonts w:ascii="Arial" w:hAnsi="Arial" w:eastAsia="仿宋" w:cs="Arial"/>
        </w:rPr>
        <w:t>基于生态环境监测大数据平台共享数据，推进区域污染物排放、空气环境质量、水环境质量等信息公开，通过互联网实现面向公众的实时发布和在线查询。利用大数据支撑生态环境信息公开、网上一体化办事和综合信息服务，建立公平普惠、便捷高效的生态环境公共服务体系，发挥生态环境数据资源对人民群众生产、生活和经济社会活动的服务作用。实现生态环境监测信息集成共享。</w:t>
      </w:r>
    </w:p>
    <w:p>
      <w:pPr>
        <w:pStyle w:val="63"/>
        <w:numPr>
          <w:ilvl w:val="0"/>
          <w:numId w:val="45"/>
        </w:numPr>
        <w:spacing w:line="360" w:lineRule="auto"/>
        <w:ind w:firstLineChars="0"/>
        <w:rPr>
          <w:rFonts w:ascii="Arial" w:hAnsi="Arial" w:eastAsia="仿宋" w:cs="Arial"/>
          <w:b/>
          <w:bCs/>
          <w:sz w:val="24"/>
          <w:szCs w:val="24"/>
        </w:rPr>
      </w:pPr>
      <w:r>
        <w:rPr>
          <w:rFonts w:ascii="Arial" w:hAnsi="Arial" w:eastAsia="仿宋" w:cs="Arial"/>
          <w:b/>
          <w:bCs/>
          <w:sz w:val="24"/>
          <w:szCs w:val="24"/>
        </w:rPr>
        <w:t>建设环保综合监察执法系统</w:t>
      </w:r>
    </w:p>
    <w:p>
      <w:pPr>
        <w:spacing w:line="360" w:lineRule="auto"/>
        <w:ind w:firstLine="480" w:firstLineChars="200"/>
        <w:jc w:val="both"/>
        <w:rPr>
          <w:rFonts w:ascii="Arial" w:hAnsi="Arial" w:eastAsia="仿宋" w:cs="Arial"/>
        </w:rPr>
      </w:pPr>
      <w:r>
        <w:rPr>
          <w:rFonts w:ascii="Arial" w:hAnsi="Arial" w:eastAsia="仿宋" w:cs="Arial"/>
        </w:rPr>
        <w:t>建立生态环境执法与监管联动机制，提升执法能力依法履行对排污单位的环境监管职责，依托智能监测设备和移动互联网开展监管执法。利用环境违法举报、互联网采集等渠道，结合政府各个部门的信息，开展精确打击企业环境污染违法行为，支撑环境监察执法从被动响应向主动查违转变；建立环境监察移动执法系统，利用“互联网+”方式创新完善环境监管执法体系。建立望城区监测与监管执法联动快速响应机制，根据污染物排放和自动报警信息，实施现场同步监测与执法。</w:t>
      </w:r>
    </w:p>
    <w:p>
      <w:pPr>
        <w:pStyle w:val="4"/>
        <w:numPr>
          <w:ilvl w:val="0"/>
          <w:numId w:val="44"/>
        </w:numPr>
        <w:rPr>
          <w:rFonts w:ascii="Arial" w:hAnsi="Arial" w:eastAsia="仿宋" w:cs="Arial"/>
          <w:sz w:val="24"/>
          <w:szCs w:val="24"/>
        </w:rPr>
      </w:pPr>
      <w:bookmarkStart w:id="122" w:name="_Toc78041466"/>
      <w:bookmarkStart w:id="123" w:name="_Hlk66879511"/>
      <w:r>
        <w:rPr>
          <w:rFonts w:ascii="Arial" w:hAnsi="Arial" w:eastAsia="仿宋" w:cs="Arial"/>
          <w:sz w:val="24"/>
          <w:szCs w:val="24"/>
        </w:rPr>
        <w:t>智慧能源</w:t>
      </w:r>
      <w:bookmarkEnd w:id="122"/>
    </w:p>
    <w:p>
      <w:pPr>
        <w:spacing w:line="360" w:lineRule="auto"/>
        <w:ind w:firstLine="480" w:firstLineChars="200"/>
        <w:jc w:val="both"/>
        <w:rPr>
          <w:rFonts w:ascii="Arial" w:hAnsi="Arial" w:eastAsia="仿宋" w:cs="Arial"/>
          <w:bCs/>
        </w:rPr>
      </w:pPr>
      <w:r>
        <w:rPr>
          <w:rFonts w:ascii="Arial" w:hAnsi="Arial" w:eastAsia="仿宋" w:cs="Arial"/>
          <w:bCs/>
        </w:rPr>
        <w:t>构建智慧能源管理系统，利用信息化平台对城市能源业务进行全过程管理，来实现能源管理的自动化，</w:t>
      </w:r>
      <w:r>
        <w:rPr>
          <w:rFonts w:ascii="Arial" w:hAnsi="Arial" w:eastAsia="仿宋" w:cs="Arial"/>
        </w:rPr>
        <w:t>推动能源管理的标准化与系统化</w:t>
      </w:r>
      <w:r>
        <w:rPr>
          <w:rFonts w:ascii="Arial" w:hAnsi="Arial" w:eastAsia="仿宋" w:cs="Arial"/>
          <w:bCs/>
        </w:rPr>
        <w:t>，实现能源在线实时监测与统计、能耗管理数据分析、节能改造计划的制定与决策。</w:t>
      </w:r>
    </w:p>
    <w:bookmarkEnd w:id="123"/>
    <w:p>
      <w:pPr>
        <w:pStyle w:val="63"/>
        <w:numPr>
          <w:ilvl w:val="0"/>
          <w:numId w:val="46"/>
        </w:numPr>
        <w:spacing w:line="360" w:lineRule="auto"/>
        <w:ind w:firstLineChars="0"/>
        <w:rPr>
          <w:rFonts w:ascii="Arial" w:hAnsi="Arial" w:eastAsia="仿宋" w:cs="Arial"/>
          <w:b/>
          <w:bCs/>
          <w:sz w:val="24"/>
          <w:szCs w:val="24"/>
        </w:rPr>
      </w:pPr>
      <w:r>
        <w:rPr>
          <w:rFonts w:ascii="Arial" w:hAnsi="Arial" w:eastAsia="仿宋" w:cs="Arial"/>
          <w:b/>
          <w:bCs/>
          <w:sz w:val="24"/>
          <w:szCs w:val="24"/>
        </w:rPr>
        <w:t>能耗在线监测</w:t>
      </w:r>
    </w:p>
    <w:p>
      <w:pPr>
        <w:spacing w:line="360" w:lineRule="auto"/>
        <w:ind w:firstLine="480" w:firstLineChars="200"/>
        <w:jc w:val="both"/>
        <w:rPr>
          <w:rFonts w:ascii="Arial" w:hAnsi="Arial" w:eastAsia="仿宋" w:cs="Arial"/>
        </w:rPr>
      </w:pPr>
      <w:r>
        <w:rPr>
          <w:rFonts w:ascii="Arial" w:hAnsi="Arial" w:eastAsia="仿宋" w:cs="Arial"/>
        </w:rPr>
        <w:t>对望城区企业和公共设施用能数据进行实时采集，掌握企业用能的平衡情况、异常情况、重要工序和耗能设施的能耗情况，并作为后续统计分析、报表以及考核的基础数据。</w:t>
      </w:r>
    </w:p>
    <w:p>
      <w:pPr>
        <w:pStyle w:val="63"/>
        <w:numPr>
          <w:ilvl w:val="0"/>
          <w:numId w:val="46"/>
        </w:numPr>
        <w:spacing w:line="360" w:lineRule="auto"/>
        <w:ind w:firstLineChars="0"/>
        <w:rPr>
          <w:rFonts w:ascii="Arial" w:hAnsi="Arial" w:eastAsia="仿宋" w:cs="Arial"/>
          <w:b/>
          <w:bCs/>
          <w:sz w:val="24"/>
          <w:szCs w:val="24"/>
        </w:rPr>
      </w:pPr>
      <w:r>
        <w:rPr>
          <w:rFonts w:ascii="Arial" w:hAnsi="Arial" w:eastAsia="仿宋" w:cs="Arial"/>
          <w:b/>
          <w:bCs/>
          <w:sz w:val="24"/>
          <w:szCs w:val="24"/>
        </w:rPr>
        <w:t>节能目标管理与考核</w:t>
      </w:r>
    </w:p>
    <w:p>
      <w:pPr>
        <w:spacing w:line="360" w:lineRule="auto"/>
        <w:ind w:firstLine="480" w:firstLineChars="200"/>
        <w:jc w:val="both"/>
        <w:rPr>
          <w:rFonts w:ascii="Arial" w:hAnsi="Arial" w:eastAsia="仿宋" w:cs="Arial"/>
        </w:rPr>
      </w:pPr>
      <w:r>
        <w:rPr>
          <w:rFonts w:ascii="Arial" w:hAnsi="Arial" w:eastAsia="仿宋" w:cs="Arial"/>
        </w:rPr>
        <w:t>将节能降耗目标分解到各企业，以节能量为考核指标，构建节能指标量化体系。对企业、行业监管部门、区域监管部门等进行考核，各类指标统计、指标对标和指标考核在平台上公示，明确奖惩机制，切实保障望城区整体节能目标的实现。</w:t>
      </w:r>
    </w:p>
    <w:p>
      <w:pPr>
        <w:pStyle w:val="63"/>
        <w:numPr>
          <w:ilvl w:val="0"/>
          <w:numId w:val="46"/>
        </w:numPr>
        <w:spacing w:line="360" w:lineRule="auto"/>
        <w:ind w:firstLineChars="0"/>
        <w:rPr>
          <w:rFonts w:ascii="Arial" w:hAnsi="Arial" w:eastAsia="仿宋" w:cs="Arial"/>
          <w:b/>
          <w:bCs/>
          <w:sz w:val="24"/>
          <w:szCs w:val="24"/>
        </w:rPr>
      </w:pPr>
      <w:r>
        <w:rPr>
          <w:rFonts w:ascii="Arial" w:hAnsi="Arial" w:eastAsia="仿宋" w:cs="Arial"/>
          <w:b/>
          <w:bCs/>
          <w:sz w:val="24"/>
          <w:szCs w:val="24"/>
        </w:rPr>
        <w:t>用能计划管理</w:t>
      </w:r>
    </w:p>
    <w:p>
      <w:pPr>
        <w:spacing w:line="360" w:lineRule="auto"/>
        <w:ind w:firstLine="480" w:firstLineChars="200"/>
        <w:jc w:val="both"/>
        <w:rPr>
          <w:rFonts w:ascii="Arial" w:hAnsi="Arial" w:eastAsia="仿宋" w:cs="Arial"/>
        </w:rPr>
      </w:pPr>
      <w:r>
        <w:rPr>
          <w:rFonts w:ascii="Arial" w:hAnsi="Arial" w:eastAsia="仿宋" w:cs="Arial"/>
        </w:rPr>
        <w:t>主管部门在系统上实现各单位年度、月度用能计划的审批管理，系统对用能计划和最终的执行进行跟踪管理和分析，为企业的能源计划制定和政府监管部门的后续管理提供数据支撑。</w:t>
      </w:r>
    </w:p>
    <w:p>
      <w:pPr>
        <w:pStyle w:val="63"/>
        <w:numPr>
          <w:ilvl w:val="0"/>
          <w:numId w:val="46"/>
        </w:numPr>
        <w:spacing w:line="360" w:lineRule="auto"/>
        <w:ind w:firstLineChars="0"/>
        <w:rPr>
          <w:rFonts w:ascii="Arial" w:hAnsi="Arial" w:eastAsia="仿宋" w:cs="Arial"/>
          <w:b/>
          <w:bCs/>
          <w:sz w:val="24"/>
          <w:szCs w:val="24"/>
        </w:rPr>
      </w:pPr>
      <w:r>
        <w:rPr>
          <w:rFonts w:ascii="Arial" w:hAnsi="Arial" w:eastAsia="仿宋" w:cs="Arial"/>
          <w:b/>
          <w:bCs/>
          <w:sz w:val="24"/>
          <w:szCs w:val="24"/>
        </w:rPr>
        <w:t>能源指标统计分析与决策</w:t>
      </w:r>
    </w:p>
    <w:p>
      <w:pPr>
        <w:spacing w:line="360" w:lineRule="auto"/>
        <w:ind w:firstLine="480" w:firstLineChars="200"/>
        <w:jc w:val="both"/>
        <w:rPr>
          <w:rFonts w:ascii="Arial" w:hAnsi="Arial" w:eastAsia="仿宋" w:cs="Arial"/>
        </w:rPr>
      </w:pPr>
      <w:r>
        <w:rPr>
          <w:rFonts w:ascii="Arial" w:hAnsi="Arial" w:eastAsia="仿宋" w:cs="Arial"/>
        </w:rPr>
        <w:t>通过在线监测获得的能源消耗数据，进行多维度的数据汇总统计和分析，建立各级能源消耗指标、节能指标和考核评价指标，并形成各类指标的实时统计、同环比分析和对标分析，为各企业和各级监管部门提供决策数据。</w:t>
      </w:r>
    </w:p>
    <w:p>
      <w:pPr>
        <w:pStyle w:val="63"/>
        <w:numPr>
          <w:ilvl w:val="0"/>
          <w:numId w:val="46"/>
        </w:numPr>
        <w:spacing w:line="360" w:lineRule="auto"/>
        <w:ind w:firstLineChars="0"/>
        <w:rPr>
          <w:rFonts w:ascii="Arial" w:hAnsi="Arial" w:eastAsia="仿宋" w:cs="Arial"/>
          <w:b/>
          <w:bCs/>
          <w:sz w:val="24"/>
          <w:szCs w:val="24"/>
        </w:rPr>
      </w:pPr>
      <w:r>
        <w:rPr>
          <w:rFonts w:ascii="Arial" w:hAnsi="Arial" w:eastAsia="仿宋" w:cs="Arial"/>
          <w:b/>
          <w:bCs/>
          <w:sz w:val="24"/>
          <w:szCs w:val="24"/>
        </w:rPr>
        <w:t>能耗预警预测</w:t>
      </w:r>
    </w:p>
    <w:p>
      <w:pPr>
        <w:spacing w:line="360" w:lineRule="auto"/>
        <w:ind w:firstLine="480" w:firstLineChars="200"/>
        <w:jc w:val="both"/>
        <w:rPr>
          <w:rFonts w:ascii="Arial" w:hAnsi="Arial" w:eastAsia="仿宋" w:cs="Arial"/>
        </w:rPr>
      </w:pPr>
      <w:r>
        <w:rPr>
          <w:rFonts w:ascii="Arial" w:hAnsi="Arial" w:eastAsia="仿宋" w:cs="Arial"/>
        </w:rPr>
        <w:t>比较分析企业实时能耗数据，根据企业的实际生产情况及望城区的能源供应和保障情况，实时发布企业和地区的能源预测和预警。</w:t>
      </w:r>
    </w:p>
    <w:p>
      <w:pPr>
        <w:pStyle w:val="63"/>
        <w:numPr>
          <w:ilvl w:val="0"/>
          <w:numId w:val="46"/>
        </w:numPr>
        <w:spacing w:line="360" w:lineRule="auto"/>
        <w:ind w:firstLineChars="0"/>
        <w:rPr>
          <w:rFonts w:ascii="Arial" w:hAnsi="Arial" w:eastAsia="仿宋" w:cs="Arial"/>
          <w:b/>
          <w:bCs/>
          <w:sz w:val="24"/>
          <w:szCs w:val="24"/>
        </w:rPr>
      </w:pPr>
      <w:r>
        <w:rPr>
          <w:rFonts w:ascii="Arial" w:hAnsi="Arial" w:eastAsia="仿宋" w:cs="Arial"/>
          <w:b/>
          <w:bCs/>
          <w:sz w:val="24"/>
          <w:szCs w:val="24"/>
        </w:rPr>
        <w:t>效能评价</w:t>
      </w:r>
    </w:p>
    <w:p>
      <w:pPr>
        <w:spacing w:line="360" w:lineRule="auto"/>
        <w:ind w:firstLine="480" w:firstLineChars="200"/>
        <w:jc w:val="both"/>
        <w:rPr>
          <w:rFonts w:ascii="Arial" w:hAnsi="Arial" w:eastAsia="仿宋" w:cs="Arial"/>
        </w:rPr>
      </w:pPr>
      <w:r>
        <w:rPr>
          <w:rFonts w:ascii="Arial" w:hAnsi="Arial" w:eastAsia="仿宋" w:cs="Arial"/>
        </w:rPr>
        <w:t>对企业用能状况进行动态分析、评价实时指导企业合理用能、节约用能，为企业节能项目改造建议提供决策数据支撑，最终实现企业的节能、降耗、减排和降低企业成本。</w:t>
      </w:r>
    </w:p>
    <w:p>
      <w:pPr>
        <w:pStyle w:val="4"/>
        <w:numPr>
          <w:ilvl w:val="0"/>
          <w:numId w:val="44"/>
        </w:numPr>
        <w:rPr>
          <w:rFonts w:ascii="Arial" w:hAnsi="Arial" w:eastAsia="仿宋" w:cs="Arial"/>
          <w:sz w:val="24"/>
          <w:szCs w:val="24"/>
        </w:rPr>
      </w:pPr>
      <w:bookmarkStart w:id="124" w:name="_Toc78041467"/>
      <w:bookmarkStart w:id="125" w:name="_Hlk66879519"/>
      <w:r>
        <w:rPr>
          <w:rFonts w:ascii="Arial" w:hAnsi="Arial" w:eastAsia="仿宋" w:cs="Arial"/>
          <w:sz w:val="24"/>
          <w:szCs w:val="24"/>
        </w:rPr>
        <w:t>智慧社区</w:t>
      </w:r>
      <w:bookmarkEnd w:id="124"/>
    </w:p>
    <w:p>
      <w:pPr>
        <w:spacing w:line="360" w:lineRule="auto"/>
        <w:ind w:firstLine="480" w:firstLineChars="200"/>
        <w:jc w:val="both"/>
        <w:rPr>
          <w:rFonts w:ascii="Arial" w:hAnsi="Arial" w:eastAsia="仿宋" w:cs="Arial"/>
        </w:rPr>
      </w:pPr>
      <w:r>
        <w:rPr>
          <w:rFonts w:ascii="Arial" w:hAnsi="Arial" w:eastAsia="仿宋" w:cs="Arial"/>
        </w:rPr>
        <w:t>统筹制定全区统一的智慧社区标准，指导各社区在智慧社区一期工程的基础上运用物联网、大数据等技术对小区周界、敏感设施、公共场所和重要点位进行矩阵式监测、智能式感应。线上线下融合融通的全链条服务集成物业、公用、生活的内容，重点打造政府侧、物业侧、居民侧、企业侧四个管理版块，并依托多渠道多终端的服务中心作为社区智慧服务枢纽，从各个领域提升社区的服务水平、服务硬件和服务软件，将传统的居住社区转换升级为智慧引领的现代化社区，提升区内公众满意度和望城区对外吸引力。</w:t>
      </w:r>
    </w:p>
    <w:bookmarkEnd w:id="125"/>
    <w:p>
      <w:pPr>
        <w:pStyle w:val="63"/>
        <w:numPr>
          <w:ilvl w:val="0"/>
          <w:numId w:val="47"/>
        </w:numPr>
        <w:spacing w:line="360" w:lineRule="auto"/>
        <w:ind w:firstLineChars="0"/>
        <w:rPr>
          <w:rFonts w:ascii="Arial" w:hAnsi="Arial" w:eastAsia="仿宋" w:cs="Arial"/>
          <w:b/>
          <w:bCs/>
          <w:sz w:val="24"/>
          <w:szCs w:val="24"/>
        </w:rPr>
      </w:pPr>
      <w:r>
        <w:rPr>
          <w:rFonts w:ascii="Arial" w:hAnsi="Arial" w:eastAsia="仿宋" w:cs="Arial"/>
          <w:b/>
          <w:bCs/>
          <w:sz w:val="24"/>
          <w:szCs w:val="24"/>
        </w:rPr>
        <w:t>政府侧</w:t>
      </w:r>
    </w:p>
    <w:p>
      <w:pPr>
        <w:spacing w:line="360" w:lineRule="auto"/>
        <w:ind w:firstLine="480" w:firstLineChars="200"/>
        <w:jc w:val="both"/>
        <w:rPr>
          <w:rFonts w:ascii="Arial" w:hAnsi="Arial" w:eastAsia="仿宋" w:cs="Arial"/>
        </w:rPr>
      </w:pPr>
      <w:r>
        <w:rPr>
          <w:rFonts w:ascii="Arial" w:hAnsi="Arial" w:eastAsia="仿宋" w:cs="Arial"/>
          <w:color w:val="000000"/>
        </w:rPr>
        <w:t>政府侧建设人口管理、车辆管理、</w:t>
      </w:r>
      <w:r>
        <w:rPr>
          <w:rFonts w:ascii="Arial" w:hAnsi="Arial" w:eastAsia="仿宋" w:cs="Arial"/>
        </w:rPr>
        <w:t>房屋管理</w:t>
      </w:r>
      <w:r>
        <w:rPr>
          <w:rFonts w:ascii="Arial" w:hAnsi="Arial" w:eastAsia="仿宋" w:cs="Arial"/>
          <w:color w:val="000000"/>
        </w:rPr>
        <w:t>、重点单位管理、安防设施管理、疫情防控、整体态势展示等应用场景。</w:t>
      </w:r>
    </w:p>
    <w:p>
      <w:pPr>
        <w:pStyle w:val="63"/>
        <w:numPr>
          <w:ilvl w:val="0"/>
          <w:numId w:val="47"/>
        </w:numPr>
        <w:spacing w:line="360" w:lineRule="auto"/>
        <w:ind w:firstLineChars="0"/>
        <w:rPr>
          <w:rFonts w:ascii="Arial" w:hAnsi="Arial" w:eastAsia="仿宋" w:cs="Arial"/>
          <w:b/>
          <w:bCs/>
          <w:sz w:val="24"/>
          <w:szCs w:val="24"/>
        </w:rPr>
      </w:pPr>
      <w:r>
        <w:rPr>
          <w:rFonts w:ascii="Arial" w:hAnsi="Arial" w:eastAsia="仿宋" w:cs="Arial"/>
          <w:b/>
          <w:bCs/>
          <w:sz w:val="24"/>
          <w:szCs w:val="24"/>
        </w:rPr>
        <w:t>物业侧</w:t>
      </w:r>
    </w:p>
    <w:p>
      <w:pPr>
        <w:spacing w:line="360" w:lineRule="auto"/>
        <w:ind w:firstLine="480" w:firstLineChars="200"/>
        <w:jc w:val="both"/>
        <w:rPr>
          <w:rFonts w:ascii="Arial" w:hAnsi="Arial" w:eastAsia="仿宋" w:cs="Arial"/>
        </w:rPr>
      </w:pPr>
      <w:r>
        <w:rPr>
          <w:rFonts w:ascii="Arial" w:hAnsi="Arial" w:eastAsia="仿宋" w:cs="Arial"/>
        </w:rPr>
        <w:t>物业侧通过系统约束形成更加规范的物业管理流程，促进小区物业管理服务水平提升。增加物业缴费、信息发布、在线管家、周界报警、环境监测等应用场景。根据社区文化地域性强、群众性强、实用性强、分散性强的特征，以及健身娱乐、认知育智、传承整合、审美创造四大功能，从环境文化、行为文化和精神文化入手，利用智慧社区实现文化和教育元素的导入，为社区居民提供教育、娱乐、健身、休闲等精神文化服务，并形成新形势下正能量主旋律的思想引导阵地。</w:t>
      </w:r>
    </w:p>
    <w:p>
      <w:pPr>
        <w:pStyle w:val="63"/>
        <w:numPr>
          <w:ilvl w:val="0"/>
          <w:numId w:val="47"/>
        </w:numPr>
        <w:spacing w:line="360" w:lineRule="auto"/>
        <w:ind w:firstLineChars="0"/>
        <w:rPr>
          <w:rFonts w:ascii="Arial" w:hAnsi="Arial" w:eastAsia="仿宋" w:cs="Arial"/>
          <w:b/>
          <w:bCs/>
          <w:sz w:val="24"/>
          <w:szCs w:val="24"/>
        </w:rPr>
      </w:pPr>
      <w:r>
        <w:rPr>
          <w:rFonts w:ascii="Arial" w:hAnsi="Arial" w:eastAsia="仿宋" w:cs="Arial"/>
          <w:b/>
          <w:bCs/>
          <w:sz w:val="24"/>
          <w:szCs w:val="24"/>
        </w:rPr>
        <w:t>居民侧</w:t>
      </w:r>
    </w:p>
    <w:p>
      <w:pPr>
        <w:spacing w:line="360" w:lineRule="auto"/>
        <w:ind w:firstLine="480" w:firstLineChars="200"/>
        <w:jc w:val="both"/>
        <w:rPr>
          <w:rFonts w:ascii="Arial" w:hAnsi="Arial" w:eastAsia="仿宋" w:cs="Arial"/>
        </w:rPr>
      </w:pPr>
      <w:r>
        <w:rPr>
          <w:rFonts w:ascii="Arial" w:hAnsi="Arial" w:eastAsia="仿宋" w:cs="Arial"/>
        </w:rPr>
        <w:t>居民侧加入生活缴费、报事报修、投诉建议、社区医疗、社保服务、社区养老等应用场景。利用信息手段，通过整合公共服务资源和社会服务资源来满足老年客户在安全看护、健康管理、生活照料、休闲娱乐、亲情关爱、消费券发放使用等方面的养老需求。</w:t>
      </w:r>
    </w:p>
    <w:p>
      <w:pPr>
        <w:pStyle w:val="63"/>
        <w:numPr>
          <w:ilvl w:val="0"/>
          <w:numId w:val="47"/>
        </w:numPr>
        <w:spacing w:line="360" w:lineRule="auto"/>
        <w:ind w:firstLineChars="0"/>
        <w:rPr>
          <w:rFonts w:ascii="Arial" w:hAnsi="Arial" w:eastAsia="仿宋" w:cs="Arial"/>
          <w:b/>
          <w:bCs/>
          <w:sz w:val="24"/>
          <w:szCs w:val="24"/>
        </w:rPr>
      </w:pPr>
      <w:r>
        <w:rPr>
          <w:rFonts w:ascii="Arial" w:hAnsi="Arial" w:eastAsia="仿宋" w:cs="Arial"/>
          <w:b/>
          <w:bCs/>
          <w:sz w:val="24"/>
          <w:szCs w:val="24"/>
        </w:rPr>
        <w:t>企业侧</w:t>
      </w:r>
    </w:p>
    <w:p>
      <w:pPr>
        <w:spacing w:line="360" w:lineRule="auto"/>
        <w:ind w:firstLine="480" w:firstLineChars="200"/>
        <w:jc w:val="both"/>
        <w:rPr>
          <w:rFonts w:ascii="Arial" w:hAnsi="Arial" w:eastAsia="仿宋" w:cs="Arial"/>
        </w:rPr>
      </w:pPr>
      <w:r>
        <w:rPr>
          <w:rFonts w:ascii="Arial" w:hAnsi="Arial" w:eastAsia="仿宋" w:cs="Arial"/>
        </w:rPr>
        <w:t>企业侧可提供包括社区生活相关的各类服务，如无人购物、快递、设备搬运、托幼、家政、保姆、家电维修、保洁、装修、餐饮外卖、资源回收、健身等，建立社区服务资源目录体系，实现以往线下服务资源和线上的整合，并以此为基础，不断吸收更优质的服务机构入驻。在服务机制上，类似常见的O2O服务平台，但更具本地特性。部分功能可对接智慧商圈的社区微电商服务。</w:t>
      </w:r>
    </w:p>
    <w:p>
      <w:pPr>
        <w:pStyle w:val="4"/>
        <w:numPr>
          <w:ilvl w:val="0"/>
          <w:numId w:val="44"/>
        </w:numPr>
        <w:rPr>
          <w:rFonts w:ascii="Arial" w:hAnsi="Arial" w:eastAsia="仿宋" w:cs="Arial"/>
          <w:sz w:val="24"/>
          <w:szCs w:val="24"/>
        </w:rPr>
      </w:pPr>
      <w:bookmarkStart w:id="126" w:name="_Toc78041468"/>
      <w:bookmarkStart w:id="127" w:name="_Hlk66879529"/>
      <w:r>
        <w:rPr>
          <w:rFonts w:ascii="Arial" w:hAnsi="Arial" w:eastAsia="仿宋" w:cs="Arial"/>
          <w:sz w:val="24"/>
          <w:szCs w:val="24"/>
        </w:rPr>
        <w:t>智慧旅游</w:t>
      </w:r>
      <w:bookmarkEnd w:id="126"/>
    </w:p>
    <w:p>
      <w:pPr>
        <w:spacing w:line="360" w:lineRule="auto"/>
        <w:ind w:firstLine="480" w:firstLineChars="200"/>
        <w:jc w:val="both"/>
        <w:rPr>
          <w:rFonts w:ascii="Arial" w:hAnsi="Arial" w:eastAsia="仿宋" w:cs="Arial"/>
        </w:rPr>
      </w:pPr>
      <w:r>
        <w:rPr>
          <w:rFonts w:ascii="Arial" w:hAnsi="Arial" w:eastAsia="仿宋" w:cs="Arial"/>
        </w:rPr>
        <w:t>通过智慧旅游建设，逐步改变望城旅游产业粗放式的发展格局，完善对区域各个景点的地理事物、自然资源、旅游者行为、景点基础设施和服务设施全面、透彻、及时的感知，构建以移动终端应用和信息主动推送为特色的智慧旅游服务体系，为居民和游客提供一站式、全方位、个性化的旅游服务。</w:t>
      </w:r>
    </w:p>
    <w:p>
      <w:pPr>
        <w:spacing w:line="360" w:lineRule="auto"/>
        <w:ind w:firstLine="480" w:firstLineChars="200"/>
        <w:jc w:val="both"/>
        <w:rPr>
          <w:rFonts w:ascii="Arial" w:hAnsi="Arial" w:eastAsia="仿宋" w:cs="Arial"/>
        </w:rPr>
      </w:pPr>
      <w:r>
        <w:rPr>
          <w:rFonts w:ascii="Arial" w:hAnsi="Arial" w:eastAsia="仿宋" w:cs="Arial"/>
        </w:rPr>
        <w:t>通过招商引资的模式搭建望城智慧旅游的产业监测平台，确保完成“国家旅游局—市级平台—区级平台—景区”数据的直接对接。</w:t>
      </w:r>
    </w:p>
    <w:bookmarkEnd w:id="127"/>
    <w:p>
      <w:pPr>
        <w:spacing w:line="360" w:lineRule="auto"/>
        <w:ind w:firstLine="480" w:firstLineChars="200"/>
        <w:jc w:val="both"/>
        <w:rPr>
          <w:rFonts w:ascii="Arial" w:hAnsi="Arial" w:eastAsia="仿宋" w:cs="Arial"/>
        </w:rPr>
      </w:pPr>
      <w:r>
        <w:rPr>
          <w:rFonts w:ascii="Arial" w:hAnsi="Arial" w:eastAsia="仿宋" w:cs="Arial"/>
        </w:rPr>
        <w:t>加快智慧景区和美丽乡村建设。实现数据联动，激活“山水通灵、美人相约”的生态文化资源，使望城获得智慧旅游的特色名片，从而带动产业转型，促进我区旅游经济以井喷式发展。把望城纳入省内黄金旅游动线，致力于将望城打造成为全国智慧旅游城市的标杆。</w:t>
      </w:r>
    </w:p>
    <w:p>
      <w:pPr>
        <w:pStyle w:val="63"/>
        <w:numPr>
          <w:ilvl w:val="0"/>
          <w:numId w:val="48"/>
        </w:numPr>
        <w:spacing w:line="360" w:lineRule="auto"/>
        <w:ind w:firstLineChars="0"/>
        <w:rPr>
          <w:rFonts w:ascii="Arial" w:hAnsi="Arial" w:eastAsia="仿宋" w:cs="Arial"/>
          <w:b/>
          <w:sz w:val="24"/>
          <w:szCs w:val="24"/>
        </w:rPr>
      </w:pPr>
      <w:r>
        <w:rPr>
          <w:rFonts w:ascii="Arial" w:hAnsi="Arial" w:eastAsia="仿宋" w:cs="Arial"/>
          <w:b/>
          <w:sz w:val="24"/>
          <w:szCs w:val="24"/>
        </w:rPr>
        <w:t>建设智慧旅游感知体系</w:t>
      </w:r>
    </w:p>
    <w:p>
      <w:pPr>
        <w:spacing w:line="360" w:lineRule="auto"/>
        <w:ind w:firstLine="480" w:firstLineChars="200"/>
        <w:jc w:val="both"/>
        <w:rPr>
          <w:rFonts w:ascii="Arial" w:hAnsi="Arial" w:eastAsia="仿宋" w:cs="Arial"/>
          <w:bCs/>
        </w:rPr>
      </w:pPr>
      <w:r>
        <w:rPr>
          <w:rFonts w:ascii="Arial" w:hAnsi="Arial" w:eastAsia="仿宋" w:cs="Arial"/>
          <w:bCs/>
        </w:rPr>
        <w:t>基于物联网技术，构建雷锋纪念馆、铜官窑、靖港古镇等主要景点的视频监控、交通卡口、LED大屏等安防安监设备。在吃、住、行、游、购、娱相关的各类旅游资源中部署传感设备，包括RFID、感应线圈、摄像头、GPS等用于感知旅游资源的ID、属性、状态、位置等各类信息，形成智慧旅游感知体系的神经末梢。</w:t>
      </w:r>
    </w:p>
    <w:p>
      <w:pPr>
        <w:pStyle w:val="63"/>
        <w:numPr>
          <w:ilvl w:val="0"/>
          <w:numId w:val="48"/>
        </w:numPr>
        <w:spacing w:line="360" w:lineRule="auto"/>
        <w:ind w:firstLineChars="0"/>
        <w:rPr>
          <w:rFonts w:ascii="Arial" w:hAnsi="Arial" w:eastAsia="仿宋" w:cs="Arial"/>
          <w:b/>
          <w:sz w:val="24"/>
          <w:szCs w:val="24"/>
        </w:rPr>
      </w:pPr>
      <w:r>
        <w:rPr>
          <w:rFonts w:ascii="Arial" w:hAnsi="Arial" w:eastAsia="仿宋" w:cs="Arial"/>
          <w:b/>
          <w:sz w:val="24"/>
          <w:szCs w:val="24"/>
        </w:rPr>
        <w:t>构建智慧服务系统、智能管理系统和智能运营系统</w:t>
      </w:r>
    </w:p>
    <w:p>
      <w:pPr>
        <w:spacing w:line="360" w:lineRule="auto"/>
        <w:ind w:firstLine="480" w:firstLineChars="200"/>
        <w:jc w:val="both"/>
        <w:rPr>
          <w:rFonts w:ascii="Arial" w:hAnsi="Arial" w:eastAsia="仿宋" w:cs="Arial"/>
          <w:bCs/>
        </w:rPr>
      </w:pPr>
      <w:r>
        <w:rPr>
          <w:rFonts w:ascii="Arial" w:hAnsi="Arial" w:eastAsia="仿宋" w:cs="Arial"/>
          <w:bCs/>
        </w:rPr>
        <w:t>依托民生融合服务平台和长沙市智慧文旅平台等，在互联网、物联网、无线数据通讯基础上，构建智慧服务系统、智能管理系统和智能运营系统。可以为游客提供旅游线路查询、景点自助导览、旅游资讯推送、餐饮娱乐消费导引、远程资源预订、自导航、自导游、电子门票、服务信息即时推送等多种智慧旅游服务；可以为旅游企业提供服务资源管理、</w:t>
      </w:r>
      <w:r>
        <w:rPr>
          <w:rFonts w:ascii="Arial" w:hAnsi="Arial" w:eastAsia="仿宋" w:cs="Arial"/>
        </w:rPr>
        <w:t>游客流量控制</w:t>
      </w:r>
      <w:r>
        <w:rPr>
          <w:rFonts w:ascii="Arial" w:hAnsi="Arial" w:eastAsia="仿宋" w:cs="Arial"/>
          <w:bCs/>
        </w:rPr>
        <w:t>、车辆调度、远程监控、自动收费等多种智慧经营管理服务；</w:t>
      </w:r>
      <w:r>
        <w:rPr>
          <w:rFonts w:ascii="Arial" w:hAnsi="Arial" w:eastAsia="仿宋" w:cs="Arial"/>
        </w:rPr>
        <w:t>可以为管理部门提供环境监测</w:t>
      </w:r>
      <w:r>
        <w:rPr>
          <w:rFonts w:ascii="Arial" w:hAnsi="Arial" w:eastAsia="仿宋" w:cs="Arial"/>
          <w:bCs/>
        </w:rPr>
        <w:t>、交通管理、资源调度、应急处理等多种政务管理服务。</w:t>
      </w:r>
    </w:p>
    <w:p>
      <w:pPr>
        <w:pStyle w:val="63"/>
        <w:numPr>
          <w:ilvl w:val="0"/>
          <w:numId w:val="48"/>
        </w:numPr>
        <w:spacing w:line="360" w:lineRule="auto"/>
        <w:ind w:firstLineChars="0"/>
        <w:rPr>
          <w:rFonts w:ascii="Arial" w:hAnsi="Arial" w:eastAsia="仿宋" w:cs="Arial"/>
          <w:b/>
          <w:sz w:val="24"/>
          <w:szCs w:val="24"/>
        </w:rPr>
      </w:pPr>
      <w:r>
        <w:rPr>
          <w:rFonts w:ascii="Arial" w:hAnsi="Arial" w:eastAsia="仿宋" w:cs="Arial"/>
          <w:b/>
          <w:sz w:val="24"/>
          <w:szCs w:val="24"/>
        </w:rPr>
        <w:t>建设文化全景数字展示平台</w:t>
      </w:r>
    </w:p>
    <w:p>
      <w:pPr>
        <w:spacing w:line="360" w:lineRule="auto"/>
        <w:ind w:firstLine="480" w:firstLineChars="200"/>
        <w:jc w:val="both"/>
        <w:rPr>
          <w:rFonts w:ascii="Arial" w:hAnsi="Arial" w:eastAsia="仿宋" w:cs="Arial"/>
          <w:bCs/>
        </w:rPr>
      </w:pPr>
      <w:r>
        <w:rPr>
          <w:rFonts w:ascii="Arial" w:hAnsi="Arial" w:eastAsia="仿宋" w:cs="Arial"/>
          <w:bCs/>
        </w:rPr>
        <w:t>提供核心、特色旅游资源的数字化展示，在雷锋纪念馆、铜官窑、靖港古镇等核心景区建设三维数字景区，为游客提供导览、无线上网、互动和信息推送服务。建设行善文化、红色文化在线服务平台、文化遗产保护利用平台、文化信息产业促进服务平台，</w:t>
      </w:r>
      <w:r>
        <w:rPr>
          <w:rFonts w:ascii="Arial" w:hAnsi="Arial" w:eastAsia="仿宋" w:cs="Arial"/>
        </w:rPr>
        <w:t>为望城文化传承和相关产业发展提供支撑</w:t>
      </w:r>
      <w:r>
        <w:rPr>
          <w:rFonts w:ascii="Arial" w:hAnsi="Arial" w:eastAsia="仿宋" w:cs="Arial"/>
          <w:bCs/>
        </w:rPr>
        <w:t>；建设旅游监管系统，规范市场。对文物档案资料进行数字化处理，建设数字化博物馆进行展示。</w:t>
      </w:r>
    </w:p>
    <w:p>
      <w:pPr>
        <w:pStyle w:val="63"/>
        <w:numPr>
          <w:ilvl w:val="0"/>
          <w:numId w:val="48"/>
        </w:numPr>
        <w:spacing w:line="360" w:lineRule="auto"/>
        <w:ind w:firstLineChars="0"/>
        <w:rPr>
          <w:rFonts w:ascii="Arial" w:hAnsi="Arial" w:eastAsia="仿宋" w:cs="Arial"/>
          <w:b/>
          <w:sz w:val="24"/>
          <w:szCs w:val="24"/>
        </w:rPr>
      </w:pPr>
      <w:r>
        <w:rPr>
          <w:rFonts w:ascii="Arial" w:hAnsi="Arial" w:eastAsia="仿宋" w:cs="Arial"/>
          <w:b/>
          <w:sz w:val="24"/>
          <w:szCs w:val="24"/>
        </w:rPr>
        <w:t>建设旅游大数据分析体系</w:t>
      </w:r>
    </w:p>
    <w:p>
      <w:pPr>
        <w:spacing w:line="360" w:lineRule="auto"/>
        <w:ind w:firstLine="480" w:firstLineChars="200"/>
        <w:jc w:val="both"/>
        <w:rPr>
          <w:rFonts w:ascii="Arial" w:hAnsi="Arial" w:eastAsia="仿宋" w:cs="Arial"/>
        </w:rPr>
      </w:pPr>
      <w:r>
        <w:rPr>
          <w:rFonts w:ascii="Arial" w:hAnsi="Arial" w:eastAsia="仿宋" w:cs="Arial"/>
          <w:bCs/>
        </w:rPr>
        <w:t>通过旅游资源基础数据库和旅游大数据分析系统的建设，实现包含雷锋精神、戏曲文化和剪纸文化等多种旅游主题分析库，</w:t>
      </w:r>
      <w:r>
        <w:rPr>
          <w:rFonts w:ascii="Arial" w:hAnsi="Arial" w:eastAsia="仿宋" w:cs="Arial"/>
        </w:rPr>
        <w:t>并根据实际需要进行扩展</w:t>
      </w:r>
      <w:r>
        <w:rPr>
          <w:rFonts w:ascii="Arial" w:hAnsi="Arial" w:eastAsia="仿宋" w:cs="Arial"/>
          <w:bCs/>
        </w:rPr>
        <w:t>。</w:t>
      </w:r>
    </w:p>
    <w:p>
      <w:pPr>
        <w:pStyle w:val="3"/>
        <w:ind w:left="482" w:hanging="482" w:hangingChars="200"/>
        <w:rPr>
          <w:rFonts w:ascii="Arial" w:hAnsi="Arial" w:eastAsia="仿宋" w:cs="Arial"/>
          <w:sz w:val="24"/>
          <w:szCs w:val="24"/>
        </w:rPr>
      </w:pPr>
      <w:bookmarkStart w:id="128" w:name="_Toc11770725"/>
      <w:bookmarkStart w:id="129" w:name="_Toc12549669"/>
      <w:bookmarkStart w:id="130" w:name="_Toc16427384"/>
      <w:bookmarkStart w:id="131" w:name="_Toc78041469"/>
      <w:r>
        <w:rPr>
          <w:rFonts w:ascii="Arial" w:hAnsi="Arial" w:eastAsia="仿宋" w:cs="Arial"/>
          <w:sz w:val="24"/>
          <w:szCs w:val="24"/>
        </w:rPr>
        <w:t>望城特色</w:t>
      </w:r>
      <w:bookmarkEnd w:id="128"/>
      <w:bookmarkEnd w:id="129"/>
      <w:r>
        <w:rPr>
          <w:rFonts w:ascii="Arial" w:hAnsi="Arial" w:eastAsia="仿宋" w:cs="Arial"/>
          <w:sz w:val="24"/>
          <w:szCs w:val="24"/>
        </w:rPr>
        <w:t>智慧应用</w:t>
      </w:r>
      <w:bookmarkEnd w:id="130"/>
      <w:bookmarkEnd w:id="131"/>
    </w:p>
    <w:p>
      <w:pPr>
        <w:pStyle w:val="4"/>
        <w:numPr>
          <w:ilvl w:val="0"/>
          <w:numId w:val="49"/>
        </w:numPr>
        <w:rPr>
          <w:rFonts w:ascii="Arial" w:hAnsi="Arial" w:eastAsia="仿宋" w:cs="Arial"/>
          <w:sz w:val="24"/>
          <w:szCs w:val="24"/>
        </w:rPr>
      </w:pPr>
      <w:bookmarkStart w:id="132" w:name="_Toc78041470"/>
      <w:bookmarkStart w:id="133" w:name="_Hlk66879537"/>
      <w:r>
        <w:rPr>
          <w:rFonts w:ascii="Arial" w:hAnsi="Arial" w:eastAsia="仿宋" w:cs="Arial"/>
          <w:sz w:val="24"/>
          <w:szCs w:val="24"/>
        </w:rPr>
        <w:t>最多报一次</w:t>
      </w:r>
      <w:bookmarkEnd w:id="132"/>
    </w:p>
    <w:bookmarkEnd w:id="133"/>
    <w:p>
      <w:pPr>
        <w:spacing w:line="360" w:lineRule="auto"/>
        <w:ind w:firstLine="480" w:firstLineChars="200"/>
        <w:jc w:val="both"/>
        <w:rPr>
          <w:rFonts w:ascii="Arial" w:hAnsi="Arial" w:eastAsia="仿宋" w:cs="Arial"/>
          <w:bCs/>
        </w:rPr>
      </w:pPr>
      <w:r>
        <w:rPr>
          <w:rFonts w:ascii="Arial" w:hAnsi="Arial" w:eastAsia="仿宋" w:cs="Arial"/>
          <w:bCs/>
        </w:rPr>
        <w:t>依托政府数字化转型，将填表格、留记录、写材料、做台账整合进“最多报一次系统”</w:t>
      </w:r>
      <w:r>
        <w:rPr>
          <w:rFonts w:hint="eastAsia" w:ascii="Arial" w:hAnsi="Arial" w:eastAsia="仿宋" w:cs="Arial"/>
          <w:bCs/>
        </w:rPr>
        <w:t>，</w:t>
      </w:r>
      <w:r>
        <w:rPr>
          <w:rFonts w:ascii="Arial" w:hAnsi="Arial" w:eastAsia="仿宋" w:cs="Arial"/>
          <w:bCs/>
        </w:rPr>
        <w:t>汇聚各部门、街镇需上报的数据，通过智能报表、数据模型、大数据计算等信息技术手段，实现“数据共享替代人工填报、</w:t>
      </w:r>
      <w:r>
        <w:rPr>
          <w:rFonts w:ascii="Arial" w:hAnsi="Arial" w:eastAsia="仿宋" w:cs="Arial"/>
        </w:rPr>
        <w:t>数据跑腿替代人工跑路</w:t>
      </w:r>
      <w:r>
        <w:rPr>
          <w:rFonts w:ascii="Arial" w:hAnsi="Arial" w:eastAsia="仿宋" w:cs="Arial"/>
          <w:bCs/>
        </w:rPr>
        <w:t>、最多报一次替代重复报多头报、数字化（无纸化）替代纸质报表、智能化替代人工计算”，实现各部门、街镇数据上报的统一归集，避免同一数据向不同部门上报。归集后的数据通过数据治理，按需向有关部门提供数据开放、上报接口，实现区级人口库、法人库、城市部件库数据、GIS时空信息平台数据、视频监控等资源有条件与各街镇共享。推进基层减负“最多报一次”，实现为基层松绑减负。</w:t>
      </w:r>
    </w:p>
    <w:p>
      <w:pPr>
        <w:pStyle w:val="4"/>
        <w:numPr>
          <w:ilvl w:val="0"/>
          <w:numId w:val="49"/>
        </w:numPr>
        <w:rPr>
          <w:rFonts w:ascii="Arial" w:hAnsi="Arial" w:eastAsia="仿宋" w:cs="Arial"/>
          <w:sz w:val="24"/>
          <w:szCs w:val="24"/>
        </w:rPr>
      </w:pPr>
      <w:bookmarkStart w:id="134" w:name="_Toc78041471"/>
      <w:r>
        <w:rPr>
          <w:rFonts w:ascii="Arial" w:hAnsi="Arial" w:eastAsia="仿宋" w:cs="Arial"/>
          <w:sz w:val="24"/>
          <w:szCs w:val="24"/>
        </w:rPr>
        <w:t>无证城市</w:t>
      </w:r>
      <w:bookmarkEnd w:id="134"/>
    </w:p>
    <w:p>
      <w:pPr>
        <w:spacing w:line="360" w:lineRule="auto"/>
        <w:ind w:firstLine="480" w:firstLineChars="200"/>
        <w:jc w:val="both"/>
        <w:rPr>
          <w:rFonts w:ascii="Arial" w:hAnsi="Arial" w:eastAsia="仿宋" w:cs="Arial"/>
          <w:bCs/>
        </w:rPr>
      </w:pPr>
      <w:r>
        <w:rPr>
          <w:rFonts w:ascii="Arial" w:hAnsi="Arial" w:eastAsia="仿宋" w:cs="Arial"/>
          <w:bCs/>
        </w:rPr>
        <w:t>高水平建设服务型政府，推进政务服务标准化、智能化、便利化，打造手续最简、环节最少、成本最低、效率最高的办事流程。以电子证照为抓手，利用省公安厅八大类电子证照信息，通过区块链技术构建一套电子证照系统。基于区块链技术不可逆、留痕等特点，</w:t>
      </w:r>
      <w:r>
        <w:rPr>
          <w:rFonts w:ascii="Arial" w:hAnsi="Arial" w:eastAsia="仿宋" w:cs="Arial"/>
        </w:rPr>
        <w:t>实现公安八大类电子证照在我区政务系统的使用</w:t>
      </w:r>
      <w:r>
        <w:rPr>
          <w:rFonts w:ascii="Arial" w:hAnsi="Arial" w:eastAsia="仿宋" w:cs="Arial"/>
          <w:bCs/>
        </w:rPr>
        <w:t>。加大数据汇聚力度，加强数据治理，让人民群众在办事过程中减少环节、减少时间，在事项办理时能享受到便捷、快速的服务。</w:t>
      </w:r>
    </w:p>
    <w:p>
      <w:pPr>
        <w:spacing w:line="360" w:lineRule="auto"/>
        <w:ind w:firstLine="480" w:firstLineChars="200"/>
        <w:jc w:val="both"/>
        <w:rPr>
          <w:rFonts w:ascii="Arial" w:hAnsi="Arial" w:eastAsia="仿宋" w:cs="Arial"/>
          <w:bCs/>
        </w:rPr>
      </w:pPr>
      <w:r>
        <w:rPr>
          <w:rFonts w:ascii="Arial" w:hAnsi="Arial" w:eastAsia="仿宋" w:cs="Arial"/>
          <w:bCs/>
        </w:rPr>
        <w:t>通过数据对接，在数据库中实现数据自动抓取、自动审批、自动比对、自动公示，在政务应用中达到即时申请、即时审批、即时公示，不再需要复杂的填报和证明过程，能极大地提升业务办理速度。</w:t>
      </w:r>
    </w:p>
    <w:p>
      <w:pPr>
        <w:pStyle w:val="4"/>
        <w:numPr>
          <w:ilvl w:val="0"/>
          <w:numId w:val="49"/>
        </w:numPr>
        <w:rPr>
          <w:rFonts w:ascii="Arial" w:hAnsi="Arial" w:eastAsia="仿宋" w:cs="Arial"/>
          <w:sz w:val="24"/>
          <w:szCs w:val="24"/>
        </w:rPr>
      </w:pPr>
      <w:bookmarkStart w:id="135" w:name="_Toc78041472"/>
      <w:bookmarkStart w:id="136" w:name="_Hlk66879553"/>
      <w:r>
        <w:rPr>
          <w:rFonts w:ascii="Arial" w:hAnsi="Arial" w:eastAsia="仿宋" w:cs="Arial"/>
          <w:sz w:val="24"/>
          <w:szCs w:val="24"/>
        </w:rPr>
        <w:t>时代雷锋</w:t>
      </w:r>
      <w:bookmarkEnd w:id="135"/>
    </w:p>
    <w:p>
      <w:pPr>
        <w:spacing w:line="360" w:lineRule="auto"/>
        <w:ind w:firstLine="480" w:firstLineChars="200"/>
        <w:jc w:val="both"/>
        <w:rPr>
          <w:rFonts w:ascii="Arial" w:hAnsi="Arial" w:eastAsia="仿宋" w:cs="Arial"/>
          <w:bCs/>
        </w:rPr>
      </w:pPr>
      <w:r>
        <w:rPr>
          <w:rFonts w:ascii="Arial" w:hAnsi="Arial" w:eastAsia="仿宋" w:cs="Arial"/>
          <w:bCs/>
        </w:rPr>
        <w:t>时代雷锋是以新时代志愿者服务平台为载体，</w:t>
      </w:r>
      <w:r>
        <w:rPr>
          <w:rFonts w:ascii="Arial" w:hAnsi="Arial" w:eastAsia="仿宋" w:cs="Arial"/>
        </w:rPr>
        <w:t>弘扬新时代雷锋精神的重要举措</w:t>
      </w:r>
      <w:r>
        <w:rPr>
          <w:rFonts w:ascii="Arial" w:hAnsi="Arial" w:eastAsia="仿宋" w:cs="Arial"/>
          <w:bCs/>
        </w:rPr>
        <w:t>，旨在盘活望城区潜在的志愿服务资源，拓宽志愿服务范围，从而推动慈善募捐、社会救助、急难救助等志愿服务多元化发展。</w:t>
      </w:r>
    </w:p>
    <w:bookmarkEnd w:id="136"/>
    <w:p>
      <w:pPr>
        <w:pStyle w:val="63"/>
        <w:numPr>
          <w:ilvl w:val="0"/>
          <w:numId w:val="50"/>
        </w:numPr>
        <w:spacing w:line="360" w:lineRule="auto"/>
        <w:ind w:firstLineChars="0"/>
        <w:rPr>
          <w:rFonts w:ascii="Arial" w:hAnsi="Arial" w:eastAsia="仿宋" w:cs="Arial"/>
          <w:b/>
          <w:sz w:val="24"/>
          <w:szCs w:val="24"/>
        </w:rPr>
      </w:pPr>
      <w:r>
        <w:rPr>
          <w:rFonts w:ascii="Arial" w:hAnsi="Arial" w:eastAsia="仿宋" w:cs="Arial"/>
          <w:b/>
          <w:sz w:val="24"/>
          <w:szCs w:val="24"/>
        </w:rPr>
        <w:t>志愿者激励保障系统</w:t>
      </w:r>
    </w:p>
    <w:p>
      <w:pPr>
        <w:spacing w:line="360" w:lineRule="auto"/>
        <w:ind w:firstLine="480" w:firstLineChars="200"/>
        <w:jc w:val="both"/>
        <w:rPr>
          <w:rFonts w:ascii="Arial" w:hAnsi="Arial" w:eastAsia="仿宋" w:cs="Arial"/>
          <w:bCs/>
        </w:rPr>
      </w:pPr>
      <w:r>
        <w:rPr>
          <w:rFonts w:ascii="Arial" w:hAnsi="Arial" w:eastAsia="仿宋" w:cs="Arial"/>
          <w:bCs/>
        </w:rPr>
        <w:t>建立长效的志愿服务回馈制度和渠道（如：为志愿者购买保险，解决志愿者生活、生产困难及突发灾难等）。再次，</w:t>
      </w:r>
      <w:r>
        <w:rPr>
          <w:rFonts w:ascii="Arial" w:hAnsi="Arial" w:eastAsia="仿宋" w:cs="Arial"/>
        </w:rPr>
        <w:t>激励保障系统还应该实现的功能是闲置物品的处理</w:t>
      </w:r>
      <w:r>
        <w:rPr>
          <w:rFonts w:ascii="Arial" w:hAnsi="Arial" w:eastAsia="仿宋" w:cs="Arial"/>
          <w:bCs/>
        </w:rPr>
        <w:t>。</w:t>
      </w:r>
      <w:r>
        <w:rPr>
          <w:rFonts w:ascii="Arial" w:hAnsi="Arial" w:eastAsia="仿宋" w:cs="Arial"/>
          <w:color w:val="000000"/>
        </w:rPr>
        <w:t>建设“闲置物品回收站”，为市民建立闲置物品处置通道，并同时提供在线积分兑换及销售两种处理方式，在线积分兑换帮助闲置物品寻找更需要它的人；销售所得可以用于奖励优秀志愿者等。</w:t>
      </w:r>
    </w:p>
    <w:p>
      <w:pPr>
        <w:pStyle w:val="63"/>
        <w:numPr>
          <w:ilvl w:val="0"/>
          <w:numId w:val="50"/>
        </w:numPr>
        <w:spacing w:line="360" w:lineRule="auto"/>
        <w:ind w:firstLineChars="0"/>
        <w:rPr>
          <w:rFonts w:ascii="Arial" w:hAnsi="Arial" w:eastAsia="仿宋" w:cs="Arial"/>
          <w:b/>
          <w:sz w:val="24"/>
          <w:szCs w:val="24"/>
        </w:rPr>
      </w:pPr>
      <w:r>
        <w:rPr>
          <w:rFonts w:ascii="Arial" w:hAnsi="Arial" w:eastAsia="仿宋" w:cs="Arial"/>
          <w:b/>
          <w:sz w:val="24"/>
          <w:szCs w:val="24"/>
        </w:rPr>
        <w:t>网上志愿服务学校</w:t>
      </w:r>
    </w:p>
    <w:p>
      <w:pPr>
        <w:spacing w:line="360" w:lineRule="auto"/>
        <w:ind w:firstLine="480" w:firstLineChars="200"/>
        <w:jc w:val="both"/>
        <w:rPr>
          <w:rFonts w:ascii="Arial" w:hAnsi="Arial" w:eastAsia="仿宋" w:cs="Arial"/>
          <w:bCs/>
        </w:rPr>
      </w:pPr>
      <w:r>
        <w:rPr>
          <w:rFonts w:ascii="Arial" w:hAnsi="Arial" w:eastAsia="仿宋" w:cs="Arial"/>
          <w:bCs/>
        </w:rPr>
        <w:t>推动志愿服务专业化。“网上志愿服务学校”可以将民政、教育、人社、卫生、环保、司法、科协等相关部门的培训同步到网上，志愿者通过在线多媒体学分制学习并考试，修完要求学分便可取得合格证书，并与荣誉挂钩，即参评优秀志愿者必须取得合格证，以此推进志愿服务专业化、职业化；另一方面，通过此举还能提高或增加志愿者的生活生产技能。网校还可以制定政策，鼓励爱心企业在网站上积极发布就业岗位，针对相关专业“预定”志愿者，以安置和解决志愿者就业问题。</w:t>
      </w:r>
    </w:p>
    <w:p>
      <w:pPr>
        <w:pStyle w:val="63"/>
        <w:numPr>
          <w:ilvl w:val="0"/>
          <w:numId w:val="50"/>
        </w:numPr>
        <w:spacing w:line="360" w:lineRule="auto"/>
        <w:ind w:firstLineChars="0"/>
        <w:rPr>
          <w:rFonts w:ascii="Arial" w:hAnsi="Arial" w:eastAsia="仿宋" w:cs="Arial"/>
          <w:b/>
          <w:sz w:val="24"/>
          <w:szCs w:val="24"/>
        </w:rPr>
      </w:pPr>
      <w:r>
        <w:rPr>
          <w:rFonts w:ascii="Arial" w:hAnsi="Arial" w:eastAsia="仿宋" w:cs="Arial"/>
          <w:b/>
          <w:sz w:val="24"/>
          <w:szCs w:val="24"/>
        </w:rPr>
        <w:t>志愿服务精准匹配平台</w:t>
      </w:r>
    </w:p>
    <w:p>
      <w:pPr>
        <w:spacing w:line="360" w:lineRule="auto"/>
        <w:ind w:firstLine="480" w:firstLineChars="200"/>
        <w:jc w:val="both"/>
        <w:rPr>
          <w:rFonts w:ascii="Arial" w:hAnsi="Arial" w:eastAsia="仿宋" w:cs="Arial"/>
          <w:bCs/>
        </w:rPr>
      </w:pPr>
      <w:r>
        <w:rPr>
          <w:rFonts w:ascii="Arial" w:hAnsi="Arial" w:eastAsia="仿宋" w:cs="Arial"/>
          <w:bCs/>
        </w:rPr>
        <w:t>依托长沙智慧文旅平台，在志愿项目地图上动态显示当天各地志愿者开展活动的区域分布，并同时让每个新申请的项目都有机会在网站首页展示，通过这种方式，彻底解决了志愿者互不了解的问题，</w:t>
      </w:r>
      <w:r>
        <w:rPr>
          <w:rFonts w:ascii="Arial" w:hAnsi="Arial" w:eastAsia="仿宋" w:cs="Arial"/>
        </w:rPr>
        <w:t>预防因信息不对称而导致的</w:t>
      </w:r>
      <w:r>
        <w:rPr>
          <w:rFonts w:ascii="Arial" w:hAnsi="Arial" w:eastAsia="仿宋" w:cs="Arial"/>
          <w:bCs/>
        </w:rPr>
        <w:t>“扎堆”志愿。</w:t>
      </w:r>
    </w:p>
    <w:p>
      <w:pPr>
        <w:pStyle w:val="63"/>
        <w:numPr>
          <w:ilvl w:val="0"/>
          <w:numId w:val="50"/>
        </w:numPr>
        <w:spacing w:line="360" w:lineRule="auto"/>
        <w:ind w:firstLineChars="0"/>
        <w:rPr>
          <w:rFonts w:ascii="Arial" w:hAnsi="Arial" w:eastAsia="仿宋" w:cs="Arial"/>
          <w:b/>
          <w:sz w:val="24"/>
          <w:szCs w:val="24"/>
        </w:rPr>
      </w:pPr>
      <w:r>
        <w:rPr>
          <w:rFonts w:ascii="Arial" w:hAnsi="Arial" w:eastAsia="仿宋" w:cs="Arial"/>
          <w:b/>
          <w:sz w:val="24"/>
          <w:szCs w:val="24"/>
        </w:rPr>
        <w:t>老弱病贫残孤数据库</w:t>
      </w:r>
    </w:p>
    <w:p>
      <w:pPr>
        <w:spacing w:line="360" w:lineRule="auto"/>
        <w:ind w:firstLine="480" w:firstLineChars="200"/>
        <w:jc w:val="both"/>
        <w:rPr>
          <w:rFonts w:ascii="Arial" w:hAnsi="Arial" w:eastAsia="仿宋" w:cs="Arial"/>
          <w:bCs/>
        </w:rPr>
      </w:pPr>
      <w:r>
        <w:rPr>
          <w:rFonts w:ascii="Arial" w:hAnsi="Arial" w:eastAsia="仿宋" w:cs="Arial"/>
          <w:bCs/>
        </w:rPr>
        <w:t>首要解决的是“走失”这一社会问题，利用互联网技术建立老弱病贫残孤数据库，并通过数据库为幼童和智障、病患人员、痴呆老人（</w:t>
      </w:r>
      <w:r>
        <w:rPr>
          <w:rFonts w:ascii="Arial" w:hAnsi="Arial" w:eastAsia="仿宋" w:cs="Arial"/>
        </w:rPr>
        <w:t>尤其是留守儿童和空巢老人</w:t>
      </w:r>
      <w:r>
        <w:rPr>
          <w:rFonts w:ascii="Arial" w:hAnsi="Arial" w:eastAsia="仿宋" w:cs="Arial"/>
          <w:bCs/>
        </w:rPr>
        <w:t>）提供二维码名片，甚至带有GPS功能的数据芯片，有预防走失需要的家属只需要打印一张二维码名片缝在老人或儿童衣服的醒目位置，一旦走失或遇到突发状况，爱心人士可通过扫描二维码，获取监护人的信息，帮助其平安回家；如果身上无任何信息的走失人员，爱心人士也可以登录数据库，通过照片进行匹配，帮助其平安回家。</w:t>
      </w:r>
    </w:p>
    <w:p>
      <w:pPr>
        <w:pStyle w:val="63"/>
        <w:numPr>
          <w:ilvl w:val="0"/>
          <w:numId w:val="50"/>
        </w:numPr>
        <w:spacing w:line="360" w:lineRule="auto"/>
        <w:ind w:firstLineChars="0"/>
        <w:rPr>
          <w:rFonts w:ascii="Arial" w:hAnsi="Arial" w:eastAsia="仿宋" w:cs="Arial"/>
          <w:b/>
          <w:sz w:val="24"/>
          <w:szCs w:val="24"/>
        </w:rPr>
      </w:pPr>
      <w:r>
        <w:rPr>
          <w:rFonts w:ascii="Arial" w:hAnsi="Arial" w:eastAsia="仿宋" w:cs="Arial"/>
          <w:b/>
          <w:sz w:val="24"/>
          <w:szCs w:val="24"/>
        </w:rPr>
        <w:t>数据分析平台</w:t>
      </w:r>
    </w:p>
    <w:p>
      <w:pPr>
        <w:spacing w:line="360" w:lineRule="auto"/>
        <w:ind w:firstLine="480" w:firstLineChars="200"/>
        <w:jc w:val="both"/>
        <w:rPr>
          <w:rFonts w:ascii="Arial" w:hAnsi="Arial" w:eastAsia="仿宋" w:cs="Arial"/>
          <w:bCs/>
        </w:rPr>
      </w:pPr>
      <w:r>
        <w:rPr>
          <w:rFonts w:ascii="Arial" w:hAnsi="Arial" w:eastAsia="仿宋" w:cs="Arial"/>
          <w:bCs/>
        </w:rPr>
        <w:t>基于老弱病贫残孤数据库，构建数据分析平台，主要包括精准识别、贫困户情况分析、行业部门数据、脱贫措施分析、</w:t>
      </w:r>
      <w:r>
        <w:rPr>
          <w:rFonts w:ascii="Arial" w:hAnsi="Arial" w:eastAsia="仿宋" w:cs="Arial"/>
        </w:rPr>
        <w:t>重点工作通报以及帮扶成效分析等数据分析业务功能</w:t>
      </w:r>
      <w:r>
        <w:rPr>
          <w:rFonts w:ascii="Arial" w:hAnsi="Arial" w:eastAsia="仿宋" w:cs="Arial"/>
          <w:bCs/>
        </w:rPr>
        <w:t>。</w:t>
      </w:r>
    </w:p>
    <w:p>
      <w:pPr>
        <w:pStyle w:val="63"/>
        <w:numPr>
          <w:ilvl w:val="0"/>
          <w:numId w:val="50"/>
        </w:numPr>
        <w:spacing w:line="360" w:lineRule="auto"/>
        <w:ind w:firstLineChars="0"/>
        <w:rPr>
          <w:rFonts w:ascii="Arial" w:hAnsi="Arial" w:eastAsia="仿宋" w:cs="Arial"/>
          <w:b/>
          <w:sz w:val="24"/>
          <w:szCs w:val="24"/>
        </w:rPr>
      </w:pPr>
      <w:r>
        <w:rPr>
          <w:rFonts w:ascii="Arial" w:hAnsi="Arial" w:eastAsia="仿宋" w:cs="Arial"/>
          <w:b/>
          <w:sz w:val="24"/>
          <w:szCs w:val="24"/>
        </w:rPr>
        <w:t>社会帮扶平台</w:t>
      </w:r>
    </w:p>
    <w:p>
      <w:pPr>
        <w:spacing w:line="360" w:lineRule="auto"/>
        <w:ind w:firstLine="480" w:firstLineChars="200"/>
        <w:jc w:val="both"/>
        <w:rPr>
          <w:rFonts w:ascii="Arial" w:hAnsi="Arial" w:eastAsia="仿宋" w:cs="Arial"/>
          <w:bCs/>
        </w:rPr>
      </w:pPr>
      <w:r>
        <w:rPr>
          <w:rFonts w:ascii="Arial" w:hAnsi="Arial" w:eastAsia="仿宋" w:cs="Arial"/>
          <w:bCs/>
        </w:rPr>
        <w:t>社会帮扶平台是移动端面向公众的帮扶平台，支持APP</w:t>
      </w:r>
      <w:r>
        <w:rPr>
          <w:rFonts w:ascii="Arial" w:hAnsi="Arial" w:eastAsia="仿宋" w:cs="Arial"/>
        </w:rPr>
        <w:t>和微信两个渠道</w:t>
      </w:r>
      <w:r>
        <w:rPr>
          <w:rFonts w:ascii="Arial" w:hAnsi="Arial" w:eastAsia="仿宋" w:cs="Arial"/>
          <w:bCs/>
        </w:rPr>
        <w:t>，利用互联网技术连接供需两端，充分调动社会组织、企业参与帮扶开发工作的积极性，利用社会力量的自身优势和资源，拓宽帮扶资金来源，推动帮扶事业的发展，打造帮扶工作的新模式。涵盖帮扶信息展示、发布帮扶需求、</w:t>
      </w:r>
      <w:r>
        <w:rPr>
          <w:rFonts w:ascii="Arial" w:hAnsi="Arial" w:eastAsia="仿宋" w:cs="Arial"/>
          <w:b/>
        </w:rPr>
        <w:t>社会救助、急难救助</w:t>
      </w:r>
      <w:r>
        <w:rPr>
          <w:rFonts w:ascii="Arial" w:hAnsi="Arial" w:eastAsia="仿宋" w:cs="Arial"/>
          <w:bCs/>
        </w:rPr>
        <w:t>等服务、个人中心及后台管理等。</w:t>
      </w:r>
    </w:p>
    <w:p>
      <w:pPr>
        <w:pStyle w:val="63"/>
        <w:numPr>
          <w:ilvl w:val="0"/>
          <w:numId w:val="50"/>
        </w:numPr>
        <w:spacing w:line="360" w:lineRule="auto"/>
        <w:ind w:firstLineChars="0"/>
        <w:rPr>
          <w:rFonts w:ascii="Arial" w:hAnsi="Arial" w:eastAsia="仿宋" w:cs="Arial"/>
          <w:b/>
          <w:sz w:val="24"/>
          <w:szCs w:val="24"/>
        </w:rPr>
      </w:pPr>
      <w:r>
        <w:rPr>
          <w:rFonts w:ascii="Arial" w:hAnsi="Arial" w:eastAsia="仿宋" w:cs="Arial"/>
          <w:b/>
          <w:sz w:val="24"/>
          <w:szCs w:val="24"/>
        </w:rPr>
        <w:t>乡村振兴</w:t>
      </w:r>
    </w:p>
    <w:p>
      <w:pPr>
        <w:spacing w:line="360" w:lineRule="auto"/>
        <w:ind w:firstLine="480" w:firstLineChars="200"/>
        <w:jc w:val="both"/>
        <w:rPr>
          <w:rFonts w:ascii="Arial" w:hAnsi="Arial" w:eastAsia="仿宋" w:cs="Arial"/>
          <w:bCs/>
        </w:rPr>
      </w:pPr>
      <w:r>
        <w:rPr>
          <w:rFonts w:ascii="Arial" w:hAnsi="Arial" w:eastAsia="仿宋" w:cs="Arial"/>
          <w:bCs/>
        </w:rPr>
        <w:t>以乡村农业生产、交通和居住三大传统空间为基础，在智慧乡村规划结构中纳入旅游休闲、创客物流和农田观光等新兴功能，打造产业复合，游居完备的乡村功能型融合模式，积极促进乡村振兴。构建乡村旅游大数据平台，提高旅游产业运行监测、市场动态分析、营销推广、应急管理等方面的能力。借助互联网传播的平台优势进行形象宣传，不仅可以提升自身的知名度和影响力，也能吸引更多人旅游观光，带动相关产业的发展。</w:t>
      </w:r>
    </w:p>
    <w:p>
      <w:pPr>
        <w:pStyle w:val="3"/>
        <w:ind w:left="482" w:hanging="482" w:hangingChars="200"/>
        <w:rPr>
          <w:rFonts w:ascii="Arial" w:hAnsi="Arial" w:eastAsia="仿宋" w:cs="Arial"/>
          <w:sz w:val="24"/>
          <w:szCs w:val="24"/>
        </w:rPr>
      </w:pPr>
      <w:bookmarkStart w:id="137" w:name="_Toc78041473"/>
      <w:bookmarkStart w:id="138" w:name="_Hlk66879059"/>
      <w:r>
        <w:rPr>
          <w:rFonts w:ascii="Arial" w:hAnsi="Arial" w:eastAsia="仿宋" w:cs="Arial"/>
          <w:sz w:val="24"/>
          <w:szCs w:val="24"/>
        </w:rPr>
        <w:t>安全可信体系工程</w:t>
      </w:r>
      <w:bookmarkEnd w:id="137"/>
    </w:p>
    <w:p>
      <w:pPr>
        <w:spacing w:line="360" w:lineRule="auto"/>
        <w:ind w:firstLine="480" w:firstLineChars="200"/>
        <w:jc w:val="both"/>
        <w:rPr>
          <w:rFonts w:ascii="Arial" w:hAnsi="Arial" w:eastAsia="仿宋" w:cs="Arial"/>
          <w:bCs/>
        </w:rPr>
      </w:pPr>
      <w:r>
        <w:rPr>
          <w:rFonts w:ascii="Arial" w:hAnsi="Arial" w:eastAsia="仿宋" w:cs="Arial"/>
          <w:bCs/>
        </w:rPr>
        <w:t>充分利用望城智慧城市鲲鹏云建设成果，以安全可信为核心，推进信息创新技术应用，构建安全可控的信息技术体系。落实国家信息安全等级保护制度与多维度测评制度，强化网络和信息安全管理，健全网络和信息安全标准体系，加大依法管理网络和保护个人信息的力度，加强信息基础设施和要害信息系统的安全保障，贯彻实施</w:t>
      </w:r>
      <w:r>
        <w:rPr>
          <w:rFonts w:hint="eastAsia" w:ascii="Arial" w:hAnsi="Arial" w:eastAsia="仿宋" w:cs="Arial"/>
          <w:bCs/>
        </w:rPr>
        <w:t>《数据安全法》、</w:t>
      </w:r>
      <w:r>
        <w:rPr>
          <w:rFonts w:ascii="Arial" w:hAnsi="Arial" w:eastAsia="仿宋" w:cs="Arial"/>
          <w:bCs/>
        </w:rPr>
        <w:t>《网络安全法》、《网络产品和服务安全审查办法》，实现以国产芯片带动国产操作系统、服务器、大数据平台等一系列平台和应用的跨越式发展。在准确验证安可改造国产化系统适配性的前提下，积极推进业务系统软硬件设备的国产化改造进程，</w:t>
      </w:r>
      <w:r>
        <w:rPr>
          <w:rFonts w:hint="eastAsia" w:ascii="Arial" w:hAnsi="Arial" w:eastAsia="仿宋" w:cs="Arial"/>
          <w:bCs/>
        </w:rPr>
        <w:t>重点推进新建政务信息化项目采用安全可靠的技术和产品，</w:t>
      </w:r>
      <w:r>
        <w:rPr>
          <w:rFonts w:ascii="Arial" w:hAnsi="Arial" w:eastAsia="仿宋" w:cs="Arial"/>
          <w:bCs/>
        </w:rPr>
        <w:t>形成安全可控、创新发展的信息技术体系，为我国从网络大国变成网络强国贡献望城力量。</w:t>
      </w:r>
    </w:p>
    <w:bookmarkEnd w:id="138"/>
    <w:p>
      <w:pPr>
        <w:pStyle w:val="3"/>
        <w:ind w:left="482" w:hanging="482" w:hangingChars="200"/>
        <w:rPr>
          <w:rFonts w:ascii="Arial" w:hAnsi="Arial" w:eastAsia="仿宋" w:cs="Arial"/>
          <w:sz w:val="24"/>
          <w:szCs w:val="24"/>
        </w:rPr>
      </w:pPr>
      <w:bookmarkStart w:id="139" w:name="_Toc16427387"/>
      <w:bookmarkStart w:id="140" w:name="_Toc78041474"/>
      <w:r>
        <w:rPr>
          <w:rFonts w:ascii="Arial" w:hAnsi="Arial" w:eastAsia="仿宋" w:cs="Arial"/>
          <w:sz w:val="24"/>
          <w:szCs w:val="24"/>
        </w:rPr>
        <w:t>保障体系工程</w:t>
      </w:r>
      <w:bookmarkEnd w:id="139"/>
      <w:bookmarkEnd w:id="140"/>
    </w:p>
    <w:p>
      <w:pPr>
        <w:pStyle w:val="4"/>
        <w:numPr>
          <w:ilvl w:val="0"/>
          <w:numId w:val="51"/>
        </w:numPr>
        <w:rPr>
          <w:rFonts w:ascii="Arial" w:hAnsi="Arial" w:eastAsia="仿宋" w:cs="Arial"/>
          <w:sz w:val="24"/>
          <w:szCs w:val="24"/>
        </w:rPr>
      </w:pPr>
      <w:bookmarkStart w:id="141" w:name="_Toc78041475"/>
      <w:r>
        <w:rPr>
          <w:rFonts w:ascii="Arial" w:hAnsi="Arial" w:eastAsia="仿宋" w:cs="Arial"/>
          <w:sz w:val="24"/>
          <w:szCs w:val="24"/>
        </w:rPr>
        <w:t>标准规范体系</w:t>
      </w:r>
      <w:bookmarkEnd w:id="141"/>
    </w:p>
    <w:p>
      <w:pPr>
        <w:spacing w:line="360" w:lineRule="auto"/>
        <w:ind w:firstLine="480" w:firstLineChars="200"/>
        <w:jc w:val="both"/>
        <w:rPr>
          <w:rFonts w:ascii="Arial" w:hAnsi="Arial" w:eastAsia="仿宋" w:cs="Arial"/>
          <w:bCs/>
        </w:rPr>
      </w:pPr>
      <w:r>
        <w:rPr>
          <w:rFonts w:ascii="Arial" w:hAnsi="Arial" w:eastAsia="仿宋" w:cs="Arial"/>
          <w:bCs/>
        </w:rPr>
        <w:t>望城区新型智慧城市标准规范体系建设以国家智慧城市标准体系框架为指导，以满足自身建设需求的业务、管理和技术标准以及规范性文件为补充，建成联系紧密、相互协调、层次分明、构成合理、相互支持、满足需求的标准体系。以标准先行促进技术融合、业务融合、数据融合，推动全市智慧城市建设集约高效、系统互联、数据共享、业务协同，保障望城区新型智慧城市建设可持续发展。</w:t>
      </w:r>
    </w:p>
    <w:p>
      <w:pPr>
        <w:spacing w:line="360" w:lineRule="auto"/>
        <w:ind w:firstLine="480" w:firstLineChars="200"/>
        <w:jc w:val="both"/>
        <w:rPr>
          <w:rFonts w:ascii="Arial" w:hAnsi="Arial" w:eastAsia="仿宋" w:cs="Arial"/>
          <w:bCs/>
        </w:rPr>
      </w:pPr>
      <w:r>
        <w:rPr>
          <w:rFonts w:ascii="Arial" w:hAnsi="Arial" w:eastAsia="仿宋" w:cs="Arial"/>
          <w:bCs/>
        </w:rPr>
        <w:t>制定完善望城区新型智慧城市总体标准规范，包括总体建设导则、数据中心建设标准、数据治理体系标准、智能中台建设导则、通用术语标准规范、总体框架标准规范等，为区智慧城市建设提供共性支持与服务。</w:t>
      </w:r>
    </w:p>
    <w:p>
      <w:pPr>
        <w:spacing w:line="360" w:lineRule="auto"/>
        <w:ind w:firstLine="480" w:firstLineChars="200"/>
        <w:jc w:val="both"/>
        <w:rPr>
          <w:rFonts w:ascii="Arial" w:hAnsi="Arial" w:eastAsia="仿宋" w:cs="Arial"/>
          <w:bCs/>
        </w:rPr>
      </w:pPr>
      <w:r>
        <w:rPr>
          <w:rFonts w:ascii="Arial" w:hAnsi="Arial" w:eastAsia="仿宋" w:cs="Arial"/>
          <w:bCs/>
        </w:rPr>
        <w:t>制定望城区新型智慧城市关键技术标准，包括信息技标准、物联网技术标准、地理信息技术标准、数据中台技术标准、应用中台技术标准等，为实现众多系统的互联互通、信息共享、业务协同、信息安全打好基础。</w:t>
      </w:r>
    </w:p>
    <w:p>
      <w:pPr>
        <w:spacing w:line="360" w:lineRule="auto"/>
        <w:ind w:firstLine="480" w:firstLineChars="200"/>
        <w:jc w:val="both"/>
        <w:rPr>
          <w:rFonts w:ascii="Arial" w:hAnsi="Arial" w:eastAsia="仿宋" w:cs="Arial"/>
          <w:bCs/>
        </w:rPr>
      </w:pPr>
      <w:r>
        <w:rPr>
          <w:rFonts w:ascii="Arial" w:hAnsi="Arial" w:eastAsia="仿宋" w:cs="Arial"/>
          <w:bCs/>
        </w:rPr>
        <w:t>制定望城区新型智慧城市数据管理标准规范，包括数据管理技术标准、数据资源目录管理规范、数据资源库建设规范、数据分析标准规范、数据开放管理规范等，明确新建项目产生数据资源应纳入数据资源目录，按照“无条件开放数据、有条件开放数据、不予开放数据”根据数据开放属性明确不同类型数据的获取流程与管理办法，以统一标准促进实现数据资源“聚、通、用”。</w:t>
      </w:r>
    </w:p>
    <w:p>
      <w:pPr>
        <w:spacing w:line="360" w:lineRule="auto"/>
        <w:ind w:firstLine="480" w:firstLineChars="200"/>
        <w:jc w:val="both"/>
        <w:rPr>
          <w:rFonts w:ascii="Arial" w:hAnsi="Arial" w:eastAsia="仿宋" w:cs="Arial"/>
          <w:bCs/>
        </w:rPr>
      </w:pPr>
      <w:r>
        <w:rPr>
          <w:rFonts w:ascii="Arial" w:hAnsi="Arial" w:eastAsia="仿宋" w:cs="Arial"/>
          <w:bCs/>
        </w:rPr>
        <w:t>制定望城区新型智慧城市关键安全标准规范，涵盖数据安全、系统安全等内容，为建立区智慧城市安全管理、安全技术、安全运营的全方位信息安全体系提供支撑。</w:t>
      </w:r>
    </w:p>
    <w:p>
      <w:pPr>
        <w:pStyle w:val="4"/>
        <w:numPr>
          <w:ilvl w:val="0"/>
          <w:numId w:val="13"/>
        </w:numPr>
        <w:ind w:left="420"/>
        <w:rPr>
          <w:rFonts w:ascii="Arial" w:hAnsi="Arial" w:eastAsia="仿宋" w:cs="Arial"/>
          <w:sz w:val="24"/>
          <w:szCs w:val="24"/>
        </w:rPr>
      </w:pPr>
      <w:bookmarkStart w:id="142" w:name="_Toc78041476"/>
      <w:r>
        <w:rPr>
          <w:rFonts w:ascii="Arial" w:hAnsi="Arial" w:eastAsia="仿宋" w:cs="Arial"/>
          <w:sz w:val="24"/>
          <w:szCs w:val="24"/>
        </w:rPr>
        <w:t>安全保障体系</w:t>
      </w:r>
      <w:bookmarkEnd w:id="142"/>
    </w:p>
    <w:p>
      <w:pPr>
        <w:spacing w:line="360" w:lineRule="auto"/>
        <w:ind w:firstLine="480" w:firstLineChars="200"/>
        <w:jc w:val="both"/>
        <w:rPr>
          <w:rFonts w:ascii="Arial" w:hAnsi="Arial" w:eastAsia="仿宋" w:cs="Arial"/>
          <w:bCs/>
        </w:rPr>
      </w:pPr>
      <w:r>
        <w:rPr>
          <w:rFonts w:ascii="Arial" w:hAnsi="Arial" w:eastAsia="仿宋" w:cs="Arial"/>
          <w:bCs/>
        </w:rPr>
        <w:t>城市网络空间安全体系建设的主要目标，是打造安全可控的空间环境、保护信息与信息交互安全、构建健康有序的运行秩序。</w:t>
      </w:r>
    </w:p>
    <w:p>
      <w:pPr>
        <w:spacing w:line="360" w:lineRule="auto"/>
        <w:ind w:firstLine="480" w:firstLineChars="200"/>
        <w:jc w:val="both"/>
        <w:rPr>
          <w:rFonts w:ascii="Arial" w:hAnsi="Arial" w:eastAsia="仿宋" w:cs="Arial"/>
          <w:bCs/>
        </w:rPr>
      </w:pPr>
      <w:r>
        <w:rPr>
          <w:rFonts w:ascii="Arial" w:hAnsi="Arial" w:eastAsia="仿宋" w:cs="Arial"/>
          <w:bCs/>
        </w:rPr>
        <w:t>依据《网络安全法》及等保2.0的安全要求，建设安全运营管理中心，识别和管理关键信息资产，对各类系统中各类设备和软件所产生的安全事件信息进行集中分析，制订统一的信息安全策略，在规范、统一的综合管理平台上有机整合系统内部各种安全技术和产品，从根本上改变不断增加的安全技术和安全产品所造成的信息孤立、管理困难的局面，实施集中的安全事件管理、安全风险管理、安全应急响应等一系列安全管理活动，同时，使技术因素、策略因素以及人员因素能够更加紧密地结合在一起，突出安全管理在安全保障中的重要地位，充分发挥信息系统中各种安全资源的作用，提升安全防护体系的综合效能。</w:t>
      </w:r>
    </w:p>
    <w:p>
      <w:pPr>
        <w:pStyle w:val="63"/>
        <w:numPr>
          <w:ilvl w:val="0"/>
          <w:numId w:val="52"/>
        </w:numPr>
        <w:spacing w:line="360" w:lineRule="auto"/>
        <w:ind w:firstLineChars="0"/>
        <w:rPr>
          <w:rFonts w:ascii="Arial" w:hAnsi="Arial" w:eastAsia="仿宋" w:cs="Arial"/>
          <w:b/>
          <w:bCs/>
          <w:sz w:val="24"/>
          <w:szCs w:val="24"/>
        </w:rPr>
      </w:pPr>
      <w:r>
        <w:rPr>
          <w:rFonts w:ascii="Arial" w:hAnsi="Arial" w:eastAsia="仿宋" w:cs="Arial"/>
          <w:b/>
          <w:bCs/>
          <w:sz w:val="24"/>
          <w:szCs w:val="24"/>
        </w:rPr>
        <w:t>基础设施安全态势感知平台</w:t>
      </w:r>
    </w:p>
    <w:p>
      <w:pPr>
        <w:spacing w:line="360" w:lineRule="auto"/>
        <w:ind w:firstLine="480" w:firstLineChars="200"/>
        <w:jc w:val="both"/>
        <w:rPr>
          <w:rFonts w:ascii="Arial" w:hAnsi="Arial" w:eastAsia="仿宋" w:cs="Arial"/>
          <w:bCs/>
        </w:rPr>
      </w:pPr>
      <w:r>
        <w:rPr>
          <w:rFonts w:ascii="Arial" w:hAnsi="Arial" w:eastAsia="仿宋" w:cs="Arial"/>
          <w:bCs/>
        </w:rPr>
        <w:t>建立基础设施态势感知平台，运用大数据技术对各类数据进行分类、归并，对各种网络行为、安全攻击事件、持续性攻击行为进行关联分析和深度挖掘，不断提升已知、未知网络安全威胁的研判和预警能力。在态势感知系统的基础上，加强通报预警能力的建设，根据监测预警、态势分析、威胁处置等结果，对所辖部门和组织通报网络安全重大事件、隐患、漏洞，提出应对策略，整改情况等，为决策层提供决策咨询。同时可以在区域内对外发布重大网络安全漏洞报告、病毒通报、相关网络安全事件、安全分析报告等资讯，提供处置措施与建议。</w:t>
      </w:r>
    </w:p>
    <w:p>
      <w:pPr>
        <w:pStyle w:val="63"/>
        <w:numPr>
          <w:ilvl w:val="0"/>
          <w:numId w:val="52"/>
        </w:numPr>
        <w:spacing w:line="360" w:lineRule="auto"/>
        <w:ind w:firstLineChars="0"/>
        <w:rPr>
          <w:rFonts w:ascii="Arial" w:hAnsi="Arial" w:eastAsia="仿宋" w:cs="Arial"/>
          <w:b/>
          <w:bCs/>
          <w:sz w:val="24"/>
          <w:szCs w:val="24"/>
        </w:rPr>
      </w:pPr>
      <w:r>
        <w:rPr>
          <w:rFonts w:ascii="Arial" w:hAnsi="Arial" w:eastAsia="仿宋" w:cs="Arial"/>
          <w:b/>
          <w:bCs/>
          <w:sz w:val="24"/>
          <w:szCs w:val="24"/>
        </w:rPr>
        <w:t>城市安全数据平台</w:t>
      </w:r>
    </w:p>
    <w:p>
      <w:pPr>
        <w:spacing w:line="360" w:lineRule="auto"/>
        <w:ind w:firstLine="480" w:firstLineChars="200"/>
        <w:jc w:val="both"/>
        <w:rPr>
          <w:rFonts w:ascii="Arial" w:hAnsi="Arial" w:eastAsia="仿宋" w:cs="Arial"/>
          <w:bCs/>
        </w:rPr>
      </w:pPr>
      <w:r>
        <w:rPr>
          <w:rFonts w:hint="eastAsia" w:ascii="Arial" w:hAnsi="Arial" w:eastAsia="仿宋" w:cs="Arial"/>
          <w:bCs/>
        </w:rPr>
        <w:t>贯彻《数据安全法》要求，</w:t>
      </w:r>
      <w:r>
        <w:rPr>
          <w:rFonts w:ascii="Arial" w:hAnsi="Arial" w:eastAsia="仿宋" w:cs="Arial"/>
          <w:bCs/>
        </w:rPr>
        <w:t>通过归集互联网、监管单位、安全服务企业等各个部门及单位的安全数据，建立区域内统一的安全大数据共享平台，由区域内数据安全管理主要部门或机构进行统筹，各监管单位及安全服务商和部分业务单位将安全数据统一推送到安全数据大脑，并归类形成安全数据的主题库和共享库，对各个部门单位给予不同的安全数据支撑，从而将全区域的安全监管及各个单位组织联动起来，为城市级的政务数据安全决策提供支撑。</w:t>
      </w:r>
    </w:p>
    <w:p>
      <w:pPr>
        <w:pStyle w:val="63"/>
        <w:numPr>
          <w:ilvl w:val="0"/>
          <w:numId w:val="52"/>
        </w:numPr>
        <w:spacing w:line="360" w:lineRule="auto"/>
        <w:ind w:firstLineChars="0"/>
        <w:rPr>
          <w:rFonts w:ascii="Arial" w:hAnsi="Arial" w:eastAsia="仿宋" w:cs="Arial"/>
          <w:b/>
          <w:bCs/>
          <w:sz w:val="24"/>
          <w:szCs w:val="24"/>
        </w:rPr>
      </w:pPr>
      <w:r>
        <w:rPr>
          <w:rFonts w:ascii="Arial" w:hAnsi="Arial" w:eastAsia="仿宋" w:cs="Arial"/>
          <w:b/>
          <w:bCs/>
          <w:sz w:val="24"/>
          <w:szCs w:val="24"/>
        </w:rPr>
        <w:t>物联网安全态势感知平台</w:t>
      </w:r>
    </w:p>
    <w:p>
      <w:pPr>
        <w:spacing w:line="360" w:lineRule="auto"/>
        <w:ind w:firstLine="480" w:firstLineChars="200"/>
        <w:jc w:val="both"/>
        <w:rPr>
          <w:rFonts w:ascii="Arial" w:hAnsi="Arial" w:eastAsia="仿宋" w:cs="Arial"/>
          <w:bCs/>
        </w:rPr>
      </w:pPr>
      <w:r>
        <w:rPr>
          <w:rFonts w:ascii="Arial" w:hAnsi="Arial" w:eastAsia="仿宋" w:cs="Arial"/>
          <w:bCs/>
        </w:rPr>
        <w:t>通过建设物联网安全态势感知平台，并在已形成的交通、城管等物联网设施基础上，通过物联网安全态势感知系统的在线监测预警能力，建设面向公共互联网、企业内网/专网和工业控制网络的城市级的物联网监测预警与态势感知平台，结合在线监测、诱捕探测、结构化/非结构化威胁数据感知等手段，通过大数据分析技术，形成全天候、全方位感知物联网安全态势的能力。</w:t>
      </w:r>
    </w:p>
    <w:p>
      <w:pPr>
        <w:pStyle w:val="63"/>
        <w:numPr>
          <w:ilvl w:val="0"/>
          <w:numId w:val="52"/>
        </w:numPr>
        <w:spacing w:line="360" w:lineRule="auto"/>
        <w:ind w:firstLineChars="0"/>
        <w:rPr>
          <w:rFonts w:ascii="Arial" w:hAnsi="Arial" w:eastAsia="仿宋" w:cs="Arial"/>
          <w:b/>
          <w:bCs/>
          <w:sz w:val="24"/>
          <w:szCs w:val="24"/>
        </w:rPr>
      </w:pPr>
      <w:r>
        <w:rPr>
          <w:rFonts w:ascii="Arial" w:hAnsi="Arial" w:eastAsia="仿宋" w:cs="Arial"/>
          <w:b/>
          <w:bCs/>
          <w:sz w:val="24"/>
          <w:szCs w:val="24"/>
        </w:rPr>
        <w:t>互联网金融风险监测预警平台</w:t>
      </w:r>
    </w:p>
    <w:p>
      <w:pPr>
        <w:spacing w:line="360" w:lineRule="auto"/>
        <w:ind w:firstLine="480" w:firstLineChars="200"/>
        <w:jc w:val="both"/>
        <w:rPr>
          <w:rFonts w:ascii="Arial" w:hAnsi="Arial" w:eastAsia="仿宋" w:cs="Arial"/>
          <w:bCs/>
        </w:rPr>
      </w:pPr>
      <w:r>
        <w:rPr>
          <w:rFonts w:ascii="Arial" w:hAnsi="Arial" w:eastAsia="仿宋" w:cs="Arial"/>
          <w:bCs/>
        </w:rPr>
        <w:t>建设互联网金融风险预警平台，对涉众型经济犯罪互联网发展趋势，实现以网制网，破解涉众经济犯罪处置等案爆发、被动接案、疲于应付的现状，实现主动预警、精准打击。遏制涉众经济犯罪高发态势及践行“防为上、防为主”理念，实现打防管控一体化治理水平的提升。</w:t>
      </w:r>
    </w:p>
    <w:p>
      <w:pPr>
        <w:pStyle w:val="63"/>
        <w:numPr>
          <w:ilvl w:val="0"/>
          <w:numId w:val="52"/>
        </w:numPr>
        <w:spacing w:line="360" w:lineRule="auto"/>
        <w:ind w:firstLineChars="0"/>
        <w:rPr>
          <w:rFonts w:ascii="Arial" w:hAnsi="Arial" w:eastAsia="仿宋" w:cs="Arial"/>
          <w:b/>
          <w:bCs/>
          <w:sz w:val="24"/>
          <w:szCs w:val="24"/>
        </w:rPr>
      </w:pPr>
      <w:r>
        <w:rPr>
          <w:rFonts w:ascii="Arial" w:hAnsi="Arial" w:eastAsia="仿宋" w:cs="Arial"/>
          <w:b/>
          <w:bCs/>
          <w:sz w:val="24"/>
          <w:szCs w:val="24"/>
        </w:rPr>
        <w:t>城市安全保障平台</w:t>
      </w:r>
    </w:p>
    <w:p>
      <w:pPr>
        <w:spacing w:line="360" w:lineRule="auto"/>
        <w:ind w:firstLine="480" w:firstLineChars="200"/>
        <w:jc w:val="both"/>
        <w:rPr>
          <w:rFonts w:ascii="Arial" w:hAnsi="Arial" w:cs="Arial"/>
          <w:lang w:val="zh-CN"/>
        </w:rPr>
      </w:pPr>
      <w:r>
        <w:rPr>
          <w:rFonts w:ascii="Arial" w:hAnsi="Arial" w:eastAsia="仿宋" w:cs="Arial"/>
          <w:bCs/>
        </w:rPr>
        <w:t>建设望城区安全保障平台，解决重点单位及业务系统的集中防护，促进企业的数字化转型，提升城市信息安全保障基线。防护设计通过引流方式实现，云防护节点对流量过滤后再回源到真实服务器。同时，也可以利用城市安全保障平台为全区域各个企事业单位提供安全能力的输出，包括安全监测以及安全防护的能力。</w:t>
      </w:r>
    </w:p>
    <w:p>
      <w:pPr>
        <w:pStyle w:val="4"/>
        <w:numPr>
          <w:ilvl w:val="0"/>
          <w:numId w:val="13"/>
        </w:numPr>
        <w:ind w:left="420"/>
        <w:rPr>
          <w:rFonts w:ascii="Arial" w:hAnsi="Arial" w:eastAsia="仿宋" w:cs="Arial"/>
          <w:sz w:val="24"/>
          <w:szCs w:val="24"/>
        </w:rPr>
      </w:pPr>
      <w:bookmarkStart w:id="143" w:name="_Toc78041477"/>
      <w:r>
        <w:rPr>
          <w:rFonts w:ascii="Arial" w:hAnsi="Arial" w:eastAsia="仿宋" w:cs="Arial"/>
          <w:sz w:val="24"/>
          <w:szCs w:val="24"/>
        </w:rPr>
        <w:t>运维管理体系</w:t>
      </w:r>
      <w:bookmarkEnd w:id="143"/>
    </w:p>
    <w:p>
      <w:pPr>
        <w:spacing w:line="360" w:lineRule="auto"/>
        <w:ind w:firstLine="480" w:firstLineChars="200"/>
        <w:jc w:val="both"/>
        <w:rPr>
          <w:rFonts w:ascii="Arial" w:hAnsi="Arial" w:eastAsia="仿宋" w:cs="Arial"/>
          <w:bCs/>
        </w:rPr>
      </w:pPr>
      <w:r>
        <w:rPr>
          <w:rFonts w:ascii="Arial" w:hAnsi="Arial" w:eastAsia="仿宋" w:cs="Arial"/>
          <w:bCs/>
        </w:rPr>
        <w:t>建立运维机制，由区数据资源中心统筹运维，整合运维资源、制定运维标准、定义运维模式、打造综合化运维管理体系。</w:t>
      </w:r>
    </w:p>
    <w:p>
      <w:pPr>
        <w:spacing w:line="360" w:lineRule="auto"/>
        <w:ind w:firstLine="480" w:firstLineChars="200"/>
        <w:jc w:val="both"/>
        <w:rPr>
          <w:rFonts w:ascii="Arial" w:hAnsi="Arial" w:eastAsia="仿宋" w:cs="Arial"/>
          <w:bCs/>
        </w:rPr>
      </w:pPr>
      <w:r>
        <w:rPr>
          <w:rFonts w:ascii="Arial" w:hAnsi="Arial" w:eastAsia="仿宋" w:cs="Arial"/>
          <w:bCs/>
        </w:rPr>
        <w:t>建立望城区新型智慧城市运维管理体系，并以此为指引做好智慧城市各领域信息基础资源的运维管理建设。整合机房基础设施、网络、系统、安全、应用以及虚拟化资源等各类运维监测内容，综合监控、统一运维和对外服务，实现统一展现、统一告警、统一流程处理和自动化运维管理。实现对电子政务外网、党政内部工作专网和云计算中心的资源统一运维、自动监控、故障预警处置等信息化管理。运维监控系统需与云计算中心机房动环监控系统、云管理平台实现高度集成，提供集中展现功能。积极引入社会资源参与运维服务，形成以专业运维团队为支撑、运维管理平台为手段的新型智慧城市运维管理体系。收集智慧城市应用中各类软硬件运行状态信息，进行全面监测和预防控制，保障望城区新型智慧城市整体应用正常稳定运行。</w:t>
      </w:r>
    </w:p>
    <w:p>
      <w:pPr>
        <w:pStyle w:val="2"/>
        <w:ind w:left="0" w:firstLine="0"/>
        <w:rPr>
          <w:rFonts w:ascii="Arial" w:hAnsi="Arial" w:eastAsia="仿宋" w:cs="Arial"/>
          <w:sz w:val="24"/>
          <w:szCs w:val="24"/>
        </w:rPr>
      </w:pPr>
      <w:bookmarkStart w:id="144" w:name="_Toc78041478"/>
      <w:r>
        <w:rPr>
          <w:rFonts w:ascii="Arial" w:hAnsi="Arial" w:eastAsia="仿宋" w:cs="Arial"/>
          <w:sz w:val="24"/>
          <w:szCs w:val="24"/>
        </w:rPr>
        <w:t>保障措施</w:t>
      </w:r>
      <w:bookmarkEnd w:id="144"/>
    </w:p>
    <w:p>
      <w:pPr>
        <w:spacing w:line="360" w:lineRule="auto"/>
        <w:ind w:firstLine="480" w:firstLineChars="200"/>
        <w:jc w:val="both"/>
        <w:rPr>
          <w:rFonts w:ascii="Arial" w:hAnsi="Arial" w:eastAsia="仿宋" w:cs="Arial"/>
          <w:color w:val="000000"/>
        </w:rPr>
      </w:pPr>
      <w:r>
        <w:rPr>
          <w:rFonts w:ascii="Arial" w:hAnsi="Arial" w:eastAsia="仿宋" w:cs="Arial"/>
          <w:color w:val="000000"/>
        </w:rPr>
        <w:t>为切实保障“十四五”期间智慧望城顺利推进，</w:t>
      </w:r>
      <w:r>
        <w:rPr>
          <w:rFonts w:ascii="Arial" w:hAnsi="Arial" w:eastAsia="仿宋" w:cs="Arial"/>
          <w:bCs/>
        </w:rPr>
        <w:t>确保工作成效</w:t>
      </w:r>
      <w:r>
        <w:rPr>
          <w:rFonts w:ascii="Arial" w:hAnsi="Arial" w:eastAsia="仿宋" w:cs="Arial"/>
          <w:color w:val="000000"/>
        </w:rPr>
        <w:t>，需从组织、制度、人才、资金、宣传等方面着手建立完善的保障机制，构建“机构+专家+企业+联盟+资金”的统筹运作模式。</w:t>
      </w:r>
    </w:p>
    <w:p>
      <w:pPr>
        <w:pStyle w:val="3"/>
        <w:numPr>
          <w:ilvl w:val="0"/>
          <w:numId w:val="53"/>
        </w:numPr>
        <w:rPr>
          <w:rFonts w:ascii="Arial" w:hAnsi="Arial" w:eastAsia="仿宋" w:cs="Arial"/>
          <w:sz w:val="24"/>
          <w:szCs w:val="24"/>
        </w:rPr>
      </w:pPr>
      <w:bookmarkStart w:id="145" w:name="_Toc78041479"/>
      <w:bookmarkStart w:id="146" w:name="_Toc16427393"/>
      <w:bookmarkStart w:id="147" w:name="_Toc11770733"/>
      <w:r>
        <w:rPr>
          <w:rFonts w:ascii="Arial" w:hAnsi="Arial" w:eastAsia="仿宋" w:cs="Arial"/>
          <w:sz w:val="24"/>
          <w:szCs w:val="24"/>
        </w:rPr>
        <w:t>组织保障</w:t>
      </w:r>
      <w:bookmarkEnd w:id="145"/>
      <w:bookmarkEnd w:id="146"/>
      <w:bookmarkEnd w:id="147"/>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1.明确统筹机构</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在区智慧城市建设领导小组领导下，</w:t>
      </w:r>
      <w:r>
        <w:rPr>
          <w:rFonts w:ascii="Arial" w:hAnsi="Arial" w:eastAsia="仿宋" w:cs="Arial"/>
          <w:bCs/>
        </w:rPr>
        <w:t>区数据资源中心负责领导小组日常工作</w:t>
      </w:r>
      <w:r>
        <w:rPr>
          <w:rFonts w:ascii="Arial" w:hAnsi="Arial" w:eastAsia="仿宋" w:cs="Arial"/>
          <w:color w:val="000000"/>
        </w:rPr>
        <w:t>，作为智慧城市统筹建设管理单位和全区大数据资产管理机构，具体负责全区</w:t>
      </w:r>
      <w:r>
        <w:rPr>
          <w:rFonts w:hint="eastAsia" w:ascii="Arial" w:hAnsi="Arial" w:eastAsia="仿宋" w:cs="Arial"/>
          <w:color w:val="000000"/>
        </w:rPr>
        <w:t>智慧城市</w:t>
      </w:r>
      <w:r>
        <w:rPr>
          <w:rFonts w:ascii="Arial" w:hAnsi="Arial" w:eastAsia="仿宋" w:cs="Arial"/>
          <w:color w:val="000000"/>
        </w:rPr>
        <w:t>建设的统筹协调、实施推进、技术指导、督促考核、标准制定及政府数据汇聚、整合、利用、管理等。一要强化统筹协调力度，扎实推进</w:t>
      </w:r>
      <w:r>
        <w:rPr>
          <w:rFonts w:hint="eastAsia" w:ascii="Arial" w:hAnsi="Arial" w:eastAsia="仿宋" w:cs="Arial"/>
          <w:color w:val="000000"/>
        </w:rPr>
        <w:t>大数据发展和应用</w:t>
      </w:r>
      <w:r>
        <w:rPr>
          <w:rFonts w:ascii="Arial" w:hAnsi="Arial" w:eastAsia="仿宋" w:cs="Arial"/>
          <w:color w:val="000000"/>
        </w:rPr>
        <w:t>建设，确保严格遵守“十四五”规划框架；全面采集、充分挖掘政府、企业、社会数据，确保全区数</w:t>
      </w:r>
      <w:r>
        <w:rPr>
          <w:rFonts w:ascii="Arial" w:hAnsi="Arial" w:eastAsia="仿宋" w:cs="Arial"/>
        </w:rPr>
        <w:t>据“进得来、汇得起、用得上”。二</w:t>
      </w:r>
      <w:r>
        <w:rPr>
          <w:rFonts w:ascii="Arial" w:hAnsi="Arial" w:eastAsia="仿宋" w:cs="Arial"/>
          <w:color w:val="000000"/>
        </w:rPr>
        <w:t>要高效推进项目建设，负责梳理全区基础性、共享性、跨部门、跨领域的平台建设需求，并根据各部门业务需求，统筹推进项目建设；对全区</w:t>
      </w:r>
      <w:r>
        <w:rPr>
          <w:rFonts w:hint="eastAsia" w:ascii="Arial" w:hAnsi="Arial" w:eastAsia="仿宋" w:cs="Arial"/>
          <w:color w:val="000000"/>
        </w:rPr>
        <w:t>大数据发展和应用</w:t>
      </w:r>
      <w:r>
        <w:rPr>
          <w:rFonts w:ascii="Arial" w:hAnsi="Arial" w:eastAsia="仿宋" w:cs="Arial"/>
          <w:color w:val="000000"/>
        </w:rPr>
        <w:t>建设工作推进情况进行督促考核，确保时效和实效。三要切实增强技术支撑，负责制定全区通用技术标准，以此规范各类项目建设；充分发挥区级专家咨询委员会等智囊机构，论证相关项目的规划研讨、方案论证、立项评审、技术验收、成果鉴定等工作。四是负责领导数据资产管理工作，决策数据资产管理重大工作内容和方向。</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2.组建技术总体</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与湖南大学、</w:t>
      </w:r>
      <w:r>
        <w:rPr>
          <w:rFonts w:ascii="Arial" w:hAnsi="Arial" w:eastAsia="仿宋" w:cs="Arial"/>
          <w:bCs/>
        </w:rPr>
        <w:t>中南大学等高校以及知名企业建立长期技术合作关系</w:t>
      </w:r>
      <w:r>
        <w:rPr>
          <w:rFonts w:ascii="Arial" w:hAnsi="Arial" w:eastAsia="仿宋" w:cs="Arial"/>
          <w:color w:val="000000"/>
        </w:rPr>
        <w:t>，实现对</w:t>
      </w:r>
      <w:r>
        <w:rPr>
          <w:rFonts w:hint="eastAsia" w:ascii="Arial" w:hAnsi="Arial" w:eastAsia="仿宋" w:cs="Arial"/>
          <w:color w:val="000000"/>
        </w:rPr>
        <w:t>望城大数据发展和应用</w:t>
      </w:r>
      <w:r>
        <w:rPr>
          <w:rFonts w:ascii="Arial" w:hAnsi="Arial" w:eastAsia="仿宋" w:cs="Arial"/>
          <w:color w:val="000000"/>
        </w:rPr>
        <w:t>建设的核心支撑。在区数据资源中心统筹下，积极探索和创新</w:t>
      </w:r>
      <w:r>
        <w:rPr>
          <w:rFonts w:hint="eastAsia" w:ascii="Arial" w:hAnsi="Arial" w:eastAsia="仿宋" w:cs="Arial"/>
          <w:color w:val="000000"/>
        </w:rPr>
        <w:t>大数据发展和应用</w:t>
      </w:r>
      <w:r>
        <w:rPr>
          <w:rFonts w:ascii="Arial" w:hAnsi="Arial" w:eastAsia="仿宋" w:cs="Arial"/>
          <w:color w:val="000000"/>
        </w:rPr>
        <w:t>建设</w:t>
      </w:r>
      <w:r>
        <w:rPr>
          <w:rFonts w:hint="eastAsia" w:ascii="Arial" w:hAnsi="Arial" w:eastAsia="仿宋" w:cs="Arial"/>
          <w:color w:val="000000"/>
        </w:rPr>
        <w:t>、运营</w:t>
      </w:r>
      <w:r>
        <w:rPr>
          <w:rFonts w:ascii="Arial" w:hAnsi="Arial" w:eastAsia="仿宋" w:cs="Arial"/>
          <w:color w:val="000000"/>
        </w:rPr>
        <w:t>新模式，主导并负责望城重大项目的建设和运营工作，助力望城成为湖南省</w:t>
      </w:r>
      <w:r>
        <w:rPr>
          <w:rFonts w:hint="eastAsia" w:ascii="Arial" w:hAnsi="Arial" w:eastAsia="仿宋" w:cs="Arial"/>
          <w:color w:val="000000"/>
        </w:rPr>
        <w:t>大数据发展和应用</w:t>
      </w:r>
      <w:r>
        <w:rPr>
          <w:rFonts w:ascii="Arial" w:hAnsi="Arial" w:eastAsia="仿宋" w:cs="Arial"/>
          <w:color w:val="000000"/>
        </w:rPr>
        <w:t>建设“标杆”，“立足长沙、辐射全省”，并逐步推动望城区</w:t>
      </w:r>
      <w:r>
        <w:rPr>
          <w:rFonts w:hint="eastAsia" w:ascii="Arial" w:hAnsi="Arial" w:eastAsia="仿宋" w:cs="Arial"/>
          <w:color w:val="000000"/>
        </w:rPr>
        <w:t>大数据</w:t>
      </w:r>
      <w:r>
        <w:rPr>
          <w:rFonts w:ascii="Arial" w:hAnsi="Arial" w:eastAsia="仿宋" w:cs="Arial"/>
          <w:color w:val="000000"/>
        </w:rPr>
        <w:t>产业生态的形成。</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3.组织专家团队</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采取“1+N”模式组建专家团队，与省内优秀咨询机构达成战略合作，通过咨询机构组建望城区专家团队，</w:t>
      </w:r>
      <w:r>
        <w:rPr>
          <w:rFonts w:ascii="Arial" w:hAnsi="Arial" w:eastAsia="仿宋" w:cs="Arial"/>
          <w:bCs/>
        </w:rPr>
        <w:t>专家团队设立一名区政府</w:t>
      </w:r>
      <w:r>
        <w:rPr>
          <w:rFonts w:hint="eastAsia" w:ascii="Arial" w:hAnsi="Arial" w:eastAsia="仿宋" w:cs="Arial"/>
          <w:bCs/>
        </w:rPr>
        <w:t>大数据</w:t>
      </w:r>
      <w:r>
        <w:rPr>
          <w:rFonts w:ascii="Arial" w:hAnsi="Arial" w:eastAsia="仿宋" w:cs="Arial"/>
          <w:bCs/>
        </w:rPr>
        <w:t>建设首席专家</w:t>
      </w:r>
      <w:r>
        <w:rPr>
          <w:rFonts w:ascii="Arial" w:hAnsi="Arial" w:eastAsia="仿宋" w:cs="Arial"/>
          <w:color w:val="000000"/>
        </w:rPr>
        <w:t>，对全区</w:t>
      </w:r>
      <w:r>
        <w:rPr>
          <w:rFonts w:hint="eastAsia" w:ascii="Arial" w:hAnsi="Arial" w:eastAsia="仿宋" w:cs="Arial"/>
          <w:color w:val="000000"/>
        </w:rPr>
        <w:t>大数据发展和应用</w:t>
      </w:r>
      <w:r>
        <w:rPr>
          <w:rFonts w:ascii="Arial" w:hAnsi="Arial" w:eastAsia="仿宋" w:cs="Arial"/>
          <w:color w:val="000000"/>
        </w:rPr>
        <w:t>建设的规划、统筹、推进提供高端咨询服务，为区政府提供前瞻性、针对性和创新性的意见建议。建立N个领域专家库，为重大课题、重要决策、重点项目提供建议、咨询、评审服务，充分发挥专家组在</w:t>
      </w:r>
      <w:r>
        <w:rPr>
          <w:rFonts w:hint="eastAsia" w:ascii="Arial" w:hAnsi="Arial" w:eastAsia="仿宋" w:cs="Arial"/>
          <w:color w:val="000000"/>
        </w:rPr>
        <w:t>大数据发展和应用</w:t>
      </w:r>
      <w:r>
        <w:rPr>
          <w:rFonts w:ascii="Arial" w:hAnsi="Arial" w:eastAsia="仿宋" w:cs="Arial"/>
          <w:color w:val="000000"/>
        </w:rPr>
        <w:t>建设中的智囊参谋、技术决策、居中监督作用，进一步规范和推动我区</w:t>
      </w:r>
      <w:r>
        <w:rPr>
          <w:rFonts w:hint="eastAsia" w:ascii="Arial" w:hAnsi="Arial" w:eastAsia="仿宋" w:cs="Arial"/>
          <w:color w:val="000000"/>
        </w:rPr>
        <w:t>大数据</w:t>
      </w:r>
      <w:r>
        <w:rPr>
          <w:rFonts w:ascii="Arial" w:hAnsi="Arial" w:eastAsia="仿宋" w:cs="Arial"/>
          <w:color w:val="000000"/>
        </w:rPr>
        <w:t>建设。</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4.成立产业生态联盟</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以华为、证通电子等战略合作和落地企业为基础，联合中南大学、湖南大学、国防科大、湖南商学院等省内重点大学，聚合三大运营商、湖南通服、拓维信息等本地高新技术企业，成立</w:t>
      </w:r>
      <w:r>
        <w:rPr>
          <w:rFonts w:hint="eastAsia" w:ascii="Arial" w:hAnsi="Arial" w:eastAsia="仿宋" w:cs="Arial"/>
          <w:color w:val="000000"/>
        </w:rPr>
        <w:t>大数据</w:t>
      </w:r>
      <w:r>
        <w:rPr>
          <w:rFonts w:ascii="Arial" w:hAnsi="Arial" w:eastAsia="仿宋" w:cs="Arial"/>
          <w:color w:val="000000"/>
        </w:rPr>
        <w:t>建设产业生态联盟，</w:t>
      </w:r>
      <w:r>
        <w:rPr>
          <w:rFonts w:ascii="Arial" w:hAnsi="Arial" w:eastAsia="仿宋" w:cs="Arial"/>
          <w:bCs/>
        </w:rPr>
        <w:t>充分发挥平台作用</w:t>
      </w:r>
      <w:r>
        <w:rPr>
          <w:rFonts w:ascii="Arial" w:hAnsi="Arial" w:eastAsia="仿宋" w:cs="Arial"/>
          <w:color w:val="000000"/>
        </w:rPr>
        <w:t>，整合优势资源，形成产业合力，打造示范效应，助力市场拓展，实现协同创新、抱团发展。</w:t>
      </w:r>
    </w:p>
    <w:p>
      <w:pPr>
        <w:pStyle w:val="3"/>
        <w:ind w:left="602" w:hanging="602"/>
        <w:rPr>
          <w:rFonts w:ascii="Arial" w:hAnsi="Arial" w:eastAsia="仿宋" w:cs="Arial"/>
          <w:sz w:val="24"/>
          <w:szCs w:val="24"/>
        </w:rPr>
      </w:pPr>
      <w:bookmarkStart w:id="148" w:name="_Toc78041480"/>
      <w:bookmarkStart w:id="149" w:name="_Toc16427394"/>
      <w:bookmarkStart w:id="150" w:name="_Toc11770734"/>
      <w:r>
        <w:rPr>
          <w:rFonts w:ascii="Arial" w:hAnsi="Arial" w:eastAsia="仿宋" w:cs="Arial"/>
          <w:sz w:val="24"/>
          <w:szCs w:val="24"/>
        </w:rPr>
        <w:t>制度保障</w:t>
      </w:r>
      <w:bookmarkEnd w:id="148"/>
      <w:bookmarkEnd w:id="149"/>
      <w:bookmarkEnd w:id="150"/>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1.健全项目管理机制</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建立项目联审机制。由区发展和改革局、</w:t>
      </w:r>
      <w:r>
        <w:rPr>
          <w:rFonts w:ascii="Arial" w:hAnsi="Arial" w:eastAsia="仿宋" w:cs="Arial"/>
          <w:bCs/>
        </w:rPr>
        <w:t>区行政审批服务局</w:t>
      </w:r>
      <w:r>
        <w:rPr>
          <w:rFonts w:ascii="Arial" w:hAnsi="Arial" w:eastAsia="仿宋" w:cs="Arial"/>
          <w:color w:val="000000"/>
        </w:rPr>
        <w:t>、区财政局、区数据资源中心等相关单位，严格按照“十四五”大数据发展规划要求，负责全区</w:t>
      </w:r>
      <w:r>
        <w:rPr>
          <w:rFonts w:hint="eastAsia" w:ascii="Arial" w:hAnsi="Arial" w:eastAsia="仿宋" w:cs="Arial"/>
          <w:color w:val="000000"/>
        </w:rPr>
        <w:t>大数据</w:t>
      </w:r>
      <w:r>
        <w:rPr>
          <w:rFonts w:ascii="Arial" w:hAnsi="Arial" w:eastAsia="仿宋" w:cs="Arial"/>
          <w:color w:val="000000"/>
        </w:rPr>
        <w:t>建设项目的统筹规划、方案审查、建设过程监督、组织验收和应用绩效评估工作。</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区数据资源中心按照全区“十四五”大数据发展规划制定</w:t>
      </w:r>
      <w:r>
        <w:rPr>
          <w:rFonts w:hint="eastAsia" w:ascii="Arial" w:hAnsi="Arial" w:eastAsia="仿宋" w:cs="Arial"/>
          <w:color w:val="000000"/>
        </w:rPr>
        <w:t>重点</w:t>
      </w:r>
      <w:r>
        <w:rPr>
          <w:rFonts w:ascii="Arial" w:hAnsi="Arial" w:eastAsia="仿宋" w:cs="Arial"/>
          <w:color w:val="000000"/>
        </w:rPr>
        <w:t>项目建设实施方案，</w:t>
      </w:r>
      <w:r>
        <w:rPr>
          <w:rFonts w:ascii="Arial" w:hAnsi="Arial" w:eastAsia="仿宋" w:cs="Arial"/>
          <w:bCs/>
        </w:rPr>
        <w:t>拟定年度区政府投资信息化项目建设计划</w:t>
      </w:r>
      <w:r>
        <w:rPr>
          <w:rFonts w:ascii="Arial" w:hAnsi="Arial" w:eastAsia="仿宋" w:cs="Arial"/>
          <w:color w:val="000000"/>
        </w:rPr>
        <w:t>，负责统一规划和建设跨部门、跨页布得基础性、支撑性、综合性政府投资信息化项目。负责全区政府投资信息化建设项目的统筹协调、业务指导、标准规范制定、技术审查、组织项目竣工验收、积极向上争取项目建设补助资金等相关工作。</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区发展和改革局、行政审批服务局负责全区政府投资信息化和下达政府投资项目年度计划，</w:t>
      </w:r>
      <w:r>
        <w:rPr>
          <w:rFonts w:ascii="Arial" w:hAnsi="Arial" w:eastAsia="仿宋" w:cs="Arial"/>
          <w:bCs/>
        </w:rPr>
        <w:t>负责项目建设前期工作和项目建设进度的协调</w:t>
      </w:r>
      <w:r>
        <w:rPr>
          <w:rFonts w:ascii="Arial" w:hAnsi="Arial" w:eastAsia="仿宋" w:cs="Arial"/>
          <w:color w:val="000000"/>
        </w:rPr>
        <w:t>、统筹。</w:t>
      </w:r>
    </w:p>
    <w:p>
      <w:pPr>
        <w:spacing w:line="360" w:lineRule="auto"/>
        <w:ind w:firstLine="480" w:firstLineChars="200"/>
        <w:jc w:val="both"/>
        <w:rPr>
          <w:rFonts w:ascii="Arial" w:hAnsi="Arial" w:eastAsia="仿宋" w:cs="Arial"/>
          <w:color w:val="000000"/>
        </w:rPr>
      </w:pPr>
      <w:r>
        <w:rPr>
          <w:rFonts w:ascii="Arial" w:hAnsi="Arial" w:eastAsia="仿宋" w:cs="Arial"/>
          <w:bCs/>
        </w:rPr>
        <w:t>区财政局负责根据区政府批准的区数据资源中心信息化建设年度实施计划</w:t>
      </w:r>
      <w:r>
        <w:rPr>
          <w:rFonts w:ascii="Arial" w:hAnsi="Arial" w:eastAsia="仿宋" w:cs="Arial"/>
          <w:color w:val="000000"/>
        </w:rPr>
        <w:t>，将全区政府投资的信息化建设项目纳入年度财政预算，并按预算统筹保障经费。负责政府采购监督管理，配合区数据资源中心与相关单位向上争取项目建设补助资金。</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建立项目实施管控机制。邀请监理单位对项目实施全过程进行监督，并根据每个阶段的特点，具体实施质量控制、进度控制、成本控制、合同管理、信息管理和协调等监理工作，确保建设效果不走样。</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建立项目绩效评估机制。依托第三方机构，根据项目实际效果、前期相关资料、后期运行状况及使用状况综合分析评价作出专业绩效评估，提高财政资金使用效率，增强部门和单位的责任意识。</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2.建立督查考核机制</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强化督查考核，实行</w:t>
      </w:r>
      <w:r>
        <w:rPr>
          <w:rFonts w:hint="eastAsia" w:ascii="Arial" w:hAnsi="Arial" w:eastAsia="仿宋" w:cs="Arial"/>
          <w:color w:val="000000"/>
        </w:rPr>
        <w:t>大数据</w:t>
      </w:r>
      <w:r>
        <w:rPr>
          <w:rFonts w:ascii="Arial" w:hAnsi="Arial" w:eastAsia="仿宋" w:cs="Arial"/>
          <w:color w:val="000000"/>
        </w:rPr>
        <w:t>建设督查考核机制，建立涵盖工作推进效果、过程、进度的绩效考核指标体系，对各部门、各乡镇（街）进行绩效考评，考评结果纳入全区年度综合目标考核。</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3.完善网络安全机制</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按照全区网络安全和信息化工作会议精神，筑牢网络安全防护基础，建立健全网络安全主动防御、安全监控预警、</w:t>
      </w:r>
      <w:r>
        <w:rPr>
          <w:rFonts w:ascii="Arial" w:hAnsi="Arial" w:eastAsia="仿宋" w:cs="Arial"/>
          <w:bCs/>
        </w:rPr>
        <w:t>应急响应联动</w:t>
      </w:r>
      <w:r>
        <w:rPr>
          <w:rFonts w:ascii="Arial" w:hAnsi="Arial" w:eastAsia="仿宋" w:cs="Arial"/>
          <w:color w:val="000000"/>
        </w:rPr>
        <w:t>、灾备运行维护等机制。切实加强关键信息基础设施防护，制定软硬件设备安全准入审核、信息系统分类，建立政务数据和重要行业数据的容灾备份制度。</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强化网络空间主动攻防能力，</w:t>
      </w:r>
      <w:r>
        <w:rPr>
          <w:rFonts w:ascii="Arial" w:hAnsi="Arial" w:eastAsia="仿宋" w:cs="Arial"/>
          <w:bCs/>
        </w:rPr>
        <w:t>进一步规范信息安全测评认证</w:t>
      </w:r>
      <w:r>
        <w:rPr>
          <w:rFonts w:ascii="Arial" w:hAnsi="Arial" w:eastAsia="仿宋" w:cs="Arial"/>
          <w:color w:val="000000"/>
        </w:rPr>
        <w:t>、网络信任、信息安全监控及容灾备份等工作，建立安全责任和责任追究、使用管理和安全跟踪追溯等制度。</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4.制定大数据资产管理规范</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制定大数据资产管理办法，按照“凡产生于望城区的数据，均归望城区政府所有”的原则，</w:t>
      </w:r>
      <w:r>
        <w:rPr>
          <w:rFonts w:ascii="Arial" w:hAnsi="Arial" w:eastAsia="仿宋" w:cs="Arial"/>
          <w:bCs/>
        </w:rPr>
        <w:t>明确政府大数据资产的定义与范围</w:t>
      </w:r>
      <w:r>
        <w:rPr>
          <w:rFonts w:ascii="Arial" w:hAnsi="Arial" w:eastAsia="仿宋" w:cs="Arial"/>
          <w:color w:val="000000"/>
        </w:rPr>
        <w:t>、统筹管理部门、数据标准规范、采集共享办法、数据安全管理、支撑平台建设以及评价考核机制等内容，明确全方位保障望城区大数据资产科学、高效的建立和利用。</w:t>
      </w:r>
    </w:p>
    <w:p>
      <w:pPr>
        <w:pStyle w:val="3"/>
        <w:ind w:left="602" w:hanging="602"/>
        <w:rPr>
          <w:rFonts w:ascii="Arial" w:hAnsi="Arial" w:eastAsia="仿宋" w:cs="Arial"/>
          <w:sz w:val="24"/>
          <w:szCs w:val="24"/>
        </w:rPr>
      </w:pPr>
      <w:bookmarkStart w:id="151" w:name="_Toc16427395"/>
      <w:bookmarkStart w:id="152" w:name="_Toc78041481"/>
      <w:bookmarkStart w:id="153" w:name="_Toc11770735"/>
      <w:r>
        <w:rPr>
          <w:rFonts w:ascii="Arial" w:hAnsi="Arial" w:eastAsia="仿宋" w:cs="Arial"/>
          <w:sz w:val="24"/>
          <w:szCs w:val="24"/>
        </w:rPr>
        <w:t>人才保障</w:t>
      </w:r>
      <w:bookmarkEnd w:id="151"/>
      <w:bookmarkEnd w:id="152"/>
      <w:bookmarkEnd w:id="153"/>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1.引进国内外高端人才</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贯彻落实《长沙市建设创新创业人才高地的若干措施（长沙人才新政22条）》等人才引进政策的要求，畅通人才引进渠道。加大优秀人才奖励力度，切实解决</w:t>
      </w:r>
      <w:r>
        <w:rPr>
          <w:rFonts w:hint="eastAsia" w:ascii="Arial" w:hAnsi="Arial" w:eastAsia="仿宋" w:cs="Arial"/>
          <w:color w:val="000000"/>
        </w:rPr>
        <w:t>大数据</w:t>
      </w:r>
      <w:r>
        <w:rPr>
          <w:rFonts w:ascii="Arial" w:hAnsi="Arial" w:eastAsia="仿宋" w:cs="Arial"/>
          <w:color w:val="000000"/>
        </w:rPr>
        <w:t>领域中高端人才户籍、税收、教育、</w:t>
      </w:r>
      <w:r>
        <w:rPr>
          <w:rFonts w:ascii="Arial" w:hAnsi="Arial" w:eastAsia="仿宋" w:cs="Arial"/>
          <w:bCs/>
        </w:rPr>
        <w:t>社会保障等方面问题</w:t>
      </w:r>
      <w:r>
        <w:rPr>
          <w:rFonts w:ascii="Arial" w:hAnsi="Arial" w:eastAsia="仿宋" w:cs="Arial"/>
          <w:color w:val="000000"/>
        </w:rPr>
        <w:t>，引进一批智慧城市、大数据、人工智能等领域的全球智慧行业高端人才、优秀团队。推进政府与国内外知名高校、科研院所的合作互动，形成队伍共建、定向培养、定期脱岗培训相结合的人才培养机制，为</w:t>
      </w:r>
      <w:r>
        <w:rPr>
          <w:rFonts w:hint="eastAsia" w:ascii="Arial" w:hAnsi="Arial" w:eastAsia="仿宋" w:cs="Arial"/>
          <w:color w:val="000000"/>
        </w:rPr>
        <w:t>大数据</w:t>
      </w:r>
      <w:r>
        <w:rPr>
          <w:rFonts w:ascii="Arial" w:hAnsi="Arial" w:eastAsia="仿宋" w:cs="Arial"/>
          <w:color w:val="000000"/>
        </w:rPr>
        <w:t>建设及运营提供坚实的智力支持和人才保证。</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2.加强内部人才队伍建设</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由区数据资源中心牵头组建“数据官”团队，各部门、镇（街）、单位明确一名相关工作人员（副科级），作为本单位的“数据官”，在区数据资源中心指导下，</w:t>
      </w:r>
      <w:r>
        <w:rPr>
          <w:rFonts w:ascii="Arial" w:hAnsi="Arial" w:eastAsia="仿宋" w:cs="Arial"/>
          <w:bCs/>
        </w:rPr>
        <w:t>负责配合区数据资源中心完成本单位数据的收集</w:t>
      </w:r>
      <w:r>
        <w:rPr>
          <w:rFonts w:ascii="Arial" w:hAnsi="Arial" w:eastAsia="仿宋" w:cs="Arial"/>
          <w:color w:val="000000"/>
        </w:rPr>
        <w:t>、录入、上报、汇集等工作，为区大数据库完善提供有力支撑。</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制定信息化专业人才队伍培养、培训计划，逐步形成一支结构合理、相对稳定的信息技术人才队伍。将</w:t>
      </w:r>
      <w:r>
        <w:rPr>
          <w:rFonts w:hint="eastAsia" w:ascii="Arial" w:hAnsi="Arial" w:eastAsia="仿宋" w:cs="Arial"/>
          <w:color w:val="000000"/>
        </w:rPr>
        <w:t>大数据</w:t>
      </w:r>
      <w:r>
        <w:rPr>
          <w:rFonts w:ascii="Arial" w:hAnsi="Arial" w:eastAsia="仿宋" w:cs="Arial"/>
          <w:color w:val="000000"/>
        </w:rPr>
        <w:t>建设内容列入区委中心组、区政府党组集中学习科目和区委党校培训课程，</w:t>
      </w:r>
      <w:r>
        <w:rPr>
          <w:rFonts w:ascii="Arial" w:hAnsi="Arial" w:eastAsia="仿宋" w:cs="Arial"/>
          <w:bCs/>
        </w:rPr>
        <w:t>保障</w:t>
      </w:r>
      <w:r>
        <w:rPr>
          <w:rFonts w:hint="eastAsia" w:ascii="Arial" w:hAnsi="Arial" w:eastAsia="仿宋" w:cs="Arial"/>
          <w:bCs/>
        </w:rPr>
        <w:t>大数据</w:t>
      </w:r>
      <w:r>
        <w:rPr>
          <w:rFonts w:ascii="Arial" w:hAnsi="Arial" w:eastAsia="仿宋" w:cs="Arial"/>
          <w:bCs/>
        </w:rPr>
        <w:t>建设的组织领导和执行落实能力</w:t>
      </w:r>
      <w:r>
        <w:rPr>
          <w:rFonts w:ascii="Arial" w:hAnsi="Arial" w:eastAsia="仿宋" w:cs="Arial"/>
          <w:color w:val="000000"/>
        </w:rPr>
        <w:t>。</w:t>
      </w:r>
    </w:p>
    <w:p>
      <w:pPr>
        <w:pStyle w:val="3"/>
        <w:ind w:left="602" w:hanging="602"/>
        <w:rPr>
          <w:rFonts w:ascii="Arial" w:hAnsi="Arial" w:eastAsia="仿宋" w:cs="Arial"/>
          <w:sz w:val="24"/>
          <w:szCs w:val="24"/>
        </w:rPr>
      </w:pPr>
      <w:bookmarkStart w:id="154" w:name="_Toc16427396"/>
      <w:bookmarkStart w:id="155" w:name="_Toc78041482"/>
      <w:bookmarkStart w:id="156" w:name="_Toc11770736"/>
      <w:r>
        <w:rPr>
          <w:rFonts w:ascii="Arial" w:hAnsi="Arial" w:eastAsia="仿宋" w:cs="Arial"/>
          <w:sz w:val="24"/>
          <w:szCs w:val="24"/>
        </w:rPr>
        <w:t>资金保障</w:t>
      </w:r>
      <w:bookmarkEnd w:id="154"/>
      <w:bookmarkEnd w:id="155"/>
      <w:bookmarkEnd w:id="156"/>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1.统筹财政资金</w:t>
      </w:r>
    </w:p>
    <w:p>
      <w:pPr>
        <w:spacing w:line="360" w:lineRule="auto"/>
        <w:ind w:firstLine="480" w:firstLineChars="200"/>
        <w:jc w:val="both"/>
        <w:rPr>
          <w:rFonts w:ascii="Arial" w:hAnsi="Arial" w:eastAsia="仿宋" w:cs="Arial"/>
          <w:color w:val="000000"/>
        </w:rPr>
      </w:pPr>
      <w:r>
        <w:rPr>
          <w:rFonts w:ascii="Arial" w:hAnsi="Arial" w:eastAsia="仿宋" w:cs="Arial"/>
          <w:bCs/>
        </w:rPr>
        <w:t>由区数据资源中心会同区财政局研究制定</w:t>
      </w:r>
      <w:r>
        <w:rPr>
          <w:rFonts w:hint="eastAsia" w:ascii="Arial" w:hAnsi="Arial" w:eastAsia="仿宋" w:cs="Arial"/>
          <w:bCs/>
        </w:rPr>
        <w:t>大数据发展和应用</w:t>
      </w:r>
      <w:r>
        <w:rPr>
          <w:rFonts w:ascii="Arial" w:hAnsi="Arial" w:eastAsia="仿宋" w:cs="Arial"/>
          <w:bCs/>
        </w:rPr>
        <w:t>建设资金保障和管理办法</w:t>
      </w:r>
      <w:r>
        <w:rPr>
          <w:rFonts w:ascii="Arial" w:hAnsi="Arial" w:eastAsia="仿宋" w:cs="Arial"/>
          <w:color w:val="000000"/>
        </w:rPr>
        <w:t>，进一步规范信息化建设资金的管理和使用。由区数据资源中心牵头，区发展和改革局、区财政局配合，统一编制“十四五”期间年度</w:t>
      </w:r>
      <w:r>
        <w:rPr>
          <w:rFonts w:hint="eastAsia" w:ascii="Arial" w:hAnsi="Arial" w:eastAsia="仿宋" w:cs="Arial"/>
          <w:bCs/>
        </w:rPr>
        <w:t>大数据发展和应用</w:t>
      </w:r>
      <w:r>
        <w:rPr>
          <w:rFonts w:ascii="Arial" w:hAnsi="Arial" w:eastAsia="仿宋" w:cs="Arial"/>
          <w:color w:val="000000"/>
        </w:rPr>
        <w:t>建设预算。</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充分利用国家以及湖南省、长沙市对</w:t>
      </w:r>
      <w:r>
        <w:rPr>
          <w:rFonts w:hint="eastAsia" w:ascii="Arial" w:hAnsi="Arial" w:eastAsia="仿宋" w:cs="Arial"/>
          <w:bCs/>
        </w:rPr>
        <w:t>大数据发展和应用建设</w:t>
      </w:r>
      <w:r>
        <w:rPr>
          <w:rFonts w:ascii="Arial" w:hAnsi="Arial" w:eastAsia="仿宋" w:cs="Arial"/>
          <w:color w:val="000000"/>
        </w:rPr>
        <w:t>方面的相关鼓励发展政策条件，重点从高新产业项目引进、</w:t>
      </w:r>
      <w:r>
        <w:rPr>
          <w:rFonts w:ascii="Arial" w:hAnsi="Arial" w:eastAsia="仿宋" w:cs="Arial"/>
          <w:bCs/>
        </w:rPr>
        <w:t>前沿基础学科研究</w:t>
      </w:r>
      <w:r>
        <w:rPr>
          <w:rFonts w:ascii="Arial" w:hAnsi="Arial" w:eastAsia="仿宋" w:cs="Arial"/>
          <w:color w:val="000000"/>
        </w:rPr>
        <w:t>、基础网络设施建设、创新示范应用平台建设等领域寻求优惠和补贴政策，全方位多领域积极争取国家、湖南省、长沙市对</w:t>
      </w:r>
      <w:r>
        <w:rPr>
          <w:rFonts w:hint="eastAsia" w:ascii="Arial" w:hAnsi="Arial" w:eastAsia="仿宋" w:cs="Arial"/>
          <w:color w:val="000000"/>
        </w:rPr>
        <w:t>望城大数据</w:t>
      </w:r>
      <w:r>
        <w:rPr>
          <w:rFonts w:ascii="Arial" w:hAnsi="Arial" w:eastAsia="仿宋" w:cs="Arial"/>
          <w:color w:val="000000"/>
        </w:rPr>
        <w:t>建设的政策和资金支持。</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2.创新投融资模式</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积极探索融资方式，拓宽融资渠道，统筹科学安排财政资金，通过特许经营、购买服务、产权激励等多种形式，引导与鼓励社会资金参与</w:t>
      </w:r>
      <w:r>
        <w:rPr>
          <w:rFonts w:hint="eastAsia" w:ascii="Arial" w:hAnsi="Arial" w:eastAsia="仿宋" w:cs="Arial"/>
          <w:color w:val="000000"/>
        </w:rPr>
        <w:t>望城大数据发展和应用</w:t>
      </w:r>
      <w:r>
        <w:rPr>
          <w:rFonts w:ascii="Arial" w:hAnsi="Arial" w:eastAsia="仿宋" w:cs="Arial"/>
          <w:color w:val="000000"/>
        </w:rPr>
        <w:t>建设，鼓励符合条件的企业更多利用直接融资工具募集资金，开展</w:t>
      </w:r>
      <w:r>
        <w:rPr>
          <w:rFonts w:hint="eastAsia" w:ascii="Arial" w:hAnsi="Arial" w:eastAsia="仿宋" w:cs="Arial"/>
          <w:color w:val="000000"/>
        </w:rPr>
        <w:t>大数据发展和应用</w:t>
      </w:r>
      <w:r>
        <w:rPr>
          <w:rFonts w:ascii="Arial" w:hAnsi="Arial" w:eastAsia="仿宋" w:cs="Arial"/>
          <w:color w:val="000000"/>
        </w:rPr>
        <w:t>建设。</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探索</w:t>
      </w:r>
      <w:r>
        <w:rPr>
          <w:rFonts w:hint="eastAsia" w:ascii="Arial" w:hAnsi="Arial" w:eastAsia="仿宋" w:cs="Arial"/>
          <w:color w:val="000000"/>
          <w:kern w:val="0"/>
          <w:sz w:val="24"/>
          <w:szCs w:val="24"/>
        </w:rPr>
        <w:t>大数据</w:t>
      </w:r>
      <w:r>
        <w:rPr>
          <w:rFonts w:ascii="Arial" w:hAnsi="Arial" w:eastAsia="仿宋" w:cs="Arial"/>
          <w:color w:val="000000"/>
          <w:kern w:val="0"/>
          <w:sz w:val="24"/>
          <w:szCs w:val="24"/>
        </w:rPr>
        <w:t>EPC总包模式，将基础设施建设和信息化建设有机结合，加快推进</w:t>
      </w:r>
      <w:r>
        <w:rPr>
          <w:rFonts w:hint="eastAsia" w:ascii="Arial" w:hAnsi="Arial" w:eastAsia="仿宋" w:cs="Arial"/>
          <w:color w:val="000000"/>
          <w:kern w:val="0"/>
          <w:sz w:val="24"/>
          <w:szCs w:val="24"/>
        </w:rPr>
        <w:t>大数据</w:t>
      </w:r>
      <w:r>
        <w:rPr>
          <w:rFonts w:ascii="Arial" w:hAnsi="Arial" w:eastAsia="仿宋" w:cs="Arial"/>
          <w:color w:val="000000"/>
          <w:kern w:val="0"/>
          <w:sz w:val="24"/>
          <w:szCs w:val="24"/>
        </w:rPr>
        <w:t>应用体系和智慧基础设施的建设，为城市发展提供融资、设计、建设、运营全方位解决方案，培育一大批具有核心竞争力的创新型技术和产品，推动智慧产业聚合升级。</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3.引入社会资本</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引入有关基金和相关社会资本，引导社会资金用于重大示范项目，投资于</w:t>
      </w:r>
      <w:r>
        <w:rPr>
          <w:rFonts w:hint="eastAsia" w:ascii="Arial" w:hAnsi="Arial" w:eastAsia="仿宋" w:cs="Arial"/>
          <w:color w:val="000000"/>
          <w:kern w:val="0"/>
          <w:sz w:val="24"/>
          <w:szCs w:val="24"/>
        </w:rPr>
        <w:t>大数据</w:t>
      </w:r>
      <w:r>
        <w:rPr>
          <w:rFonts w:ascii="Arial" w:hAnsi="Arial" w:eastAsia="仿宋" w:cs="Arial"/>
          <w:color w:val="000000"/>
          <w:kern w:val="0"/>
          <w:sz w:val="24"/>
          <w:szCs w:val="24"/>
        </w:rPr>
        <w:t>样板打造、科技成果和解决方案的落地转化。</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根据项目性质，区分项目建设模式，</w:t>
      </w:r>
      <w:r>
        <w:rPr>
          <w:rFonts w:ascii="Arial" w:hAnsi="Arial" w:eastAsia="仿宋" w:cs="Arial"/>
          <w:bCs/>
        </w:rPr>
        <w:t>充分合理利用社会资本参与项目建设</w:t>
      </w:r>
      <w:r>
        <w:rPr>
          <w:rFonts w:ascii="Arial" w:hAnsi="Arial" w:eastAsia="仿宋" w:cs="Arial"/>
          <w:color w:val="000000"/>
        </w:rPr>
        <w:t>，对于社会管理类、基础类、公益类项目，创新投融资模式，规范稳妥推动政企合资共建。</w:t>
      </w:r>
    </w:p>
    <w:p>
      <w:pPr>
        <w:pStyle w:val="63"/>
        <w:spacing w:line="360" w:lineRule="auto"/>
        <w:ind w:firstLine="480"/>
        <w:rPr>
          <w:rFonts w:ascii="Arial" w:hAnsi="Arial" w:eastAsia="仿宋" w:cs="Arial"/>
          <w:color w:val="000000"/>
          <w:kern w:val="0"/>
          <w:sz w:val="24"/>
          <w:szCs w:val="24"/>
        </w:rPr>
      </w:pPr>
      <w:r>
        <w:rPr>
          <w:rFonts w:ascii="Arial" w:hAnsi="Arial" w:eastAsia="仿宋" w:cs="Arial"/>
          <w:color w:val="000000"/>
          <w:kern w:val="0"/>
          <w:sz w:val="24"/>
          <w:szCs w:val="24"/>
        </w:rPr>
        <w:t>4.探索数据交易</w:t>
      </w:r>
    </w:p>
    <w:p>
      <w:pPr>
        <w:spacing w:line="360" w:lineRule="auto"/>
        <w:ind w:firstLine="480" w:firstLineChars="200"/>
        <w:jc w:val="both"/>
        <w:rPr>
          <w:rFonts w:ascii="Arial" w:hAnsi="Arial" w:eastAsia="仿宋" w:cs="Arial"/>
          <w:color w:val="000000"/>
        </w:rPr>
      </w:pPr>
      <w:r>
        <w:rPr>
          <w:rFonts w:ascii="Arial" w:hAnsi="Arial" w:eastAsia="仿宋" w:cs="Arial"/>
          <w:color w:val="000000"/>
        </w:rPr>
        <w:t>借鉴贵阳大数据交易所、上海大数据交易中心经验，探索建立公共信息资源交易模式，在法律法规允许和保护国家秘密、商业秘密、个人隐私的前提下，充分利用数据资源，进行市场化交易运作，对公共信息资源的汇聚、使用、交易进行有益尝试，并反哺</w:t>
      </w:r>
      <w:r>
        <w:rPr>
          <w:rFonts w:hint="eastAsia" w:ascii="Arial" w:hAnsi="Arial" w:eastAsia="仿宋" w:cs="Arial"/>
          <w:color w:val="000000"/>
        </w:rPr>
        <w:t>望城大数据</w:t>
      </w:r>
      <w:r>
        <w:rPr>
          <w:rFonts w:ascii="Arial" w:hAnsi="Arial" w:eastAsia="仿宋" w:cs="Arial"/>
          <w:color w:val="000000"/>
        </w:rPr>
        <w:t>建设。</w:t>
      </w:r>
    </w:p>
    <w:p>
      <w:pPr>
        <w:pStyle w:val="3"/>
        <w:ind w:left="602" w:hanging="602"/>
        <w:rPr>
          <w:rFonts w:ascii="Arial" w:hAnsi="Arial" w:eastAsia="仿宋" w:cs="Arial"/>
          <w:sz w:val="24"/>
          <w:szCs w:val="24"/>
        </w:rPr>
      </w:pPr>
      <w:bookmarkStart w:id="157" w:name="_Toc11770737"/>
      <w:bookmarkStart w:id="158" w:name="_Toc16427397"/>
      <w:bookmarkStart w:id="159" w:name="_Toc78041483"/>
      <w:r>
        <w:rPr>
          <w:rFonts w:ascii="Arial" w:hAnsi="Arial" w:eastAsia="仿宋" w:cs="Arial"/>
          <w:sz w:val="24"/>
          <w:szCs w:val="24"/>
        </w:rPr>
        <w:t>宣传保障</w:t>
      </w:r>
      <w:bookmarkEnd w:id="157"/>
      <w:bookmarkEnd w:id="158"/>
      <w:bookmarkEnd w:id="159"/>
    </w:p>
    <w:p>
      <w:pPr>
        <w:spacing w:line="360" w:lineRule="auto"/>
        <w:ind w:firstLine="480" w:firstLineChars="200"/>
        <w:jc w:val="both"/>
        <w:rPr>
          <w:rFonts w:ascii="Arial" w:hAnsi="Arial" w:eastAsia="仿宋" w:cs="Arial"/>
          <w:color w:val="000000"/>
        </w:rPr>
      </w:pPr>
      <w:r>
        <w:rPr>
          <w:rFonts w:ascii="Arial" w:hAnsi="Arial" w:eastAsia="仿宋" w:cs="Arial"/>
          <w:color w:val="000000"/>
        </w:rPr>
        <w:t>积极参与互联网大会、数字中国峰会、高交会、数博会等高层级博览会、洽谈会，通过承办相关赛事、论坛、活动等方式借力宣传</w:t>
      </w:r>
      <w:r>
        <w:rPr>
          <w:rFonts w:hint="eastAsia" w:ascii="Arial" w:hAnsi="Arial" w:eastAsia="仿宋" w:cs="Arial"/>
          <w:color w:val="000000"/>
        </w:rPr>
        <w:t>望城大数据</w:t>
      </w:r>
      <w:r>
        <w:rPr>
          <w:rFonts w:ascii="Arial" w:hAnsi="Arial" w:eastAsia="仿宋" w:cs="Arial"/>
          <w:color w:val="000000"/>
        </w:rPr>
        <w:t>建设，密切政企交流，展示建设成果，推广示范应用，扩大影响力；有效开展线上宣传，通过广播电台、报纸、官网、微信公众号等渠道刊发</w:t>
      </w:r>
      <w:r>
        <w:rPr>
          <w:rFonts w:hint="eastAsia" w:ascii="Arial" w:hAnsi="Arial" w:eastAsia="仿宋" w:cs="Arial"/>
          <w:color w:val="000000"/>
        </w:rPr>
        <w:t>望城大数据</w:t>
      </w:r>
      <w:r>
        <w:rPr>
          <w:rFonts w:ascii="Arial" w:hAnsi="Arial" w:eastAsia="仿宋" w:cs="Arial"/>
          <w:color w:val="000000"/>
        </w:rPr>
        <w:t>建设内容，同时推送相关文件与建设成果，进一步拓宽宣传覆盖面，切实提高宣传的影响力，从而营造浓厚的舆论宣传氛围；广泛发动基层现场宣传，深入基层，实现宣传活动全覆盖，以政务服务大厅、业务经办窗口为主要宣传场所，在人群密集场所醒目位置广泛、长期张贴宣传海报，发放宣传折页，播放宣传片，同时通过进机关、进学校、进企业、进街道社区、进乡镇农村等形式，科学、有效组织宣传活动，采取集中宣讲、解答群众疑问等方式，打通宣传的“最后一公里”。</w:t>
      </w:r>
    </w:p>
    <w:p>
      <w:pPr>
        <w:pStyle w:val="3"/>
        <w:ind w:left="602" w:hanging="602"/>
        <w:rPr>
          <w:rFonts w:ascii="Arial" w:hAnsi="Arial" w:eastAsia="仿宋" w:cs="Arial"/>
          <w:sz w:val="24"/>
          <w:szCs w:val="24"/>
        </w:rPr>
      </w:pPr>
      <w:bookmarkStart w:id="160" w:name="_Toc16427398"/>
      <w:bookmarkStart w:id="161" w:name="_Toc78041484"/>
      <w:r>
        <w:rPr>
          <w:rFonts w:ascii="Arial" w:hAnsi="Arial" w:eastAsia="仿宋" w:cs="Arial"/>
          <w:sz w:val="24"/>
          <w:szCs w:val="24"/>
        </w:rPr>
        <w:t>运维保障</w:t>
      </w:r>
      <w:bookmarkEnd w:id="160"/>
      <w:bookmarkEnd w:id="161"/>
    </w:p>
    <w:p>
      <w:pPr>
        <w:spacing w:line="360" w:lineRule="auto"/>
        <w:ind w:firstLine="480" w:firstLineChars="200"/>
        <w:jc w:val="both"/>
        <w:rPr>
          <w:rFonts w:ascii="Arial" w:hAnsi="Arial" w:eastAsia="仿宋" w:cs="Arial"/>
          <w:color w:val="000000"/>
        </w:rPr>
      </w:pPr>
      <w:r>
        <w:rPr>
          <w:rFonts w:ascii="Arial" w:hAnsi="Arial" w:eastAsia="仿宋" w:cs="Arial"/>
          <w:color w:val="000000"/>
        </w:rPr>
        <w:t>建立健全运维机制，由数据资源中心统筹运维，</w:t>
      </w:r>
      <w:r>
        <w:rPr>
          <w:rFonts w:ascii="Arial" w:hAnsi="Arial" w:eastAsia="仿宋" w:cs="Arial"/>
          <w:bCs/>
        </w:rPr>
        <w:t>整合运维资源</w:t>
      </w:r>
      <w:r>
        <w:rPr>
          <w:rFonts w:ascii="Arial" w:hAnsi="Arial" w:eastAsia="仿宋" w:cs="Arial"/>
          <w:color w:val="000000"/>
        </w:rPr>
        <w:t>、制定运维标准、定义运维模式、打造综合化运维管理体系，区财政局负责运维经费审批。</w:t>
      </w:r>
    </w:p>
    <w:p>
      <w:pPr>
        <w:spacing w:line="360" w:lineRule="auto"/>
        <w:ind w:firstLine="480" w:firstLineChars="200"/>
        <w:jc w:val="both"/>
        <w:rPr>
          <w:rFonts w:ascii="Arial" w:hAnsi="Arial" w:eastAsia="仿宋" w:cs="Arial"/>
        </w:rPr>
      </w:pPr>
      <w:r>
        <w:rPr>
          <w:rFonts w:hint="eastAsia" w:ascii="Arial" w:hAnsi="Arial" w:eastAsia="仿宋" w:cs="Arial"/>
          <w:color w:val="000000"/>
        </w:rPr>
        <w:t>在</w:t>
      </w:r>
      <w:r>
        <w:rPr>
          <w:rFonts w:ascii="Arial" w:hAnsi="Arial" w:eastAsia="仿宋" w:cs="Arial"/>
          <w:color w:val="000000"/>
        </w:rPr>
        <w:t>望城区新型智慧城市运维管理体系</w:t>
      </w:r>
      <w:r>
        <w:rPr>
          <w:rFonts w:hint="eastAsia" w:ascii="Arial" w:hAnsi="Arial" w:eastAsia="仿宋" w:cs="Arial"/>
          <w:color w:val="000000"/>
        </w:rPr>
        <w:t>下明确大数据运维管理方式</w:t>
      </w:r>
      <w:r>
        <w:rPr>
          <w:rFonts w:ascii="Arial" w:hAnsi="Arial" w:eastAsia="仿宋" w:cs="Arial"/>
          <w:color w:val="000000"/>
        </w:rPr>
        <w:t>，并以此为指引做好</w:t>
      </w:r>
      <w:r>
        <w:rPr>
          <w:rFonts w:hint="eastAsia" w:ascii="Arial" w:hAnsi="Arial" w:eastAsia="仿宋" w:cs="Arial"/>
          <w:color w:val="000000"/>
        </w:rPr>
        <w:t>望城大数据</w:t>
      </w:r>
      <w:r>
        <w:rPr>
          <w:rFonts w:ascii="Arial" w:hAnsi="Arial" w:eastAsia="仿宋" w:cs="Arial"/>
          <w:color w:val="000000"/>
        </w:rPr>
        <w:t>各领域信息基础资源的运维管理建设。整合机房基础设施、网络、系统、安全、应用以及虚拟化资源等各类运维监测内容，综合监控、</w:t>
      </w:r>
      <w:r>
        <w:rPr>
          <w:rFonts w:ascii="Arial" w:hAnsi="Arial" w:eastAsia="仿宋" w:cs="Arial"/>
          <w:bCs/>
        </w:rPr>
        <w:t>统一运维和对外服务</w:t>
      </w:r>
      <w:r>
        <w:rPr>
          <w:rFonts w:ascii="Arial" w:hAnsi="Arial" w:eastAsia="仿宋" w:cs="Arial"/>
          <w:color w:val="000000"/>
        </w:rPr>
        <w:t>，实现统一展现、统一告警、统一流程处理和自动化运维管理。实现对电子政务外网、党政内部工作专网和云计算中心的资源统一运维、自动监控、故障预警处置等信息化管理。运维监控系统需与云计算中心机房动环监控系统、云管理平台实现高度集成，提供集中展现功能。积极引入社会资源参与运维服务，形成以专业运维团队为支撑、运维管理平台为手段的</w:t>
      </w:r>
      <w:r>
        <w:rPr>
          <w:rFonts w:hint="eastAsia" w:ascii="Arial" w:hAnsi="Arial" w:eastAsia="仿宋" w:cs="Arial"/>
          <w:color w:val="000000"/>
        </w:rPr>
        <w:t>大数据</w:t>
      </w:r>
      <w:r>
        <w:rPr>
          <w:rFonts w:ascii="Arial" w:hAnsi="Arial" w:eastAsia="仿宋" w:cs="Arial"/>
          <w:color w:val="000000"/>
        </w:rPr>
        <w:t>运维管理体系。收集</w:t>
      </w:r>
      <w:r>
        <w:rPr>
          <w:rFonts w:hint="eastAsia" w:ascii="Arial" w:hAnsi="Arial" w:eastAsia="仿宋" w:cs="Arial"/>
          <w:color w:val="000000"/>
        </w:rPr>
        <w:t>大数据</w:t>
      </w:r>
      <w:r>
        <w:rPr>
          <w:rFonts w:ascii="Arial" w:hAnsi="Arial" w:eastAsia="仿宋" w:cs="Arial"/>
          <w:color w:val="000000"/>
        </w:rPr>
        <w:t>应用中各类软硬件运行状态信息，进行全面监测和预防控制，保障望城区</w:t>
      </w:r>
      <w:r>
        <w:rPr>
          <w:rFonts w:hint="eastAsia" w:ascii="Arial" w:hAnsi="Arial" w:eastAsia="仿宋" w:cs="Arial"/>
          <w:color w:val="000000"/>
        </w:rPr>
        <w:t>大数据</w:t>
      </w:r>
      <w:r>
        <w:rPr>
          <w:rFonts w:ascii="Arial" w:hAnsi="Arial" w:eastAsia="仿宋" w:cs="Arial"/>
          <w:color w:val="000000"/>
        </w:rPr>
        <w:t>整体应用正常稳定运行。</w:t>
      </w:r>
    </w:p>
    <w:p>
      <w:pPr>
        <w:spacing w:line="360" w:lineRule="auto"/>
        <w:rPr>
          <w:rFonts w:ascii="Arial" w:hAnsi="Arial" w:eastAsia="仿宋" w:cs="Arial"/>
        </w:rPr>
        <w:sectPr>
          <w:footerReference r:id="rId6" w:type="default"/>
          <w:pgSz w:w="11906" w:h="16838"/>
          <w:pgMar w:top="1440" w:right="1800" w:bottom="1440" w:left="1800" w:header="851" w:footer="992" w:gutter="0"/>
          <w:pgNumType w:start="1"/>
          <w:cols w:space="425" w:num="1"/>
          <w:docGrid w:type="lines" w:linePitch="312" w:charSpace="0"/>
        </w:sectPr>
      </w:pPr>
    </w:p>
    <w:p>
      <w:pPr>
        <w:pStyle w:val="2"/>
        <w:numPr>
          <w:ilvl w:val="0"/>
          <w:numId w:val="0"/>
        </w:numPr>
        <w:rPr>
          <w:rFonts w:ascii="Arial" w:hAnsi="Arial" w:eastAsia="仿宋" w:cs="Arial"/>
          <w:sz w:val="24"/>
          <w:szCs w:val="24"/>
        </w:rPr>
      </w:pPr>
      <w:bookmarkStart w:id="162" w:name="_Toc78041485"/>
      <w:r>
        <w:rPr>
          <w:rFonts w:hint="eastAsia" w:ascii="Arial" w:hAnsi="Arial" w:eastAsia="仿宋" w:cs="Arial"/>
          <w:sz w:val="24"/>
          <w:szCs w:val="24"/>
        </w:rPr>
        <w:t xml:space="preserve">附录一 </w:t>
      </w:r>
      <w:r>
        <w:rPr>
          <w:rFonts w:ascii="Arial" w:hAnsi="Arial" w:eastAsia="仿宋" w:cs="Arial"/>
          <w:sz w:val="24"/>
          <w:szCs w:val="24"/>
        </w:rPr>
        <w:t>重大项目投资汇总表</w:t>
      </w:r>
      <w:bookmarkEnd w:id="162"/>
    </w:p>
    <w:tbl>
      <w:tblPr>
        <w:tblStyle w:val="42"/>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1"/>
        <w:gridCol w:w="1454"/>
        <w:gridCol w:w="1454"/>
        <w:gridCol w:w="1455"/>
        <w:gridCol w:w="1455"/>
        <w:gridCol w:w="1460"/>
        <w:gridCol w:w="1455"/>
        <w:gridCol w:w="1455"/>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2531" w:type="dxa"/>
            <w:vMerge w:val="restart"/>
            <w:shd w:val="clear" w:color="000000" w:fill="FFFFFF"/>
            <w:vAlign w:val="center"/>
          </w:tcPr>
          <w:p>
            <w:pPr>
              <w:jc w:val="center"/>
              <w:rPr>
                <w:rFonts w:ascii="Arial" w:hAnsi="Arial" w:cs="Arial"/>
                <w:b/>
                <w:bCs/>
                <w:color w:val="000000"/>
                <w:sz w:val="21"/>
                <w:szCs w:val="21"/>
              </w:rPr>
            </w:pPr>
            <w:r>
              <w:rPr>
                <w:rFonts w:ascii="Arial" w:hAnsi="Arial" w:cs="Arial"/>
                <w:b/>
                <w:bCs/>
                <w:color w:val="000000"/>
                <w:sz w:val="21"/>
                <w:szCs w:val="21"/>
              </w:rPr>
              <w:t>所属领域</w:t>
            </w:r>
          </w:p>
        </w:tc>
        <w:tc>
          <w:tcPr>
            <w:tcW w:w="7278" w:type="dxa"/>
            <w:gridSpan w:val="5"/>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年度投资规模</w:t>
            </w:r>
            <w:r>
              <w:rPr>
                <w:rFonts w:ascii="Arial" w:hAnsi="Arial" w:cs="Arial"/>
                <w:b/>
                <w:bCs/>
                <w:color w:val="000000"/>
                <w:sz w:val="21"/>
                <w:szCs w:val="21"/>
              </w:rPr>
              <w:br w:type="textWrapping"/>
            </w:r>
            <w:r>
              <w:rPr>
                <w:rFonts w:ascii="Arial" w:hAnsi="Arial" w:cs="Arial"/>
                <w:b/>
                <w:bCs/>
                <w:color w:val="000000"/>
                <w:sz w:val="21"/>
                <w:szCs w:val="21"/>
              </w:rPr>
              <w:t>（万元）</w:t>
            </w:r>
          </w:p>
        </w:tc>
        <w:tc>
          <w:tcPr>
            <w:tcW w:w="1455" w:type="dxa"/>
            <w:vMerge w:val="restart"/>
            <w:shd w:val="clear" w:color="000000" w:fill="FFFFFF"/>
            <w:vAlign w:val="center"/>
          </w:tcPr>
          <w:p>
            <w:pPr>
              <w:jc w:val="center"/>
              <w:rPr>
                <w:rFonts w:ascii="Arial" w:hAnsi="Arial" w:cs="Arial"/>
                <w:b/>
                <w:bCs/>
                <w:color w:val="000000"/>
                <w:sz w:val="21"/>
                <w:szCs w:val="21"/>
              </w:rPr>
            </w:pPr>
            <w:r>
              <w:rPr>
                <w:rFonts w:ascii="Arial" w:hAnsi="Arial" w:cs="Arial"/>
                <w:b/>
                <w:bCs/>
                <w:color w:val="000000"/>
                <w:sz w:val="21"/>
                <w:szCs w:val="21"/>
              </w:rPr>
              <w:t>总投资</w:t>
            </w:r>
            <w:r>
              <w:rPr>
                <w:rFonts w:ascii="Arial" w:hAnsi="Arial" w:cs="Arial"/>
                <w:b/>
                <w:bCs/>
                <w:color w:val="000000"/>
                <w:sz w:val="21"/>
                <w:szCs w:val="21"/>
              </w:rPr>
              <w:br w:type="textWrapping"/>
            </w:r>
            <w:r>
              <w:rPr>
                <w:rFonts w:ascii="Arial" w:hAnsi="Arial" w:cs="Arial"/>
                <w:b/>
                <w:bCs/>
                <w:color w:val="000000"/>
                <w:sz w:val="21"/>
                <w:szCs w:val="21"/>
              </w:rPr>
              <w:t>（万元）</w:t>
            </w:r>
          </w:p>
        </w:tc>
        <w:tc>
          <w:tcPr>
            <w:tcW w:w="1455" w:type="dxa"/>
            <w:vMerge w:val="restart"/>
            <w:shd w:val="clear" w:color="000000" w:fill="FFFFFF"/>
            <w:vAlign w:val="center"/>
          </w:tcPr>
          <w:p>
            <w:pPr>
              <w:jc w:val="center"/>
              <w:rPr>
                <w:rFonts w:ascii="Arial" w:hAnsi="Arial" w:cs="Arial"/>
                <w:b/>
                <w:bCs/>
                <w:color w:val="000000"/>
                <w:sz w:val="21"/>
                <w:szCs w:val="21"/>
              </w:rPr>
            </w:pPr>
            <w:r>
              <w:rPr>
                <w:rFonts w:ascii="Arial" w:hAnsi="Arial" w:cs="Arial"/>
                <w:b/>
                <w:bCs/>
                <w:color w:val="000000"/>
                <w:sz w:val="21"/>
                <w:szCs w:val="21"/>
              </w:rPr>
              <w:t>“十四五”计划投资</w:t>
            </w:r>
            <w:r>
              <w:rPr>
                <w:rFonts w:ascii="Arial" w:hAnsi="Arial" w:cs="Arial"/>
                <w:b/>
                <w:bCs/>
                <w:color w:val="000000"/>
                <w:sz w:val="21"/>
                <w:szCs w:val="21"/>
              </w:rPr>
              <w:br w:type="textWrapping"/>
            </w:r>
            <w:r>
              <w:rPr>
                <w:rFonts w:ascii="Arial" w:hAnsi="Arial" w:cs="Arial"/>
                <w:b/>
                <w:bCs/>
                <w:color w:val="000000"/>
                <w:sz w:val="21"/>
                <w:szCs w:val="21"/>
              </w:rPr>
              <w:t>（万元）</w:t>
            </w:r>
          </w:p>
        </w:tc>
        <w:tc>
          <w:tcPr>
            <w:tcW w:w="1455" w:type="dxa"/>
            <w:vMerge w:val="restart"/>
            <w:shd w:val="clear" w:color="000000" w:fill="FFFFFF"/>
            <w:vAlign w:val="center"/>
          </w:tcPr>
          <w:p>
            <w:pPr>
              <w:jc w:val="center"/>
              <w:rPr>
                <w:rFonts w:ascii="Arial" w:hAnsi="Arial" w:cs="Arial"/>
                <w:b/>
                <w:bCs/>
                <w:color w:val="000000"/>
                <w:sz w:val="21"/>
                <w:szCs w:val="21"/>
              </w:rPr>
            </w:pPr>
            <w:r>
              <w:rPr>
                <w:rFonts w:ascii="Arial" w:hAnsi="Arial" w:cs="Arial"/>
                <w:b/>
                <w:bCs/>
                <w:color w:val="000000"/>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2531" w:type="dxa"/>
            <w:vMerge w:val="continue"/>
            <w:vAlign w:val="center"/>
          </w:tcPr>
          <w:p>
            <w:pPr>
              <w:rPr>
                <w:rFonts w:ascii="Arial" w:hAnsi="Arial" w:cs="Arial"/>
                <w:color w:val="000000"/>
                <w:sz w:val="21"/>
                <w:szCs w:val="21"/>
              </w:rPr>
            </w:pPr>
          </w:p>
        </w:tc>
        <w:tc>
          <w:tcPr>
            <w:tcW w:w="1454"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2021年</w:t>
            </w:r>
          </w:p>
        </w:tc>
        <w:tc>
          <w:tcPr>
            <w:tcW w:w="1454"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2022年</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2023年</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2024年</w:t>
            </w:r>
          </w:p>
        </w:tc>
        <w:tc>
          <w:tcPr>
            <w:tcW w:w="1460"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2025年</w:t>
            </w:r>
          </w:p>
        </w:tc>
        <w:tc>
          <w:tcPr>
            <w:tcW w:w="1455" w:type="dxa"/>
            <w:vMerge w:val="continue"/>
            <w:vAlign w:val="center"/>
          </w:tcPr>
          <w:p>
            <w:pPr>
              <w:rPr>
                <w:rFonts w:ascii="Arial" w:hAnsi="Arial" w:cs="Arial"/>
                <w:color w:val="000000"/>
                <w:sz w:val="21"/>
                <w:szCs w:val="21"/>
              </w:rPr>
            </w:pPr>
          </w:p>
        </w:tc>
        <w:tc>
          <w:tcPr>
            <w:tcW w:w="1455" w:type="dxa"/>
            <w:vMerge w:val="continue"/>
            <w:vAlign w:val="center"/>
          </w:tcPr>
          <w:p>
            <w:pPr>
              <w:rPr>
                <w:rFonts w:ascii="Arial" w:hAnsi="Arial" w:cs="Arial"/>
                <w:color w:val="000000"/>
                <w:sz w:val="21"/>
                <w:szCs w:val="21"/>
              </w:rPr>
            </w:pPr>
          </w:p>
        </w:tc>
        <w:tc>
          <w:tcPr>
            <w:tcW w:w="1455" w:type="dxa"/>
            <w:vMerge w:val="continue"/>
            <w:vAlign w:val="center"/>
          </w:tcPr>
          <w:p>
            <w:pPr>
              <w:rPr>
                <w:rFonts w:ascii="Arial" w:hAnsi="Arial" w:cs="Aria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民生融合</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900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900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智慧政务</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5" w:type="dxa"/>
            <w:shd w:val="clear" w:color="auto" w:fill="auto"/>
            <w:vAlign w:val="center"/>
          </w:tcPr>
          <w:p>
            <w:pPr>
              <w:jc w:val="center"/>
              <w:rPr>
                <w:rFonts w:ascii="Arial" w:hAnsi="Arial" w:cs="Arial"/>
                <w:color w:val="000000"/>
                <w:sz w:val="21"/>
                <w:szCs w:val="21"/>
              </w:rPr>
            </w:pPr>
            <w:r>
              <w:rPr>
                <w:rFonts w:hint="eastAsia" w:ascii="Arial" w:hAnsi="Arial" w:cs="Arial"/>
                <w:color w:val="000000"/>
                <w:sz w:val="21"/>
                <w:szCs w:val="21"/>
              </w:rPr>
              <w:t>3</w:t>
            </w:r>
            <w:r>
              <w:rPr>
                <w:rFonts w:ascii="Arial" w:hAnsi="Arial" w:cs="Arial"/>
                <w:color w:val="000000"/>
                <w:sz w:val="21"/>
                <w:szCs w:val="21"/>
              </w:rPr>
              <w:t>50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1050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1050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智慧教育</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1,300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12,600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5,300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2,400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22000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22000</w:t>
            </w:r>
          </w:p>
        </w:tc>
        <w:tc>
          <w:tcPr>
            <w:tcW w:w="1455" w:type="dxa"/>
            <w:shd w:val="clear" w:color="auto" w:fill="auto"/>
            <w:vAlign w:val="center"/>
          </w:tcPr>
          <w:p>
            <w:pPr>
              <w:jc w:val="center"/>
              <w:rPr>
                <w:rFonts w:ascii="Arial" w:hAnsi="Arial" w:cs="Arial"/>
                <w:color w:val="000000"/>
                <w:sz w:val="21"/>
                <w:szCs w:val="21"/>
              </w:rPr>
            </w:pPr>
            <w:r>
              <w:rPr>
                <w:rFonts w:hint="eastAsia" w:ascii="Arial" w:hAnsi="Arial" w:cs="Arial"/>
                <w:color w:val="000000"/>
                <w:sz w:val="21"/>
                <w:szCs w:val="21"/>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智慧医疗</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960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1,300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3060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3060</w:t>
            </w:r>
          </w:p>
        </w:tc>
        <w:tc>
          <w:tcPr>
            <w:tcW w:w="1455" w:type="dxa"/>
            <w:shd w:val="clear" w:color="auto" w:fill="auto"/>
            <w:vAlign w:val="center"/>
          </w:tcPr>
          <w:p>
            <w:pPr>
              <w:jc w:val="center"/>
              <w:rPr>
                <w:rFonts w:ascii="Arial" w:hAnsi="Arial" w:cs="Arial"/>
                <w:color w:val="000000"/>
                <w:sz w:val="21"/>
                <w:szCs w:val="21"/>
              </w:rPr>
            </w:pPr>
            <w:r>
              <w:rPr>
                <w:rFonts w:hint="eastAsia" w:ascii="Arial" w:hAnsi="Arial" w:cs="Arial"/>
                <w:color w:val="000000"/>
                <w:sz w:val="21"/>
                <w:szCs w:val="21"/>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智慧社保</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800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800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智慧养老</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800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智慧城建</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智慧应急</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700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700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1,400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5000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5000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智慧交通</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6500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6500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雪亮工程</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4000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4000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社会治理</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1200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1800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智慧城管</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2,041</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650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2991</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2991</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市场监管</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2500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智能制造</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1,500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1,500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4000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4000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智慧物流</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700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1500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1500</w:t>
            </w:r>
          </w:p>
        </w:tc>
        <w:tc>
          <w:tcPr>
            <w:tcW w:w="1455" w:type="dxa"/>
            <w:shd w:val="clear" w:color="auto" w:fill="auto"/>
            <w:vAlign w:val="center"/>
          </w:tcPr>
          <w:p>
            <w:pPr>
              <w:jc w:val="center"/>
              <w:rPr>
                <w:rFonts w:ascii="Arial" w:hAnsi="Arial" w:cs="Arial"/>
                <w:color w:val="000000"/>
                <w:sz w:val="21"/>
                <w:szCs w:val="21"/>
              </w:rPr>
            </w:pPr>
            <w:r>
              <w:rPr>
                <w:rFonts w:hint="eastAsia" w:ascii="Arial" w:hAnsi="Arial" w:cs="Arial"/>
                <w:color w:val="000000"/>
                <w:sz w:val="21"/>
                <w:szCs w:val="21"/>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智慧农业</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800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1,500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4400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4400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工业互联网</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600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智能网联</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智慧环保</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500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1800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智慧社区</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3500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3500</w:t>
            </w:r>
          </w:p>
        </w:tc>
        <w:tc>
          <w:tcPr>
            <w:tcW w:w="1455" w:type="dxa"/>
            <w:shd w:val="clear" w:color="auto" w:fill="auto"/>
            <w:vAlign w:val="center"/>
          </w:tcPr>
          <w:p>
            <w:pPr>
              <w:jc w:val="center"/>
              <w:rPr>
                <w:rFonts w:ascii="Arial" w:hAnsi="Arial" w:cs="Arial"/>
                <w:color w:val="000000"/>
                <w:sz w:val="21"/>
                <w:szCs w:val="21"/>
              </w:rPr>
            </w:pPr>
            <w:r>
              <w:rPr>
                <w:rFonts w:hint="eastAsia" w:ascii="Arial" w:hAnsi="Arial" w:cs="Arial"/>
                <w:color w:val="000000"/>
                <w:sz w:val="21"/>
                <w:szCs w:val="21"/>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智慧旅游</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1600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1600</w:t>
            </w:r>
          </w:p>
        </w:tc>
        <w:tc>
          <w:tcPr>
            <w:tcW w:w="1455" w:type="dxa"/>
            <w:shd w:val="clear" w:color="auto" w:fill="auto"/>
            <w:vAlign w:val="center"/>
          </w:tcPr>
          <w:p>
            <w:pPr>
              <w:jc w:val="center"/>
              <w:rPr>
                <w:rFonts w:ascii="Arial" w:hAnsi="Arial" w:cs="Arial"/>
                <w:color w:val="000000"/>
                <w:sz w:val="21"/>
                <w:szCs w:val="21"/>
              </w:rPr>
            </w:pPr>
            <w:r>
              <w:rPr>
                <w:rFonts w:hint="eastAsia" w:ascii="Arial" w:hAnsi="Arial" w:cs="Arial"/>
                <w:color w:val="000000"/>
                <w:sz w:val="21"/>
                <w:szCs w:val="21"/>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望城特色智慧应用</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1400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2400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2400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智慧城市运营中心</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1400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5600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5600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新型基础设施</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600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1,800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2800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标准规范体系</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150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350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500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500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安全保障体系</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300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1600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智慧水利</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400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600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600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color w:val="000000"/>
                <w:sz w:val="21"/>
                <w:szCs w:val="21"/>
              </w:rPr>
            </w:pPr>
            <w:r>
              <w:rPr>
                <w:rFonts w:ascii="Arial" w:hAnsi="Arial" w:cs="Arial"/>
                <w:color w:val="000000"/>
                <w:sz w:val="21"/>
                <w:szCs w:val="21"/>
              </w:rPr>
              <w:t>智慧园区</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1150</w:t>
            </w:r>
          </w:p>
        </w:tc>
        <w:tc>
          <w:tcPr>
            <w:tcW w:w="1454"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200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800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500</w:t>
            </w:r>
          </w:p>
        </w:tc>
        <w:tc>
          <w:tcPr>
            <w:tcW w:w="1460"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1,000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3650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3650</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财政预算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531" w:type="dxa"/>
            <w:shd w:val="clear" w:color="000000" w:fill="FFFFFF"/>
            <w:vAlign w:val="center"/>
          </w:tcPr>
          <w:p>
            <w:pPr>
              <w:jc w:val="center"/>
              <w:rPr>
                <w:rFonts w:ascii="Arial" w:hAnsi="Arial" w:cs="Arial"/>
                <w:b/>
                <w:bCs/>
                <w:color w:val="000000"/>
                <w:sz w:val="21"/>
                <w:szCs w:val="21"/>
              </w:rPr>
            </w:pPr>
            <w:r>
              <w:rPr>
                <w:rFonts w:ascii="Arial" w:hAnsi="Arial" w:cs="Arial"/>
                <w:b/>
                <w:bCs/>
                <w:color w:val="000000"/>
                <w:sz w:val="21"/>
                <w:szCs w:val="21"/>
              </w:rPr>
              <w:t>汇总</w:t>
            </w:r>
          </w:p>
        </w:tc>
        <w:tc>
          <w:tcPr>
            <w:tcW w:w="1454"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21,151</w:t>
            </w:r>
          </w:p>
        </w:tc>
        <w:tc>
          <w:tcPr>
            <w:tcW w:w="1454"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36,300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15,900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7,300</w:t>
            </w:r>
          </w:p>
        </w:tc>
        <w:tc>
          <w:tcPr>
            <w:tcW w:w="1460"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10,300</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90,951</w:t>
            </w:r>
          </w:p>
        </w:tc>
        <w:tc>
          <w:tcPr>
            <w:tcW w:w="1455" w:type="dxa"/>
            <w:shd w:val="clear" w:color="auto" w:fill="auto"/>
            <w:vAlign w:val="center"/>
          </w:tcPr>
          <w:p>
            <w:pPr>
              <w:jc w:val="center"/>
              <w:rPr>
                <w:rFonts w:ascii="Arial" w:hAnsi="Arial" w:cs="Arial"/>
                <w:b/>
                <w:bCs/>
                <w:color w:val="000000"/>
                <w:sz w:val="21"/>
                <w:szCs w:val="21"/>
              </w:rPr>
            </w:pPr>
            <w:r>
              <w:rPr>
                <w:rFonts w:ascii="Arial" w:hAnsi="Arial" w:cs="Arial"/>
                <w:b/>
                <w:bCs/>
                <w:color w:val="000000"/>
                <w:sz w:val="21"/>
                <w:szCs w:val="21"/>
              </w:rPr>
              <w:t>90,951</w:t>
            </w:r>
          </w:p>
        </w:tc>
        <w:tc>
          <w:tcPr>
            <w:tcW w:w="1455" w:type="dxa"/>
            <w:shd w:val="clear" w:color="auto" w:fill="auto"/>
            <w:vAlign w:val="center"/>
          </w:tcPr>
          <w:p>
            <w:pPr>
              <w:jc w:val="center"/>
              <w:rPr>
                <w:rFonts w:ascii="Arial" w:hAnsi="Arial" w:cs="Arial"/>
                <w:color w:val="000000"/>
                <w:sz w:val="21"/>
                <w:szCs w:val="21"/>
              </w:rPr>
            </w:pPr>
            <w:r>
              <w:rPr>
                <w:rFonts w:ascii="Arial" w:hAnsi="Arial" w:cs="Arial"/>
                <w:color w:val="000000"/>
                <w:sz w:val="21"/>
                <w:szCs w:val="21"/>
              </w:rPr>
              <w:t>　</w:t>
            </w:r>
          </w:p>
        </w:tc>
      </w:tr>
    </w:tbl>
    <w:p>
      <w:pPr>
        <w:rPr>
          <w:rFonts w:ascii="Arial" w:hAnsi="Arial" w:cs="Arial"/>
        </w:rPr>
      </w:pPr>
    </w:p>
    <w:p>
      <w:pPr>
        <w:rPr>
          <w:rFonts w:ascii="Arial" w:hAnsi="Arial" w:cs="Arial"/>
        </w:rPr>
      </w:pPr>
      <w:r>
        <w:rPr>
          <w:rFonts w:ascii="Arial" w:hAnsi="Arial" w:cs="Arial"/>
        </w:rPr>
        <w:br w:type="page"/>
      </w:r>
    </w:p>
    <w:p>
      <w:pPr>
        <w:pStyle w:val="2"/>
        <w:numPr>
          <w:ilvl w:val="0"/>
          <w:numId w:val="0"/>
        </w:numPr>
        <w:rPr>
          <w:rFonts w:ascii="Arial" w:hAnsi="Arial" w:eastAsia="仿宋" w:cs="Arial"/>
          <w:sz w:val="24"/>
          <w:szCs w:val="24"/>
        </w:rPr>
      </w:pPr>
      <w:bookmarkStart w:id="163" w:name="_Toc78041486"/>
      <w:r>
        <w:rPr>
          <w:rFonts w:hint="eastAsia" w:ascii="Arial" w:hAnsi="Arial" w:eastAsia="仿宋" w:cs="Arial"/>
          <w:sz w:val="24"/>
          <w:szCs w:val="24"/>
        </w:rPr>
        <w:t xml:space="preserve">附录二 </w:t>
      </w:r>
      <w:r>
        <w:rPr>
          <w:rFonts w:ascii="Arial" w:hAnsi="Arial" w:eastAsia="仿宋" w:cs="Arial"/>
          <w:sz w:val="24"/>
          <w:szCs w:val="24"/>
        </w:rPr>
        <w:t>重大项目表</w:t>
      </w:r>
      <w:bookmarkEnd w:id="163"/>
    </w:p>
    <w:tbl>
      <w:tblPr>
        <w:tblStyle w:val="42"/>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447"/>
        <w:gridCol w:w="547"/>
        <w:gridCol w:w="547"/>
        <w:gridCol w:w="1181"/>
        <w:gridCol w:w="5204"/>
        <w:gridCol w:w="804"/>
        <w:gridCol w:w="953"/>
        <w:gridCol w:w="1095"/>
        <w:gridCol w:w="547"/>
        <w:gridCol w:w="1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blHeader/>
        </w:trPr>
        <w:tc>
          <w:tcPr>
            <w:tcW w:w="668" w:type="dxa"/>
            <w:shd w:val="clear" w:color="000000" w:fill="FFFFFF"/>
            <w:vAlign w:val="center"/>
          </w:tcPr>
          <w:p>
            <w:pPr>
              <w:jc w:val="center"/>
              <w:rPr>
                <w:rFonts w:ascii="Arial" w:hAnsi="Arial" w:eastAsia="仿宋" w:cs="Arial"/>
                <w:color w:val="000000"/>
              </w:rPr>
            </w:pPr>
            <w:r>
              <w:rPr>
                <w:rFonts w:ascii="Arial" w:hAnsi="Arial" w:eastAsia="仿宋" w:cs="Arial"/>
                <w:color w:val="000000"/>
              </w:rPr>
              <w:t>所属领域</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项目名称</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建设性质</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建设地点</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项目建设主体</w:t>
            </w: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主要建设内容和规模</w:t>
            </w:r>
          </w:p>
        </w:tc>
        <w:tc>
          <w:tcPr>
            <w:tcW w:w="804" w:type="dxa"/>
            <w:shd w:val="clear" w:color="auto" w:fill="auto"/>
            <w:vAlign w:val="center"/>
          </w:tcPr>
          <w:p>
            <w:pPr>
              <w:jc w:val="center"/>
              <w:rPr>
                <w:rFonts w:ascii="Arial" w:hAnsi="Arial" w:eastAsia="仿宋" w:cs="Arial"/>
                <w:color w:val="000000"/>
              </w:rPr>
            </w:pPr>
            <w:r>
              <w:rPr>
                <w:rFonts w:hint="eastAsia" w:ascii="Arial" w:hAnsi="Arial" w:eastAsia="仿宋" w:cs="Arial"/>
                <w:color w:val="000000"/>
              </w:rPr>
              <w:t>投资</w:t>
            </w:r>
            <w:r>
              <w:rPr>
                <w:rFonts w:ascii="Arial" w:hAnsi="Arial" w:eastAsia="仿宋" w:cs="Arial"/>
                <w:color w:val="000000"/>
              </w:rPr>
              <w:t>年份</w:t>
            </w:r>
          </w:p>
        </w:tc>
        <w:tc>
          <w:tcPr>
            <w:tcW w:w="953" w:type="dxa"/>
            <w:shd w:val="clear" w:color="auto" w:fill="auto"/>
            <w:vAlign w:val="center"/>
          </w:tcPr>
          <w:p>
            <w:pPr>
              <w:jc w:val="center"/>
              <w:rPr>
                <w:rFonts w:ascii="Arial" w:hAnsi="Arial" w:eastAsia="仿宋" w:cs="Arial"/>
                <w:color w:val="000000"/>
              </w:rPr>
            </w:pPr>
            <w:r>
              <w:rPr>
                <w:rFonts w:ascii="Arial" w:hAnsi="Arial" w:eastAsia="仿宋" w:cs="Arial"/>
                <w:color w:val="000000"/>
              </w:rPr>
              <w:t>总投资（万元）</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w:t>
            </w:r>
            <w:r>
              <w:rPr>
                <w:rFonts w:ascii="Arial" w:hAnsi="Arial" w:eastAsia="仿宋" w:cs="Arial"/>
                <w:color w:val="000000"/>
              </w:rPr>
              <w:t>十四五</w:t>
            </w:r>
            <w:r>
              <w:rPr>
                <w:rFonts w:ascii="Arial" w:hAnsi="Arial" w:eastAsia="等线" w:cs="Arial"/>
                <w:color w:val="000000"/>
              </w:rPr>
              <w:t>”</w:t>
            </w:r>
            <w:r>
              <w:rPr>
                <w:rFonts w:ascii="Arial" w:hAnsi="Arial" w:eastAsia="仿宋" w:cs="Arial"/>
                <w:color w:val="000000"/>
              </w:rPr>
              <w:t>计划投资（万元）</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资金来源</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申报单位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民生融合</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望事通APP</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c>
          <w:tcPr>
            <w:tcW w:w="5204"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整合资讯、新闻、服务、办事等</w:t>
            </w:r>
            <w:r>
              <w:rPr>
                <w:rFonts w:ascii="Arial" w:hAnsi="Arial" w:eastAsia="仿宋" w:cs="Arial"/>
                <w:color w:val="000000"/>
              </w:rPr>
              <w:t>APP、小程序服务资源，建设望事通APP，打造面向群众的统一服务门户，运用大数据分析服务运行情况，为政府流程优化、群众服务精细化提供支撑。</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望事通APP</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vMerge w:val="continue"/>
            <w:vAlign w:val="center"/>
          </w:tcPr>
          <w:p>
            <w:pPr>
              <w:rPr>
                <w:rFonts w:ascii="Arial" w:hAnsi="Arial" w:eastAsia="仿宋" w:cs="Arial"/>
                <w:color w:val="000000"/>
              </w:rPr>
            </w:pP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智慧政务</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基于“一窗式”的服务大厅改造</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望城</w:t>
            </w:r>
            <w:r>
              <w:rPr>
                <w:rFonts w:ascii="Arial" w:hAnsi="Arial" w:eastAsia="仿宋" w:cs="Arial"/>
                <w:color w:val="000000"/>
              </w:rPr>
              <w:t>区</w:t>
            </w:r>
            <w:r>
              <w:rPr>
                <w:rFonts w:hint="eastAsia" w:ascii="Arial" w:hAnsi="Arial" w:eastAsia="仿宋" w:cs="Arial"/>
                <w:color w:val="000000"/>
              </w:rPr>
              <w:t>行政审批服务局</w:t>
            </w: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根据长沙市对“互联网+政务服务”一体化平台建设的统一部署，进一步优化事项办理环节，缩短办事时限和跑腿次数，提高窗口工作人员的智能化配置和业务水平，逐步实现“一窗”受理所有事项</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望城</w:t>
            </w:r>
            <w:r>
              <w:rPr>
                <w:rFonts w:ascii="Arial" w:hAnsi="Arial" w:eastAsia="仿宋" w:cs="Arial"/>
                <w:color w:val="000000"/>
              </w:rPr>
              <w:t>区</w:t>
            </w:r>
            <w:r>
              <w:rPr>
                <w:rFonts w:hint="eastAsia" w:ascii="Arial" w:hAnsi="Arial" w:eastAsia="仿宋" w:cs="Arial"/>
                <w:color w:val="000000"/>
              </w:rPr>
              <w:t>行政审批服务局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绩效考核系统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在落实行政权力运行制度的基础上，按照考评体系完善、考评办法合理、评分方法科学的要求，形成计划、实施、评估、反馈、奖惩相结合的绩效考核系统，对行政机关及其公务员的政策执行情况、工作量、工作态度、工作完成情况、公众满意度等进行科学的监督管理和考评。</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辅助智能应用系统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使用人工智能、区块链等先进技术，进一步促进高效政务服务和良好服务体验。使用人工智能、区块链等先进技术应用到审批流程中的预审环节，人工智能自动预审代替人工预审，提升预审效率，缩短审批周期。应用到智能客服和12345热线的智能分单和答复等环节，建设政务知识图库，提供精准信息应答，提升民众获取政务信息的良好互动体验</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hint="eastAsia" w:ascii="Arial" w:hAnsi="Arial" w:eastAsia="仿宋" w:cs="Arial"/>
                <w:color w:val="000000"/>
              </w:rPr>
              <w:t>政务协同办公平台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Align w:val="center"/>
          </w:tcPr>
          <w:p>
            <w:pPr>
              <w:rPr>
                <w:rFonts w:ascii="Arial" w:hAnsi="Arial" w:eastAsia="仿宋" w:cs="Arial"/>
                <w:color w:val="000000"/>
              </w:rPr>
            </w:pPr>
            <w:r>
              <w:rPr>
                <w:rFonts w:hint="eastAsia" w:ascii="Arial" w:hAnsi="Arial" w:eastAsia="仿宋" w:cs="Arial"/>
                <w:color w:val="000000"/>
              </w:rPr>
              <w:t>望城区数据资源中心</w:t>
            </w:r>
          </w:p>
        </w:tc>
        <w:tc>
          <w:tcPr>
            <w:tcW w:w="5204" w:type="dxa"/>
            <w:shd w:val="clear" w:color="auto" w:fill="auto"/>
            <w:vAlign w:val="center"/>
          </w:tcPr>
          <w:p>
            <w:pPr>
              <w:jc w:val="center"/>
              <w:rPr>
                <w:rFonts w:ascii="Arial" w:hAnsi="Arial" w:eastAsia="仿宋" w:cs="Arial"/>
                <w:color w:val="000000"/>
              </w:rPr>
            </w:pPr>
            <w:r>
              <w:rPr>
                <w:rFonts w:hint="eastAsia" w:ascii="Arial" w:hAnsi="Arial" w:eastAsia="仿宋" w:cs="Arial"/>
                <w:color w:val="000000"/>
              </w:rPr>
              <w:t>加强协同办公、信息报送、督察督办等非涉密政务工作电子化、数字化、移动化支撑，实现政府运行、管理和服务的流程再造、模式创新和效率提升。建立数字化协同办公平台，推进各级各部门业务实现安全无缝协同，打造一体化政府。</w:t>
            </w:r>
          </w:p>
        </w:tc>
        <w:tc>
          <w:tcPr>
            <w:tcW w:w="804" w:type="dxa"/>
            <w:shd w:val="clear" w:color="auto" w:fill="auto"/>
            <w:vAlign w:val="center"/>
          </w:tcPr>
          <w:p>
            <w:pPr>
              <w:jc w:val="center"/>
              <w:rPr>
                <w:rFonts w:ascii="Arial" w:hAnsi="Arial" w:eastAsia="等线" w:cs="Arial"/>
                <w:color w:val="000000"/>
              </w:rPr>
            </w:pPr>
            <w:r>
              <w:rPr>
                <w:rFonts w:hint="eastAsia" w:ascii="Arial" w:hAnsi="Arial" w:eastAsia="等线" w:cs="Arial"/>
                <w:color w:val="000000"/>
              </w:rPr>
              <w:t>2</w:t>
            </w:r>
            <w:r>
              <w:rPr>
                <w:rFonts w:ascii="Arial" w:hAnsi="Arial" w:eastAsia="等线" w:cs="Arial"/>
                <w:color w:val="000000"/>
              </w:rPr>
              <w:t>022</w:t>
            </w:r>
          </w:p>
        </w:tc>
        <w:tc>
          <w:tcPr>
            <w:tcW w:w="953" w:type="dxa"/>
            <w:shd w:val="clear" w:color="auto" w:fill="auto"/>
            <w:vAlign w:val="center"/>
          </w:tcPr>
          <w:p>
            <w:pPr>
              <w:jc w:val="center"/>
              <w:rPr>
                <w:rFonts w:ascii="Arial" w:hAnsi="Arial" w:eastAsia="等线" w:cs="Arial"/>
                <w:color w:val="000000"/>
              </w:rPr>
            </w:pPr>
            <w:r>
              <w:rPr>
                <w:rFonts w:hint="eastAsia" w:ascii="Arial" w:hAnsi="Arial" w:eastAsia="等线" w:cs="Arial"/>
                <w:color w:val="000000"/>
              </w:rPr>
              <w:t>3</w:t>
            </w:r>
            <w:r>
              <w:rPr>
                <w:rFonts w:ascii="Arial" w:hAnsi="Arial" w:eastAsia="等线" w:cs="Arial"/>
                <w:color w:val="000000"/>
              </w:rPr>
              <w:t>50</w:t>
            </w:r>
          </w:p>
        </w:tc>
        <w:tc>
          <w:tcPr>
            <w:tcW w:w="1095" w:type="dxa"/>
            <w:shd w:val="clear" w:color="auto" w:fill="auto"/>
            <w:vAlign w:val="center"/>
          </w:tcPr>
          <w:p>
            <w:pPr>
              <w:jc w:val="center"/>
              <w:rPr>
                <w:rFonts w:ascii="Arial" w:hAnsi="Arial" w:eastAsia="等线" w:cs="Arial"/>
                <w:color w:val="000000"/>
              </w:rPr>
            </w:pPr>
            <w:r>
              <w:rPr>
                <w:rFonts w:hint="eastAsia" w:ascii="Arial" w:hAnsi="Arial" w:eastAsia="等线" w:cs="Arial"/>
                <w:color w:val="000000"/>
              </w:rPr>
              <w:t>3</w:t>
            </w:r>
            <w:r>
              <w:rPr>
                <w:rFonts w:ascii="Arial" w:hAnsi="Arial" w:eastAsia="等线" w:cs="Arial"/>
                <w:color w:val="000000"/>
              </w:rPr>
              <w:t>50</w:t>
            </w:r>
          </w:p>
        </w:tc>
        <w:tc>
          <w:tcPr>
            <w:tcW w:w="547" w:type="dxa"/>
            <w:vAlign w:val="center"/>
          </w:tcPr>
          <w:p>
            <w:pPr>
              <w:rPr>
                <w:rFonts w:ascii="Arial" w:hAnsi="Arial" w:eastAsia="仿宋" w:cs="Arial"/>
                <w:color w:val="000000"/>
              </w:rPr>
            </w:pPr>
            <w:r>
              <w:rPr>
                <w:rFonts w:hint="eastAsia" w:ascii="Arial" w:hAnsi="Arial" w:eastAsia="仿宋" w:cs="Arial"/>
                <w:color w:val="000000"/>
              </w:rPr>
              <w:t>财政预算</w:t>
            </w:r>
          </w:p>
        </w:tc>
        <w:tc>
          <w:tcPr>
            <w:tcW w:w="1181" w:type="dxa"/>
            <w:vAlign w:val="center"/>
          </w:tcPr>
          <w:p>
            <w:pPr>
              <w:rPr>
                <w:rFonts w:ascii="Arial" w:hAnsi="Arial" w:eastAsia="仿宋" w:cs="Arial"/>
                <w:color w:val="000000"/>
              </w:rPr>
            </w:pPr>
            <w:r>
              <w:rPr>
                <w:rFonts w:hint="eastAsia"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智慧教育</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教育资源共享与质量评测系统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望城区教育局</w:t>
            </w: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依托望城区大数据平台的共享交换能力，加强望城智慧教育与长沙市级教育云、教育强区优质资源的共享。实现望城区内各类教育机构资源共享流通，打造师生创新教学应用、学生个性化学习档案、知识点及能力评测等模块，构建教育信息化教学闭环，实现针对性教学、个性化学习</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社会投资</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等线" w:cs="Arial"/>
                <w:color w:val="000000"/>
              </w:rPr>
            </w:pPr>
            <w:r>
              <w:rPr>
                <w:rFonts w:ascii="Arial" w:hAnsi="Arial" w:eastAsia="等线" w:cs="Arial"/>
                <w:color w:val="000000"/>
              </w:rPr>
              <w:t>“</w:t>
            </w:r>
            <w:r>
              <w:rPr>
                <w:rFonts w:ascii="Arial" w:hAnsi="Arial" w:eastAsia="仿宋" w:cs="Arial"/>
                <w:color w:val="000000"/>
              </w:rPr>
              <w:t>三通两平台</w:t>
            </w:r>
            <w:r>
              <w:rPr>
                <w:rFonts w:ascii="Arial" w:hAnsi="Arial" w:eastAsia="等线" w:cs="Arial"/>
                <w:color w:val="000000"/>
              </w:rPr>
              <w:t>”</w:t>
            </w:r>
            <w:r>
              <w:rPr>
                <w:rFonts w:ascii="Arial" w:hAnsi="Arial" w:eastAsia="仿宋" w:cs="Arial"/>
                <w:color w:val="000000"/>
              </w:rPr>
              <w:t>升级</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利用现有教育网基础，围绕建网、建库、建队伍、建机制，以“三通两平台”（宽带网络校校通、数字资源班班通、学习空间人人通，教学资源公共服务平台、教育管理公共服务平台）建设为抓手、完善基础环境建设、实现数字校园</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高考一站式服务</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利用信息化手段、做好新高考“3+1+2”实施,直面高中“选科难、管理难、评价难”的核心问题，平台设计需要在长沙市教育局统筹安排与具体指导下，为校方提供全方位、一站式新高考解决方案，帮助教育局和学校构建适合的新高考实施蓝图</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网络学习中心</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积极推动“专递课堂”建设，巩固深化“教学点数字教育资源全覆盖”项目成果，推广“一校带多点、一校带多校”的教学和教研组织模式，逐步使依托信息技术的“优质学校带薄弱学校、优秀教师带普通教师”模式制度化</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700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700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三位一体教研模式</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结合教育信息化2.0要求，新建设支撑市、区、县均衡发展的教师网络研修与培训系统，具备国内教育成果先进区域的优质资源的传播与共享，支持网络协作教学与互动指导，支持教师网络研修与培训等功能，推广“强校带弱校，中心校带分校”的教学组织模式</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大数据可视化管理</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与实现适合学校特色的智慧发展模型，在智慧教育中新建大数据决策分析系统，实现学校内各种教学数据的汇聚，结合深度的大数据专项决策分析和挖掘技术，进行动态数据分析与诊断评价，即时反馈结果，向全校教师、学生和管理者提供科学、准确、详实的多维分析报告，为精准教学提供数据支撑，最终实现“以学定教”</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信息化基础设施建设（含改造升级）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续建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　</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信息化基础设施建设（含改造升级）　</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9000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9000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区教育局中平台建设</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　</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区教育局中平台建设</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人工智能教育等特色应用场景搭建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　</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人工智能教育等特色应用场景搭建</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信息系统运维等保工作</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　</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信息系统运维等保工作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智慧教育优化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对以上建设成果进行升级优化工作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智慧医疗</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医疗主题数据库</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望城区卫生健康局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依托长沙市“智慧医疗”主题库，建设望城区人口、电子健康档案和电子病历、卫生健康信息资源库四大数据库建设</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547"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社会投资</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望城区卫生健康局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分级诊疗平台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充分发挥互联网、大数据等信息技术作用，助推分级诊疗，构建分级诊疗平台，提升医疗服务能力，全面开展分级诊疗工作，建立完善分级诊疗模式，建立不同级别医院之间，医院与基层医疗卫生机构之间的分工协作机制，促进优质医疗资源下沉到基层</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区域医共体建设</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以望城区人民医院、望城区妇幼为龙头、乡镇卫生院为枢纽、村卫生室为基础的区乡一体化管理，与乡村一体化有效衔接，形成区乡村三级医疗卫生机构分工协作机制</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智慧医疗优化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对以上建设成果进行升级优化工作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等线" w:cs="Arial"/>
                <w:color w:val="000000"/>
              </w:rPr>
            </w:pPr>
            <w:r>
              <w:rPr>
                <w:rFonts w:ascii="Arial" w:hAnsi="Arial" w:eastAsia="仿宋" w:cs="Arial"/>
                <w:color w:val="000000"/>
              </w:rPr>
              <w:t>智慧医疗板块完善升级</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进一步完善“</w:t>
            </w:r>
            <w:r>
              <w:rPr>
                <w:rFonts w:hint="eastAsia" w:ascii="Arial" w:hAnsi="Arial" w:eastAsia="仿宋" w:cs="Arial"/>
                <w:color w:val="000000"/>
              </w:rPr>
              <w:t>望事通</w:t>
            </w:r>
            <w:r>
              <w:rPr>
                <w:rFonts w:ascii="Arial" w:hAnsi="Arial" w:eastAsia="仿宋" w:cs="Arial"/>
                <w:color w:val="000000"/>
              </w:rPr>
              <w:t>APP”智慧医疗板块功能，搭建基于望城区人民医院的望城区远程会诊中心，通过与基层农卫系统对接，覆盖望城区内基层医疗机构的远程业务，实现区域内基层医疗的均等化服务；通过APP建立与省市级医院专家团队的远程对接，在区内基层医院可以享受省市级专家的远程诊断，提高我区基层医疗服务能力；通过系统建立医疗、医保、银行之间的通路，使用“健康望城”服务号在全区医疗机构的门诊、住院结算中，率先全省可选择医保个人账户资金进行医疗费用支付。</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160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160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shd w:val="clear" w:color="000000" w:fill="FFFFFF"/>
            <w:vAlign w:val="center"/>
          </w:tcPr>
          <w:p>
            <w:pPr>
              <w:jc w:val="center"/>
              <w:rPr>
                <w:rFonts w:ascii="Arial" w:hAnsi="Arial" w:eastAsia="仿宋" w:cs="Arial"/>
                <w:color w:val="000000"/>
              </w:rPr>
            </w:pPr>
            <w:r>
              <w:rPr>
                <w:rFonts w:ascii="Arial" w:hAnsi="Arial" w:eastAsia="仿宋" w:cs="Arial"/>
                <w:color w:val="000000"/>
              </w:rPr>
              <w:t>智慧社保</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智慧社保公共服务平台</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望城区人力资源和社会保障局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依托长沙市人社业务一体化平台，建设智慧社保公共服务平台，为用户提供人社服务的查询和办事指南等服务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智慧养老</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机构养老服务平台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望城区民政局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借助专业软件建设覆盖全区、统筹城乡、高效互动的机构养老服务管理系统，帮助政府主管部门实现对养老机构进行有效的行政管理，提高运营效率和养老服务质量</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社区养老服务平台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立和完善涵盖区、乡、社区（村）三级的社区居家养老服务网络，包括居家养老信息化服务系统、养老服务呼叫中心组成的智能化养老应用平台，以及应急救援、生活照料、电子商务等智能化养老服务网络，开发应用智能终端和养老服务APP应用等，并整合社区内各种养老服务资源</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智慧城建</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建设工程全过程监控系统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望城区住房和城乡建设局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工程项目为主线，结合时空信息服务平台，引入建筑信息模型（BIM），集成施工现场IoT感知设施数据，如视频监控、闸机控制、塔吊监控、环境监测等，实现从建设工程审核到施工质量、安全生产、施工现场的全过程智能化动态监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望城区住房和城乡建设局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公共住房服务</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梳理权责清单，开放公共住房服务相关接口，将面向民生的公共住房服务统一接入政务平台，实现公共住房服务融入政务一窗平台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望城区地下管线普查和地下管线综合信息</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建立管网二维、三维GIS系统，针对给水、排水、燃气、电力、电信数据分别设置专题管网数据集和应用系统，功能可包括管网数据在线编辑管理、开挖申报审批善后登记管理、日常维护检修管理、模拟运行、隐患（设备老化、疏于维护）管理、异常问题快速定位、异常情况影响范围和破坏性分析、预案和应急指挥管理</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大数据分析应用系统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梳理和定义围绕工程项目、房源、申请人、工程施工许可、房屋、危险边坡、渣土受纳场、建筑工地等对象的数据服务及公共能力，结合大数据分析对施工企业、从业人员和建筑工地“360度画像”，为其他相关行业应用提供辅助决策支撑</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智慧应急</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智慧应急</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望城区应急管理局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将长沙市综合指挥信息系统、望城北斗+公共安全综合监测预警平台、湖南省森林防灭火管理系统、望城区12119森林火灾报警系统、应急部视频会商调度系统、事故直报系统、望城区安全生产隐患排查治理信息系统、重大危险源监控平台（在建）等纳入智慧应急板块。</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构建全链条综合监管能力</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望城区应急管理局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针对已识别的各级各类隐患信息，管理者根据隐患类型、等级、影响等因素，给出隐患消除的指导意见和督查意见；相关单位根据管理者意见尽快开展隐患治理工作，将督查反馈记录在系统中（考虑实现相关系统消隐结果数据的接入），系统根据消隐信息更新督查状态；构造涵盖公共安全事件管理事前、事中、事后各业务流程的综合管理平台，实现所有业务流程可视化管理，做到准备充分、任务明确、流程清晰、处置高效、过程可监督、效果可评估、绩效可考核、责任可界定，形成应急管理业务闭环</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构建应急资源全面掌握的能力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构造涵盖公共安全事件管理事前、事中、事后各业务流程的综合管理平台，实现所有业务流程可视化管理，做到准备充分、任务明确、流程清晰、处置高效、过程可监督、效果可评估、绩效可考核、责任可界定，形成应急管理业务闭环</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构建突发事件处置融合指挥能力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建立危险源运行体征监控模型，实现资源整合、信息聚合、平台对接，监测危险源实时状态，推动应急管理由事后处置向事前防范、事前化解、事前管控转变，由单向应急管理向协同联动转变</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构建数字化预案管理能力</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实现应急预案编制流程和预案备案的信息化处理，预案结构化处理，对各级各类应急预案的多维查询和基于图表的统计分析，针对常发事件的预案操作手册的制定；可有效提高预案编制和预案备案的管理水平，提高对预案内容的检索效率，辅助应急人员掌握各级各类应急预案及其数量和分布情况</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构建现场移动指挥，数据采集的移动应急能力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针对不同的模拟演练目标，根据不同的阶段、场景，结合数字预案、数字案例、数字处置方案、数字知识、数字流程等，通过构建灾害场景，多方协同参演，以二维GIS、三维仿真等为主要展现方式，实现面对危机与灾害时的预案、处置方案的推演，实现对事件处置过程的模拟演练</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构建基于“GIS一张图”的可视化管理、决策和指挥能力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危机与灾害管理中，应急资源底数不清，突发事件隐患及风险情况不明，救援力量分布不详，现场信息错综复杂成为突发事件处置的一个“瓶颈”。通过一张图可视化能力的建设，综合各类应急信息资源，为指挥员科学有效应对突发事件提供强有力数据支撑服务，辅助应急科学决策、快速指挥，最终实现“图上监测隐患、图上管理资源、图上智能分析、图上视频会商、图上指挥调度”的最终效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构建跨部门联动协调能力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构建跨部门联动协调能力，支持跨部门的应急工作协同和联动调度；支持多部门间的应急信息、应急任务和其他数据的流转，最终实现跨部门的协同工作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构建精细化应急辅助决策能力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当突发事件发生时，应急响应平台提供历史参考、当前现场信息和未来趋势判定三个方面的决策手段为指挥官提供智能辅助决策支撑，并最终结合这三个方面生成包括指挥方案、救援方案、保障方案、工作方案、预案数字化、需求估算、方案要素管理、方案管理等一系列智能决策方案</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构建多体征监测与智能分析能力</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地理空间技术为基础，紧密结合联动指挥实战需求，集空间分析技术、智能预案技术、网络技术、数据仓库技术于一体，具有应急资源信息查询和档案管理等多种综合管理功能，将大数据统一平台信息网络和通信系统接入</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构建模拟演练能力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移动应急平台是政府应急平台的重要组成部分，满足突发事件现场应急指挥工作的需要</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智慧交通</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望城交警大队指挥管控中心</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建设指挥管控中心，满足交通管理业务上的需要，包括综合显示系统、数据处理与存储系统及基础配套系统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交通信号控制系统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新建及改造交通信号控制机及交叉路口交通信号灯，缓解目前望城市路口拥堵状况，减轻路面执勤交警的压力</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三高管理系统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建设高危路段、高危人群和高危车辆管理系统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智能运维一体化管理系统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为全区设施运维提供一个智能化、流程化、自动化、可视化的集中、统一、高效、个性化的管理门户平台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智慧交通（二期）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续建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　基于智慧交通一期项目扩容前端感知系统扩容，实现望城区主城区路口智能信控、高清电子警察、电视监控覆盖率达100%。深化平台系统功能，深化大数据应用，为交通管理疏堵保畅、交通安全防控、综合考评、道路交通态势研判提供全面、精准的交通情报支撑，为政府交通管理宏观调控、路网规划、限行限号等提供辅助决策依据。</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68" w:type="dxa"/>
            <w:shd w:val="clear" w:color="000000" w:fill="FFFFFF"/>
            <w:vAlign w:val="center"/>
          </w:tcPr>
          <w:p>
            <w:pPr>
              <w:jc w:val="center"/>
              <w:rPr>
                <w:rFonts w:ascii="Arial" w:hAnsi="Arial" w:eastAsia="仿宋" w:cs="Arial"/>
                <w:color w:val="000000"/>
              </w:rPr>
            </w:pPr>
            <w:r>
              <w:rPr>
                <w:rFonts w:ascii="Arial" w:hAnsi="Arial" w:eastAsia="仿宋" w:cs="Arial"/>
                <w:color w:val="000000"/>
              </w:rPr>
              <w:t>雪亮工程</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公共安全视频监控应用</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　</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健全区级、乡镇街道、村/社区三级视频监控联网应用工作，动员基层干部群众积极参与辖区、小区视频图像监看</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社会治理</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网格化治理一张图</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望城区社会治理服务中心</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依托长沙市网格化平台标准规范，基于望城区区域划分实际情况，在望城区划分统一的网格单元，网格的主要职能包括收集基础信息、管理监督巡查、反映群众需求、发现报告问题、排查化解矛盾、协助解决问题、动员公众参与等</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望城区社会治理服务中心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全民监督服务网络</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推进平台与</w:t>
            </w:r>
            <w:r>
              <w:rPr>
                <w:rFonts w:hint="eastAsia" w:ascii="Arial" w:hAnsi="Arial" w:eastAsia="仿宋" w:cs="Arial"/>
              </w:rPr>
              <w:t>望事通</w:t>
            </w:r>
            <w:r>
              <w:rPr>
                <w:rFonts w:ascii="Arial" w:hAnsi="Arial" w:eastAsia="仿宋" w:cs="Arial"/>
              </w:rPr>
              <w:t>APP</w:t>
            </w:r>
            <w:r>
              <w:rPr>
                <w:rFonts w:ascii="Arial" w:hAnsi="Arial" w:eastAsia="仿宋" w:cs="Arial"/>
                <w:color w:val="000000"/>
              </w:rPr>
              <w:t>、12345热线等系统对接，鼓励市民通过手机客户端等方式举报各类城市、社会治理问题，提高公众参与度和社会监督面，逐步形成全社会共同参与、多部门协作的开放式网格管理体系</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社会治理优化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升级优化社会治理工作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1200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智慧城管</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智慧环卫系统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以助力“打好污染防治攻坚战、打赢蓝天保卫战”为工作目标，运用现代化信息技术手段，对环卫人员、环卫设施、环卫作业车辆、环卫问题事件以及监督考核等环卫管理要素进行全面融</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城管智慧执法系统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规范执法程序和行为，将地理信息、音视频与执法过程有效结合，实现执法过程透明公开，建立和完善业务部门管理与综合执法信息衔接制度，提升城管执法信息化水平，提高综合执法效率</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违法建设智能比对系统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通过对无人机采集的大量影像数据进行深度学习，并结合卫星地图，提取建筑物模型，利用GIS空间分析算法，分别完成特征提取和变化对比，发现疑似违建智能预警，极大提高违建问题发现效率</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视频智能管控系统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整合、对接望城区各部门已有视频监控资源，运用人工智能和大数据分析技术，对设置的监控区域实行24小时动态实时监控检测，对监控区域内的违规类型进行实时的检测报警</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智慧市政系统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以保障城市“路平、灯亮、水通”为目标，运用物联感知技术，实现对道路、照明、桥梁、排水、供水、供气等市政设施日常管理养护的在线监测、智能告警、高效派遣、长效考核</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智慧园林绿化系统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整合城市管理资源，全面、及时、准确地掌握园林绿化基础数据实现对城市公园、各类绿地、古树名木、绿化设施、园林绿化养护工作的信息化、标准化、动态化管理，对养护企业、车辆、人员实行动态监控，并提供城市园林覆盖整体分析、园林绿化预警分析、公园覆盖半径分析、园林绿化分级评价等辅助决策分析功能，提高城市园林绿化的智能化管理水平</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智慧渣管服务平台</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将望城区智慧渣管服务平台中的业务数据，接入长沙市智慧渣管服务平台，利用长沙市智慧渣管服务平台实现对望城区渣土工地、消纳场、车辆作业的监管。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41</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41</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垃圾分类全过程管理信息平台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垃圾分类硬件平台和软件系统，用于统计掌握全区各街镇总站垃圾回收量。十四五期间将搭建一个垃圾分类全过程管理信息平台，实现精准分类数据。　</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　</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违停处罚数据审核平台建设</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续建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　</w:t>
            </w:r>
          </w:p>
        </w:tc>
        <w:tc>
          <w:tcPr>
            <w:tcW w:w="5204" w:type="dxa"/>
            <w:shd w:val="clear" w:color="auto" w:fill="auto"/>
            <w:vAlign w:val="center"/>
          </w:tcPr>
          <w:p>
            <w:pPr>
              <w:rPr>
                <w:rFonts w:ascii="Arial" w:hAnsi="Arial" w:eastAsia="等线" w:cs="Arial"/>
                <w:color w:val="000000"/>
              </w:rPr>
            </w:pPr>
            <w:r>
              <w:rPr>
                <w:rFonts w:ascii="Arial" w:hAnsi="Arial" w:eastAsia="等线" w:cs="Arial"/>
                <w:color w:val="000000"/>
              </w:rPr>
              <w:t>1</w:t>
            </w:r>
            <w:r>
              <w:rPr>
                <w:rFonts w:ascii="Arial" w:hAnsi="Arial" w:eastAsia="仿宋" w:cs="Arial"/>
                <w:color w:val="000000"/>
              </w:rPr>
              <w:t>、对机动车辆处罚纳入交警</w:t>
            </w:r>
            <w:r>
              <w:rPr>
                <w:rFonts w:ascii="Arial" w:hAnsi="Arial" w:eastAsia="等线" w:cs="Arial"/>
                <w:color w:val="000000"/>
              </w:rPr>
              <w:t>“</w:t>
            </w:r>
            <w:r>
              <w:rPr>
                <w:rFonts w:ascii="Arial" w:hAnsi="Arial" w:eastAsia="仿宋" w:cs="Arial"/>
                <w:color w:val="000000"/>
              </w:rPr>
              <w:t>六合一</w:t>
            </w:r>
            <w:r>
              <w:rPr>
                <w:rFonts w:ascii="Arial" w:hAnsi="Arial" w:eastAsia="等线" w:cs="Arial"/>
                <w:color w:val="000000"/>
              </w:rPr>
              <w:t>”</w:t>
            </w:r>
            <w:r>
              <w:rPr>
                <w:rFonts w:ascii="Arial" w:hAnsi="Arial" w:eastAsia="仿宋" w:cs="Arial"/>
                <w:color w:val="000000"/>
              </w:rPr>
              <w:t>平台；</w:t>
            </w:r>
            <w:r>
              <w:rPr>
                <w:rFonts w:ascii="Arial" w:hAnsi="Arial" w:eastAsia="等线" w:cs="Arial"/>
                <w:color w:val="000000"/>
              </w:rPr>
              <w:t>2</w:t>
            </w:r>
            <w:r>
              <w:rPr>
                <w:rFonts w:ascii="Arial" w:hAnsi="Arial" w:eastAsia="仿宋" w:cs="Arial"/>
                <w:color w:val="000000"/>
              </w:rPr>
              <w:t>、提高对机动车辆违停处罚率</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　</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智慧停车管理平台建设</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　</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望城区城市管理和综合执法局　</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打造智慧停车管理平台，建设智慧停车场</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　</w:t>
            </w:r>
          </w:p>
        </w:tc>
        <w:tc>
          <w:tcPr>
            <w:tcW w:w="1181" w:type="dxa"/>
            <w:shd w:val="clear" w:color="auto" w:fill="auto"/>
            <w:vAlign w:val="center"/>
          </w:tcPr>
          <w:p>
            <w:pPr>
              <w:rPr>
                <w:rFonts w:ascii="Arial" w:hAnsi="Arial" w:eastAsia="仿宋" w:cs="Arial"/>
                <w:color w:val="000000"/>
              </w:rPr>
            </w:pPr>
            <w:r>
              <w:rPr>
                <w:rFonts w:ascii="Arial" w:hAnsi="Arial" w:eastAsia="仿宋" w:cs="Arial"/>
                <w:color w:val="000000"/>
              </w:rPr>
              <w:t>望城区城市管理和综合执法局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市场监管</w:t>
            </w:r>
          </w:p>
        </w:tc>
        <w:tc>
          <w:tcPr>
            <w:tcW w:w="1447" w:type="dxa"/>
            <w:shd w:val="clear" w:color="auto" w:fill="auto"/>
            <w:vAlign w:val="center"/>
          </w:tcPr>
          <w:p>
            <w:pPr>
              <w:jc w:val="center"/>
              <w:rPr>
                <w:rFonts w:ascii="Arial" w:hAnsi="Arial" w:eastAsia="等线" w:cs="Arial"/>
                <w:color w:val="000000"/>
              </w:rPr>
            </w:pPr>
            <w:r>
              <w:rPr>
                <w:rFonts w:ascii="Arial" w:hAnsi="Arial" w:eastAsia="等线" w:cs="Arial"/>
                <w:color w:val="000000"/>
              </w:rPr>
              <w:t>“</w:t>
            </w:r>
            <w:r>
              <w:rPr>
                <w:rFonts w:ascii="Arial" w:hAnsi="Arial" w:eastAsia="仿宋" w:cs="Arial"/>
                <w:color w:val="000000"/>
              </w:rPr>
              <w:t>智慧市场监管</w:t>
            </w:r>
            <w:r>
              <w:rPr>
                <w:rFonts w:ascii="Arial" w:hAnsi="Arial" w:eastAsia="等线" w:cs="Arial"/>
                <w:color w:val="000000"/>
              </w:rPr>
              <w:t>”</w:t>
            </w:r>
            <w:r>
              <w:rPr>
                <w:rFonts w:ascii="Arial" w:hAnsi="Arial" w:eastAsia="仿宋" w:cs="Arial"/>
                <w:color w:val="000000"/>
              </w:rPr>
              <w:t>体系建设</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望城区市场监督管理局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加强数据和业务整合，大力推动“智慧市场监管”建设，搭建符合基层工作实际的监管平台，充分运用信息技术提升监管效能。运用大数据、人工智能等技术创新市场监管方式，综合利用包括政府数据、行业数据、网络数据、电商数据、社会数据等与市场主体相关的大数据资源，通过大数据关联与融合，完成市场主体的基本属性、行为特征等的全景“画像”，了解市场全态、掌握市场规律、挖掘业务关联，构建市场主体的全过程监管组织模式，实现大数据下的信用监管、精准监管、风险监管、动态监管、协同监管以及依法监管，支撑宏观经济运行的辅助决策，提升市场监管现代化水平</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食品药品综合监管业务平台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建立和完善药品日常监督检查、食品药品检验检测、药品审评认证、执业药师管理、诚信体系管理、稽查执法管理（含移动执法）、药品不良反应监测、监控大厅等系统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食品质量追溯平台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加强药品生产、流通、使用全过程监管信息化建设，建立药品生产监管、流通监管、冷链监管和特殊药品、基本药物监管为核心的电子监管实时监控系统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食品药品安全预警应急平台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加强食品药品安全预警和应急能力信息化建设，利用互联网、物联网技术，应用管理软件和风险评估工具，按照“先进、科学、高效”的建设原则，建立和完善食品药品安全预警系统、决策分析系统、应急指挥系统和应急综合管理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知识产权保障体系</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望城区知识产权保障体系，整合高等院校、科研院所及其它专利信息服务资源，为企业和代理机构牵线搭桥，与技术转移机构、代理机构、专利事务所、法律事务所、风险投资机构建立紧密联系，共同推进科技成果转化、技术转移和自主创新，提供企业交流互动的新渠道</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智能制造</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个性化制造平台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望城区工业和信息化局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汇聚社会化创新设计资源和生产加工资源，并进行有效连接，为定制化产品需求提供高度柔性的云制造服务。通过充分利用平台资源及互联网思维模式，个性化云制造模式可创建全新的C2M2C创新模式</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望城区工业和信息化局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工艺协同管理平台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所有工艺文件、工艺数据、工艺资源和三维工艺动画等的集中管理与发布，跟随产品的生产进行流转，负责工艺的发布与再收集、再优化。工艺管理平台是智能制造的幕后指挥；同时，又与其他平台进行协同、融合，共同构成应用平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产能平台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主要实现产能管理、加工订单、生产发货、工时交易、生产进度等生产能力监测与管控</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智慧物流</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供应链SaaS系统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望城区工业和信息化局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供应链SaaS为企业提供供应链相关的线上管理软件。包括销售管理系统、计划管理系统、采购管理系统、生产管理系统、库存管理系统、物流管理系统、财务管理系统等</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社会投资</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望城区工业和信息化局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供应链内部协同总线</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通过销售、计划、采购、生产、库存、物流、财务SaaS等业务系统的使用，整合企业内部相关供应链资源，通过协同总线实现数据共享和业务协作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供应链外部协同总线</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在企业允许开放的范围内，通过销售、计划、采购、生产、库存、物流、财务SaaS等业务系统的使用，整合企业之间相关供应链资源，通过协同总线实现跨企业、跨产业间的数据共享和业务协作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供应链大数据分析系统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供应链各环节SaaS系统获取的数据进行商业智能挖掘分析，面向各个企业提供库存优化、需求预测、供应链预测、采购支出优化、逆向物流优化、供应链网络优化等智能辅助分析建议，帮助企业更好完成供应链运行，降低库存，降低各个环节的运行成本</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智慧农业</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农产品电子商务</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望城区农业农村局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扶持企业组织散户农民实施规模化种植和农产品统一收购，以“湖南电子商务网”、“超级社区”等电子商务平台为载体，开拓网上销售渠道，实现农产品包装进城入市，帮助农民增收</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生鲜农产品供给基地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利用望城区优质绿色生鲜农产品的优势，吸引淘宝生鲜、顺丰优选、京东生鲜等国内知名企业入驻开展生鲜电商业务，同时引导并鼓励黑麋峰云雾茶、靖港米粉、乌山贡米、靖港毛毛鱼等农业产品与知名生鲜电商企业开展合作，为其提供高端绿色有机茶、蔬菜和水产等高附加值的高端生鲜农产品</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食品信息溯源</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采用NB-IoT、电子标签对农林渔产品进行质量安全管理及质量追溯。通过网站、查询终端、手机短信等渠道，为消费者、企业、第三方组织、政府提供透明实时的追溯信息服务；根据溯源码、批次编号为用户提供食品信息追溯查询服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生产评估服务平台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立生产评估服务平台，依托大数据平台实现种子、环境、气象、水务、土壤等数据接入产业数据库，通过互联网和电商收集市场信息，结合传感技术和监控技术对生产工艺的监测，完成大农业各领域的协同评估，实现生产线和生产工艺优化改造</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项目申报平台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项目申报平台，依托数据共享交换平台等获取企业法人、关联企业、家庭成员，同申报平台中的数据进行比对，对农业企业申报项目进行有效管理，针对有些家庭既有合作社、农庄和公司，有种植业、加工业、养殖业，在省市区项目扶持申报的时候，解决重复申报的问题</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600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智慧农业优化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对以上建设成果进行升级优化工作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工业互联网</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数据采集建设</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针对企业老旧设备无法进行数据采集的问题，支持企业通过添加传感器和通信模块的方式实现老旧设备数据采集与传输，通过软硬件升级实现封闭数控系统接口协议开放，通过引入新型数字化装备提升生产现场数据采集能力</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等线" w:cs="Arial"/>
                <w:color w:val="000000"/>
              </w:rPr>
            </w:pPr>
            <w:r>
              <w:rPr>
                <w:rFonts w:ascii="Arial" w:hAnsi="Arial" w:eastAsia="仿宋" w:cs="Arial"/>
                <w:color w:val="000000"/>
              </w:rPr>
              <w:t>数据传输与安全建设行动</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针对企业工厂网络设施落后的问题，支持企业在工厂内建设完善的通信网络架构，运用工业以太网、3G/4G/5G通讯、工业PON、IPV6等技术，提升工厂内网络连接的数据带宽，降低网络时延，确保通信传输稳定可靠</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智能网联</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智能道路</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望城区交通运输局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路智联网是由智能车辆和智能道路协同而构成。在望城部分测试干道构建智能道路基础设施，与长沙智能网联测试区一起推动测试验证，发展综合信息服务，逐步完成重点车辆、路侧设备等的智能化、网联化改造</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智能信息采集和汇聚</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加强公交站点、停车位、充电桩、智能灯杆等静态交通信息和交通路况、道路施工、车辆到站等动态交通信息的采集和汇聚。推进与湘江新区智能网联数据共享开放利用，鼓励社会机构利用政府开放数据，整合社会、企业数据，为市民一体化出行提供基于位置的实时引导、车位搜寻、智慧停车、智能支付结算等全流程服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智慧环保</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饮用水源地监测管理系统</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长沙市生态环境局望城分局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对饮用水源的实时监测，包含水质分析、河道排污预警，捕鱼、钓鱼监控管理，实时对饮用水源地的安全进行预警。</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长沙市生态环境局望城分局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环境基础监测体系</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建设针对望城区域内水系、大气、生态监测评估、预测预警、监察执法体系的建设，打造覆盖污染源、危险源、固废的立体监控平台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生态环境监测大数据平台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建立望城生态环境监测大数据平台，依托大数据平台的数据共享交换能力，汇集、管理区内各部门产生的生态环境监测等海量数据，实现各部门间的信息共享</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统一发布生态环境监测平台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基于生态环境监测大数据平台共享数据，推进区域污染物排放、空气环境质量、水环境质量等信息公开，通过互联网实现面向公众的实时发布和在线查询</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环保综合监察执法系统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建立生态环境执法与监管联动机制，提升执法能力依法履行对排污单位的环境监管职责，依托智能监测设备和移动互联网开展监管执法</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智慧社区</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智慧社区服务系统</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望城区民政局</w:t>
            </w:r>
            <w:r>
              <w:rPr>
                <w:rFonts w:hint="eastAsia" w:ascii="Arial" w:hAnsi="Arial" w:eastAsia="仿宋" w:cs="Arial"/>
                <w:color w:val="000000"/>
              </w:rPr>
              <w:t>、</w:t>
            </w:r>
            <w:r>
              <w:rPr>
                <w:rFonts w:ascii="Arial" w:hAnsi="Arial" w:eastAsia="仿宋" w:cs="Arial"/>
                <w:color w:val="000000"/>
              </w:rPr>
              <w:t>望城区社会治理服务中心</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利用物联网、云计算、大数据、人工智能等新一代信息技术，融合社区场景下的人、事、地、物、情、组织等多种数据资源，提供面向政府、物业、居民和企业的社区管理与服务类应用，提升社区管理与服务的科学化、智能化、精细化水平，打造安全、便利、舒适的现代化小区生活环境。</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2,500</w:t>
            </w:r>
          </w:p>
        </w:tc>
        <w:tc>
          <w:tcPr>
            <w:tcW w:w="547"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社会投资</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望城区民政局、望城区社会治理服务中心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智慧社区优化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升级优化智慧社区建设成果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智慧旅游</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智慧旅游感知体系</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望城区文化旅游</w:t>
            </w:r>
            <w:r>
              <w:rPr>
                <w:rFonts w:hint="eastAsia" w:ascii="Arial" w:hAnsi="Arial" w:eastAsia="仿宋" w:cs="Arial"/>
                <w:color w:val="000000"/>
              </w:rPr>
              <w:t>广电体育局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基于物联网技术，构建雷锋纪念馆、铜官窑、靖港古镇等主要景点的视频监控、交通卡口、LED大屏等安防安监设备。在吃、住、行、游、购、娱相关的各类旅游资源中部署传感设备，包括RFID、感应线圈、摄像头、GPS等用于感知旅游资源的ID、属性、状态、位置等各类信息，形成智慧旅游感知体系的神经末梢</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547" w:type="dxa"/>
            <w:vMerge w:val="restart"/>
            <w:shd w:val="clear" w:color="auto" w:fill="auto"/>
            <w:vAlign w:val="center"/>
          </w:tcPr>
          <w:p>
            <w:pPr>
              <w:jc w:val="center"/>
              <w:rPr>
                <w:rFonts w:ascii="Arial" w:hAnsi="Arial" w:eastAsia="仿宋" w:cs="Arial"/>
                <w:color w:val="000000"/>
              </w:rPr>
            </w:pPr>
            <w:r>
              <w:rPr>
                <w:rFonts w:hint="eastAsia" w:ascii="Arial" w:hAnsi="Arial" w:eastAsia="仿宋" w:cs="Arial"/>
                <w:color w:val="000000"/>
              </w:rPr>
              <w:t>社会投资</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望城区文化旅游</w:t>
            </w:r>
            <w:r>
              <w:rPr>
                <w:rFonts w:hint="eastAsia" w:ascii="Arial" w:hAnsi="Arial" w:eastAsia="仿宋" w:cs="Arial"/>
                <w:color w:val="000000"/>
              </w:rPr>
              <w:t>广电体育局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服务、管理和运营智能系统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依托民生融合服务平台和长沙市智慧文旅平台等，在互联网、物联网、无线数据通讯基础上，构建智慧服务系统、智能管理系统和智能运营系统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文化全景数字展示平台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提供核心、特色旅游资源的数字化展示，在雷锋纪念馆、铜官窑、靖港古镇等核心景区建设三维数字景区，为游客提供导览、无线上网、互动和信息推送服务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旅游大数据分析体系</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通过旅游资源基础数据库和旅游大数据分析系统的建设，实现包含雷锋精神、戏曲文化和剪纸文化等多种旅游主题分析库，并根据实际需要进行扩展</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望城特色智慧应用</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最多报一次</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依托政府数字化转型，将填表格、留记录、写材料、做台账整合进“最多报一次系统”，汇聚各部门、街镇需上报的数据，通过智能报表、数据模型、大数据计算等信息技术手段，实现各部门、街镇数据上报的统一归集，避免同一数据向不同部门上报。归集后的数据通过数据治理，按需向有关部门提供数据开放、上报接口，实现区级人口库、法人库、城市部件库数据、GIS时空信息平台数据、视频监控等资源有条件与各街镇共享。</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000000" w:fill="FFFFFF"/>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000000" w:fill="FFFFFF"/>
            <w:vAlign w:val="center"/>
          </w:tcPr>
          <w:p>
            <w:pPr>
              <w:jc w:val="center"/>
              <w:rPr>
                <w:rFonts w:ascii="Arial" w:hAnsi="Arial" w:eastAsia="等线" w:cs="Arial"/>
                <w:color w:val="000000"/>
              </w:rPr>
            </w:pPr>
            <w:r>
              <w:rPr>
                <w:rFonts w:ascii="Arial" w:hAnsi="Arial" w:eastAsia="等线" w:cs="Arial"/>
                <w:color w:val="000000"/>
              </w:rPr>
              <w:t>300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无证城市</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电子证照为抓手，利用省公安厅八大类电子证照信息，通过区块链技术构建一套电子证照系统。基于区块链技术不可逆、留痕等特点，实现公安八大类电子证照在我区政务系统的使用。加大数据汇聚力度，加强数据治理，让人民群众在办事过程中减少环节、减少时间，在景区旅游时能享受到便捷、快速的服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000000" w:fill="FFFFFF"/>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000000" w:fill="FFFFFF"/>
            <w:vAlign w:val="center"/>
          </w:tcPr>
          <w:p>
            <w:pPr>
              <w:jc w:val="center"/>
              <w:rPr>
                <w:rFonts w:ascii="Arial" w:hAnsi="Arial" w:eastAsia="等线" w:cs="Arial"/>
                <w:color w:val="000000"/>
              </w:rPr>
            </w:pPr>
            <w:r>
              <w:rPr>
                <w:rFonts w:ascii="Arial" w:hAnsi="Arial" w:eastAsia="等线" w:cs="Arial"/>
                <w:color w:val="000000"/>
              </w:rPr>
              <w:t>500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长沙市公安局望城分局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志愿者激励保障系统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望城区文化旅游广电体育局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实现的功能是志愿服务项目资金保障。建设官方的、规范的、媒体化、社会化、智能化的志愿服务资金募集平台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望城区文化旅游广电体育局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网上志愿服务学校</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推动志愿服务专业化。“网上志愿服务学校”可以将民政、教育、人社、卫生、环保、司法、科协等相关部门的培训同步到网上</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志愿服务精准匹配平台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依托长沙智慧文旅平台，在志愿项目地图上动态显示当天各地志愿者开展活动的区域分布，并同时让每个新申请的项目都有机会在网站首页展示</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老弱病贫残孤数据库</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解决的是“走失”这一社会问题，利用互联网技术建立老弱病贫残孤数据库，并通过数据库为幼童和智障、病患人员、痴呆老人（尤其是留守儿童和空巢老人）提供二维码名片</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数据分析平台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基于老弱病贫残孤数据库，构建数据分析平台，主要包括精准识别、贫困户情况分析、行业部门数据、脱贫措施分析、重点工作通报以及帮扶成效分析等数据分析业务功能</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社会帮扶平台（慈善募捐、社会救助、急难救助）</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社会帮扶平台是移动端面向公众的帮扶平台，支持APP和微信两个渠道，利用互联网技术连接供需两端，充分调动社会组织、企业参与帮扶开发工作的积极性，利用社会力量的自身优势和资源，拓宽帮扶资金来源，推动帮扶事业的发展，打造帮扶工作的新模式</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智慧城市运营中心</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人工智能和IOC主题分析平台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望城区数据资源中心</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结合视频云平台和各应用场景主题库数据分析、视频影像事件分析、AI人工智能大数据及算法等建设，建成人工智能和IOC主题分析决策平台，实现区社会治理数据赋能和决策分析预警感知，为区委区政府及各部门提供辅助决策和分析服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鲲鹏云时空信息平台升级</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时空信息平台GIS一张图更新，核心城区三维仿真城市建设。整合全区高精度遥感影像、管线专题、生态环境专题等多类地理空间数据，实现各类数据与地图融合，“一张图”汇聚、展现全区城市部件、交通管理、人口法人、视频资源等各类数据，形成城市治理动态感知、治理体系现代化迈向新台阶。</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　</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深化数据资源汇聚共享提升数据融合处理能力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规范数据资源采集，编制数据采集目录体系，建立“人、地、物、情、事、组织”社会治理等各类要素的数据采集标准，明确数据接口、格式及要求，确保一数一源，避免重复采集</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rPr>
            </w:pPr>
            <w:r>
              <w:rPr>
                <w:rFonts w:ascii="Arial" w:hAnsi="Arial" w:eastAsia="仿宋" w:cs="Arial"/>
              </w:rPr>
              <w:t>完善数据资源中心建设和分级分类数据治理架构</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以望城区新型智慧城市数据共享交换体系为基础，建设数据湖、数据资源目录和数据中台，打造安全可靠、开放共享的城市数据资源体系，通过统一的数据中台提供数据服务能力，有效支撑各领域智慧化应用</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rPr>
            </w:pPr>
            <w:r>
              <w:rPr>
                <w:rFonts w:ascii="Arial" w:hAnsi="Arial" w:eastAsia="仿宋" w:cs="Arial"/>
              </w:rPr>
              <w:t>建立数据管理工作体系</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高位统筹全区数据资源管理工作，规范化推动数据资产、治理、质量、共享、分析、运维、开放、安全管理建设</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提升共性业务支撑能力</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围绕推动区各部门政务应用互联互通、信息共享和业务协同，梳理各智慧应用共性业务需求，建设业务支撑平台，提供电子签章、电子证明、电子签名、电子档案、消息推送、在线支付等标准化、统一化、共性化服务，提高政务系统的共建共享水平</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加强城市运行态势感知</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加强城市运行态势感知，依托智慧城市运营中心（IOC），推动物联网、业务部门、互联网等多维度数据汇聚、融合处理与挖掘分析，统筹交通运输、公共安全、政务服务、城市部件、环保气象、电力、水务、应急管理、医疗卫生、人口、经济运行等领域运行信息，构建城市各领域运行状态监测指标体系，通过BIM、GIS、3DGIS等技术，探索建立城市信息模型（CIM），实现全区各领域关键数据，以及人、物、事、信息的三维空间集中展示，形成“城市运行感知全景图”，提升城市运行的监管能力和水平</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丰富智慧城市运营中心集成应用</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以智慧城市运营中心（IOC）应用带动平台系统建设，促进各部门、区县专用网络和业务系统连通、共享和整合，推动业务流程优化和工作机制创新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900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900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存量系统迁移上云</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迁移</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积极推进存量业务系统向鲲鹏云平台进行迁移，按照“先易后难”的迁移原则，对现有业务系统按照业务影响范围、数据重要性、业务连续性等维度，进行评估与等级划分，制定详细的迁移方案，逐步将可迁移的业务系统移植到鲲鹏云平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668" w:type="dxa"/>
            <w:vMerge w:val="restart"/>
            <w:shd w:val="clear" w:color="000000" w:fill="FFFFFF"/>
            <w:vAlign w:val="center"/>
          </w:tcPr>
          <w:p>
            <w:pPr>
              <w:jc w:val="center"/>
              <w:rPr>
                <w:rFonts w:ascii="Arial" w:hAnsi="Arial" w:eastAsia="仿宋_GB2312" w:cs="Arial"/>
                <w:color w:val="000000"/>
              </w:rPr>
            </w:pPr>
            <w:r>
              <w:rPr>
                <w:rFonts w:ascii="Arial" w:hAnsi="Arial" w:eastAsia="仿宋_GB2312" w:cs="Arial"/>
                <w:color w:val="000000"/>
              </w:rPr>
              <w:t>新型基础设施</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主城区/热点区域1.4G基站建设</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基于1.4GHz频段的无线宽带政务网，实现专网覆盖望城区主要城区及热点区域，建设融合的指挥体系，建设面向实战的应用软件，满足应急状态下海量数据、高宽带视频传输和无线应急通信等业务需要，由1.4GHz专网运营商建设及运营，实现主城区和热点区域1.4G基站建设以及核心网等中心设备部署</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000000" w:fill="FFFFFF"/>
            <w:vAlign w:val="center"/>
          </w:tcPr>
          <w:p>
            <w:pPr>
              <w:jc w:val="center"/>
              <w:rPr>
                <w:rFonts w:ascii="Arial" w:hAnsi="Arial" w:eastAsia="仿宋" w:cs="Arial"/>
                <w:color w:val="000000"/>
              </w:rPr>
            </w:pPr>
            <w:r>
              <w:rPr>
                <w:rFonts w:ascii="Arial" w:hAnsi="Arial" w:eastAsia="仿宋" w:cs="Arial"/>
                <w:color w:val="000000"/>
              </w:rPr>
              <w:t>望城区工业和信息化局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_GB2312"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物联网管理平台服务</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c>
          <w:tcPr>
            <w:tcW w:w="5204" w:type="dxa"/>
            <w:vMerge w:val="restart"/>
            <w:shd w:val="clear" w:color="auto" w:fill="auto"/>
            <w:vAlign w:val="center"/>
          </w:tcPr>
          <w:p>
            <w:pPr>
              <w:rPr>
                <w:rFonts w:ascii="Arial" w:hAnsi="Arial" w:eastAsia="仿宋" w:cs="Arial"/>
                <w:color w:val="000000"/>
              </w:rPr>
            </w:pPr>
            <w:r>
              <w:rPr>
                <w:rFonts w:ascii="Arial" w:hAnsi="Arial" w:eastAsia="仿宋" w:cs="Arial"/>
                <w:color w:val="000000"/>
              </w:rPr>
              <w:t>构建统一的物联网管理平台，建立由末端海量传感器、物联网传输网络、后端物理网平台构成的统一城市级物联网感知网，通过物理网平台的亿级容量、百万并发的特性，实现城市各物联系统从底层数据采集、设备全生命周期管理、数据传输、大数据分析等各环节的规范运作和高效处理</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_GB2312"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物联网管理平台服务优化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vMerge w:val="continue"/>
            <w:vAlign w:val="center"/>
          </w:tcPr>
          <w:p>
            <w:pPr>
              <w:rPr>
                <w:rFonts w:ascii="Arial" w:hAnsi="Arial" w:eastAsia="仿宋" w:cs="Arial"/>
                <w:color w:val="000000"/>
              </w:rPr>
            </w:pP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800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668" w:type="dxa"/>
            <w:vMerge w:val="continue"/>
            <w:vAlign w:val="center"/>
          </w:tcPr>
          <w:p>
            <w:pPr>
              <w:rPr>
                <w:rFonts w:ascii="Arial" w:hAnsi="Arial" w:eastAsia="仿宋_GB2312"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智慧灯杆试点</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r>
              <w:rPr>
                <w:rFonts w:hint="eastAsia" w:ascii="Arial" w:hAnsi="Arial" w:eastAsia="仿宋" w:cs="Arial"/>
                <w:color w:val="000000"/>
              </w:rPr>
              <w:t>城市管理和综合执法局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集成城市传感器、WiFi/微基站、监控、智能充电等功能，实现根据车流量自动调节亮度、远程照明控制、故障主动报警、灯具线缆防盗、远程抄表等功能，有效控制能源消耗，提升公共照明管理水平，降低维护和管理成本，并利用信息处理技术对海量感知信息进行处理和分析，对包括民生、环境、公共安全等在内的各种需求做出智能化响应和智能化决策支持。</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r>
              <w:rPr>
                <w:rFonts w:hint="eastAsia" w:ascii="Arial" w:hAnsi="Arial" w:eastAsia="仿宋" w:cs="Arial"/>
                <w:color w:val="000000"/>
              </w:rPr>
              <w:t>城市管理和综合执法局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_GB2312" w:cs="Arial"/>
                <w:color w:val="000000"/>
              </w:rPr>
            </w:pPr>
          </w:p>
        </w:tc>
        <w:tc>
          <w:tcPr>
            <w:tcW w:w="1447" w:type="dxa"/>
            <w:shd w:val="clear" w:color="auto" w:fill="auto"/>
            <w:vAlign w:val="center"/>
          </w:tcPr>
          <w:p>
            <w:pPr>
              <w:jc w:val="center"/>
              <w:rPr>
                <w:rFonts w:ascii="Arial" w:hAnsi="Arial" w:eastAsia="等线" w:cs="Arial"/>
                <w:color w:val="000000"/>
              </w:rPr>
            </w:pPr>
            <w:r>
              <w:rPr>
                <w:rFonts w:ascii="Arial" w:hAnsi="Arial" w:eastAsia="仿宋" w:cs="Arial"/>
                <w:color w:val="000000"/>
              </w:rPr>
              <w:t>智慧照明系统</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r>
              <w:rPr>
                <w:rFonts w:hint="eastAsia" w:ascii="Arial" w:hAnsi="Arial" w:eastAsia="仿宋" w:cs="Arial"/>
                <w:color w:val="000000"/>
              </w:rPr>
              <w:t>城市管理和综合执法局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将路灯管理所路灯智能控制终端迁入指挥中心统一监控，实现数据共享，系统发现异常直接发送信息给维护人员。研究接入单灯控制系统。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300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r>
              <w:rPr>
                <w:rFonts w:hint="eastAsia" w:ascii="Arial" w:hAnsi="Arial" w:eastAsia="仿宋" w:cs="Arial"/>
                <w:color w:val="000000"/>
              </w:rPr>
              <w:t>城市管理和综合执法局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标准规范体系</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技术标准</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c>
          <w:tcPr>
            <w:tcW w:w="5204" w:type="dxa"/>
            <w:vMerge w:val="restart"/>
            <w:shd w:val="clear" w:color="auto" w:fill="auto"/>
            <w:vAlign w:val="center"/>
          </w:tcPr>
          <w:p>
            <w:pPr>
              <w:rPr>
                <w:rFonts w:ascii="Arial" w:hAnsi="Arial" w:eastAsia="仿宋" w:cs="Arial"/>
                <w:color w:val="000000"/>
              </w:rPr>
            </w:pPr>
            <w:r>
              <w:rPr>
                <w:rFonts w:ascii="Arial" w:hAnsi="Arial" w:eastAsia="仿宋" w:cs="Arial"/>
                <w:color w:val="000000"/>
              </w:rPr>
              <w:t>在遵循国家、地方相关标准及长沙市技术规范前提下，依托望城区信息化和标准建设工作的现实基础，制订具有望城区特色的相关技术标准</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体制机制标准</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vMerge w:val="continue"/>
            <w:vAlign w:val="center"/>
          </w:tcPr>
          <w:p>
            <w:pPr>
              <w:rPr>
                <w:rFonts w:ascii="Arial" w:hAnsi="Arial" w:eastAsia="仿宋" w:cs="Arial"/>
                <w:color w:val="000000"/>
              </w:rPr>
            </w:pP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150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标准规范体系优化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升级优化完善标准规范体系</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安全保障体系</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基础设施安全态势感知平台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新建</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立基础设施态势感知平台，运用大数据技术对各类数据进行分类、归并，对各种网络行为、安全攻击事件、持续性攻击行为进行关联分析和深度挖掘，不断提升已知、未知网络安全威胁的研判和预警能力。在态势感知系统的基础上，加强通报预警能力的建设，根据监测预警、态势分析、威胁处置等结果，对所辖部门和组织通报网络安全重大事件、隐患、漏洞，提出应对策略，整改情况等，为决策层提供决策咨询</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望城区数据资源中心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城市安全数据平台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归集互联网、监管单位、安全服务企业等各个部门及单位的安全数据，建立区域内统一的安全大数据共享平台，由区域内数据安全管理主要部门或机构进行统筹，各监管单位及安全服务商和部分业务单位将安全数据统一推送到安全数据大脑，并归类形成安全数据的主题库和共享库，对各个部门单位给予不同的安全数据支撑，从而将全区域的安全监管及各个单位组织联动起来，为城市级的政务数据安全决策提供支撑</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物联网安全态势感知平台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通过建设物联网安全态势感知平台，并在已形成的交通、城管等物联网设施基础上，通过物联网安全态势感知系统的在线监测预警能力，建设面向公共互联网、企业内网/专网和工业控制网络的城市级的物联网监测预警与态势感知平台</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互联网金融风险监测预警平台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互联网金融风险预警平台，对涉众型经济犯罪互联网发展趋势，实现以网制网，破解涉众经济犯罪处置等案爆发、被动接案、疲于应付的现状，实现主动预警、精准打击。遏制涉众经济犯罪高发态势及践行“防为上、防为主”理念，实现打防管控一体化治理水平的提升</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城市安全保障平台</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建设望城区安全保障平台，解决重点单位及业务系统的集中防护，促进企业的数字化转型，提升城市信息安全保障基线。防护设计通过引流方式实现，云防护节点对流量过滤后再回源到真实服务器</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安全保障体系优化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优化完善安全保障体系</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1000</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智慧水利</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水域水环境动态实时监管平台</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望城区水利局</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构建完善水情、水资源、水质、水生态环境、城市水文、地下水六大监测体系以及巡检与应急监测体系；加快水文基础标准化建设和规范化管理，完善水环境监测体系和巡测体系,开展水土保持监测分站和水土保持监测站点的建设，提升防汛抗旱、水资源与环境监测能力</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望城区水利局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水利综合信息平台及业务系统建设</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基于时空信息服务平台建设全区境内39条河流、44座上型水库、4口重要湖泊和393口山塘实现地图定位、信息快速查询、一键导航等功能，便于水环境督查</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建设配套系统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包括旱情自动报测系统、山洪灾害信息、取水量测报、地下水位自动采集、大坝安全采集系统、水土保持、水质基础信息等信息采集系统，水利工程视频监控系统、现场抢险视频传输系统</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668" w:type="dxa"/>
            <w:vMerge w:val="restart"/>
            <w:shd w:val="clear" w:color="000000" w:fill="FFFFFF"/>
            <w:vAlign w:val="center"/>
          </w:tcPr>
          <w:p>
            <w:pPr>
              <w:jc w:val="center"/>
              <w:rPr>
                <w:rFonts w:ascii="Arial" w:hAnsi="Arial" w:eastAsia="仿宋" w:cs="Arial"/>
                <w:color w:val="000000"/>
              </w:rPr>
            </w:pPr>
            <w:r>
              <w:rPr>
                <w:rFonts w:ascii="Arial" w:hAnsi="Arial" w:eastAsia="仿宋" w:cs="Arial"/>
                <w:color w:val="000000"/>
              </w:rPr>
              <w:t>智慧园区</w:t>
            </w: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智慧园区二期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望城经济技术开发区管理委员会</w:t>
            </w: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智慧园区包括智慧微园区、渣土偷盗视频AI分析系统、智慧安监平台、园区移动办公APP升级、财务共享平台。通过智能化和数字化的整合应用，解决园区渣土监管、风险管控、财务管控等重点难点问题，从人、财、物等方面实现深入智慧、透彻感知、全面互联，构建微园区的产业服务生态圈。</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2021</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1150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1150</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财政预算</w:t>
            </w:r>
          </w:p>
        </w:tc>
        <w:tc>
          <w:tcPr>
            <w:tcW w:w="1181"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望城经济技术开发区管理委员会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园区企业服务</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智慧园区将以产业园区作为重点规划及建设对象，并结合工业园区管理体制、服务企业的职能和特点，加强园区内企业安全生产、环境保护等方面的智能监测与分析</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动力环境监测系统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动力环境监测系统作为园区一种重要的监测、控制、管理手段，可通过现有的网络资源，在园区总监控中心和办公计算机、或移动网络设备上实现对所辖机房的监控、管理，大大减轻日常巡视人员的工作量，便于及时发现危险隐患，保障安全生产，为产线、机房等区域无人值守模式提供了完备、可靠的保障</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2023</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400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建筑集成管理系统</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主要要是对已建或拟建硬件设备（包含与硬件配套的系统）进行集成，集成模块通过硬件厂家开放的各种标准的/私有的协议、点表，可对设备进行数据采集，并且实现联动</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2022</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200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园区运营管理系统</w:t>
            </w:r>
          </w:p>
        </w:tc>
        <w:tc>
          <w:tcPr>
            <w:tcW w:w="547" w:type="dxa"/>
            <w:vMerge w:val="restart"/>
            <w:shd w:val="clear" w:color="auto" w:fill="auto"/>
            <w:vAlign w:val="center"/>
          </w:tcPr>
          <w:p>
            <w:pPr>
              <w:jc w:val="center"/>
              <w:rPr>
                <w:rFonts w:ascii="Arial" w:hAnsi="Arial" w:eastAsia="仿宋" w:cs="Arial"/>
                <w:color w:val="000000"/>
              </w:rPr>
            </w:pPr>
            <w:r>
              <w:rPr>
                <w:rFonts w:ascii="Arial" w:hAnsi="Arial" w:eastAsia="仿宋" w:cs="Arial"/>
                <w:color w:val="000000"/>
              </w:rPr>
              <w:t>升级优化</w:t>
            </w: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运营管理中心作为项目的全业务链生成运行决策指挥中枢，系统通过建设“指挥屏幕”，满足“调度运行、办公管理、安全监控、运营数据分析和决策支持”等安全生产和业务运行功能需要，建成具有国际水准的、全业务应用的运营指挥中心和高智能化应用的办公环境</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虚拟园区</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虚拟园区是通过线下的电子展厅和线上的WEB浏览器，展示园区地理位置、园区基础设施、园区企业分类、园区运营商提供的服务，以及其他与项目相关的更为详细的内容和服务</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2024</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668" w:type="dxa"/>
            <w:vMerge w:val="continue"/>
            <w:vAlign w:val="center"/>
          </w:tcPr>
          <w:p>
            <w:pPr>
              <w:rPr>
                <w:rFonts w:ascii="Arial" w:hAnsi="Arial" w:eastAsia="仿宋" w:cs="Arial"/>
                <w:color w:val="000000"/>
              </w:rPr>
            </w:pPr>
          </w:p>
        </w:tc>
        <w:tc>
          <w:tcPr>
            <w:tcW w:w="1447" w:type="dxa"/>
            <w:shd w:val="clear" w:color="auto" w:fill="auto"/>
            <w:vAlign w:val="center"/>
          </w:tcPr>
          <w:p>
            <w:pPr>
              <w:jc w:val="center"/>
              <w:rPr>
                <w:rFonts w:ascii="Arial" w:hAnsi="Arial" w:eastAsia="仿宋" w:cs="Arial"/>
                <w:color w:val="000000"/>
              </w:rPr>
            </w:pPr>
            <w:r>
              <w:rPr>
                <w:rFonts w:ascii="Arial" w:hAnsi="Arial" w:eastAsia="仿宋" w:cs="Arial"/>
                <w:color w:val="000000"/>
              </w:rPr>
              <w:t>展示中心</w:t>
            </w:r>
          </w:p>
        </w:tc>
        <w:tc>
          <w:tcPr>
            <w:tcW w:w="547" w:type="dxa"/>
            <w:vMerge w:val="continue"/>
            <w:vAlign w:val="center"/>
          </w:tcPr>
          <w:p>
            <w:pPr>
              <w:rPr>
                <w:rFonts w:ascii="Arial" w:hAnsi="Arial" w:eastAsia="仿宋" w:cs="Arial"/>
                <w:color w:val="000000"/>
              </w:rPr>
            </w:pPr>
          </w:p>
        </w:tc>
        <w:tc>
          <w:tcPr>
            <w:tcW w:w="547" w:type="dxa"/>
            <w:shd w:val="clear" w:color="auto" w:fill="auto"/>
            <w:vAlign w:val="center"/>
          </w:tcPr>
          <w:p>
            <w:pPr>
              <w:jc w:val="center"/>
              <w:rPr>
                <w:rFonts w:ascii="Arial" w:hAnsi="Arial" w:eastAsia="仿宋" w:cs="Arial"/>
                <w:color w:val="000000"/>
              </w:rPr>
            </w:pPr>
            <w:r>
              <w:rPr>
                <w:rFonts w:ascii="Arial" w:hAnsi="Arial" w:eastAsia="仿宋" w:cs="Arial"/>
                <w:color w:val="000000"/>
              </w:rPr>
              <w:t>望城区</w:t>
            </w:r>
          </w:p>
        </w:tc>
        <w:tc>
          <w:tcPr>
            <w:tcW w:w="1181" w:type="dxa"/>
            <w:vMerge w:val="continue"/>
            <w:vAlign w:val="center"/>
          </w:tcPr>
          <w:p>
            <w:pPr>
              <w:rPr>
                <w:rFonts w:ascii="Arial" w:hAnsi="Arial" w:eastAsia="仿宋" w:cs="Arial"/>
                <w:color w:val="000000"/>
              </w:rPr>
            </w:pPr>
          </w:p>
        </w:tc>
        <w:tc>
          <w:tcPr>
            <w:tcW w:w="5204" w:type="dxa"/>
            <w:shd w:val="clear" w:color="auto" w:fill="auto"/>
            <w:vAlign w:val="center"/>
          </w:tcPr>
          <w:p>
            <w:pPr>
              <w:rPr>
                <w:rFonts w:ascii="Arial" w:hAnsi="Arial" w:eastAsia="仿宋" w:cs="Arial"/>
                <w:color w:val="000000"/>
              </w:rPr>
            </w:pPr>
            <w:r>
              <w:rPr>
                <w:rFonts w:ascii="Arial" w:hAnsi="Arial" w:eastAsia="仿宋" w:cs="Arial"/>
                <w:color w:val="000000"/>
              </w:rPr>
              <w:t>展示中心对于园区有着非常重要的意义，园区管委会可以通过展示中心来展示园区的设计制作、地理区域位置、传递生动理念以及园区的商业价值等信息，让潜在客户能够快速地、全面地、准确地了解园区景观、周边环境、办公环境以及园区未来发展规划等详细信息</w:t>
            </w:r>
          </w:p>
        </w:tc>
        <w:tc>
          <w:tcPr>
            <w:tcW w:w="804" w:type="dxa"/>
            <w:shd w:val="clear" w:color="auto" w:fill="auto"/>
            <w:vAlign w:val="center"/>
          </w:tcPr>
          <w:p>
            <w:pPr>
              <w:jc w:val="center"/>
              <w:rPr>
                <w:rFonts w:ascii="Arial" w:hAnsi="Arial" w:eastAsia="等线" w:cs="Arial"/>
                <w:color w:val="000000"/>
              </w:rPr>
            </w:pPr>
            <w:r>
              <w:rPr>
                <w:rFonts w:ascii="Arial" w:hAnsi="Arial" w:eastAsia="等线" w:cs="Arial"/>
                <w:color w:val="000000"/>
              </w:rPr>
              <w:t>2025</w:t>
            </w:r>
          </w:p>
        </w:tc>
        <w:tc>
          <w:tcPr>
            <w:tcW w:w="953"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1095" w:type="dxa"/>
            <w:shd w:val="clear" w:color="auto" w:fill="auto"/>
            <w:vAlign w:val="center"/>
          </w:tcPr>
          <w:p>
            <w:pPr>
              <w:jc w:val="center"/>
              <w:rPr>
                <w:rFonts w:ascii="Arial" w:hAnsi="Arial" w:eastAsia="等线" w:cs="Arial"/>
                <w:color w:val="000000"/>
              </w:rPr>
            </w:pPr>
            <w:r>
              <w:rPr>
                <w:rFonts w:ascii="Arial" w:hAnsi="Arial" w:eastAsia="等线" w:cs="Arial"/>
                <w:color w:val="000000"/>
              </w:rPr>
              <w:t>500</w:t>
            </w:r>
          </w:p>
        </w:tc>
        <w:tc>
          <w:tcPr>
            <w:tcW w:w="547" w:type="dxa"/>
            <w:vMerge w:val="continue"/>
            <w:vAlign w:val="center"/>
          </w:tcPr>
          <w:p>
            <w:pPr>
              <w:rPr>
                <w:rFonts w:ascii="Arial" w:hAnsi="Arial" w:eastAsia="仿宋" w:cs="Arial"/>
                <w:color w:val="000000"/>
              </w:rPr>
            </w:pPr>
          </w:p>
        </w:tc>
        <w:tc>
          <w:tcPr>
            <w:tcW w:w="1181" w:type="dxa"/>
            <w:vMerge w:val="continue"/>
            <w:vAlign w:val="center"/>
          </w:tcPr>
          <w:p>
            <w:pPr>
              <w:rPr>
                <w:rFonts w:ascii="Arial" w:hAnsi="Arial" w:eastAsia="仿宋" w:cs="Arial"/>
                <w:color w:val="000000"/>
              </w:rPr>
            </w:pPr>
          </w:p>
        </w:tc>
      </w:tr>
    </w:tbl>
    <w:p>
      <w:pPr>
        <w:spacing w:line="360" w:lineRule="auto"/>
        <w:rPr>
          <w:rFonts w:ascii="Arial" w:hAnsi="Arial" w:eastAsia="仿宋" w:cs="Arial"/>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Palatino Linotype">
    <w:panose1 w:val="02040502050505030304"/>
    <w:charset w:val="00"/>
    <w:family w:val="roman"/>
    <w:pitch w:val="default"/>
    <w:sig w:usb0="E0000287" w:usb1="40000013" w:usb2="00000000" w:usb3="00000000" w:csb0="2000019F" w:csb1="00000000"/>
  </w:font>
  <w:font w:name="Palatino">
    <w:altName w:val="Palatino Linotype"/>
    <w:panose1 w:val="00000000000000000000"/>
    <w:charset w:val="00"/>
    <w:family w:val="roman"/>
    <w:pitch w:val="default"/>
    <w:sig w:usb0="00000000" w:usb1="00000000" w:usb2="00000000" w:usb3="00000000" w:csb0="00000093" w:csb1="00000000"/>
  </w:font>
  <w:font w:name="SimSun-ExtB">
    <w:panose1 w:val="02010609060101010101"/>
    <w:charset w:val="86"/>
    <w:family w:val="modern"/>
    <w:pitch w:val="default"/>
    <w:sig w:usb0="00000001" w:usb1="02000000" w:usb2="00000000" w:usb3="00000000" w:csb0="00040001" w:csb1="00000000"/>
  </w:font>
  <w:font w:name="Calibri Light">
    <w:panose1 w:val="020F0302020204030204"/>
    <w:charset w:val="00"/>
    <w:family w:val="swiss"/>
    <w:pitch w:val="default"/>
    <w:sig w:usb0="A00002EF" w:usb1="4000207B"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Microsoft New Tai Lue">
    <w:panose1 w:val="020B0502040204020203"/>
    <w:charset w:val="00"/>
    <w:family w:val="swiss"/>
    <w:pitch w:val="default"/>
    <w:sig w:usb0="00000003" w:usb1="00000000" w:usb2="80000000" w:usb3="00000000" w:csb0="0000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top w:val="single" w:color="auto" w:sz="4" w:space="1"/>
      </w:pBdr>
      <w:rPr>
        <w:rFonts w:ascii="Arial" w:hAnsi="Arial" w:eastAsia="仿宋" w:cs="Arial"/>
        <w:sz w:val="21"/>
        <w:szCs w:val="21"/>
      </w:rPr>
    </w:pPr>
    <w:r>
      <w:rPr>
        <w:rFonts w:ascii="Arial" w:hAnsi="Arial" w:eastAsia="仿宋" w:cs="Arial"/>
        <w:sz w:val="21"/>
        <w:szCs w:val="21"/>
      </w:rPr>
      <w:t xml:space="preserve">湖南省邮电规划设计院有限公司                                               </w:t>
    </w:r>
    <w:r>
      <w:rPr>
        <w:rFonts w:hint="eastAsia" w:ascii="Arial" w:hAnsi="Arial" w:eastAsia="仿宋" w:cs="Arial"/>
        <w:sz w:val="21"/>
        <w:szCs w:val="21"/>
      </w:rPr>
      <w:t>目</w:t>
    </w:r>
    <w:r>
      <w:rPr>
        <w:rFonts w:ascii="Arial" w:hAnsi="Arial" w:eastAsia="仿宋" w:cs="Arial"/>
        <w:sz w:val="21"/>
        <w:szCs w:val="21"/>
      </w:rPr>
      <w:fldChar w:fldCharType="begin"/>
    </w:r>
    <w:r>
      <w:rPr>
        <w:rFonts w:ascii="Arial" w:hAnsi="Arial" w:eastAsia="仿宋" w:cs="Arial"/>
        <w:sz w:val="21"/>
        <w:szCs w:val="21"/>
      </w:rPr>
      <w:instrText xml:space="preserve">PAGE   \* MERGEFORMAT</w:instrText>
    </w:r>
    <w:r>
      <w:rPr>
        <w:rFonts w:ascii="Arial" w:hAnsi="Arial" w:eastAsia="仿宋" w:cs="Arial"/>
        <w:sz w:val="21"/>
        <w:szCs w:val="21"/>
      </w:rPr>
      <w:fldChar w:fldCharType="separate"/>
    </w:r>
    <w:r>
      <w:rPr>
        <w:rFonts w:ascii="Arial" w:hAnsi="Arial" w:eastAsia="仿宋" w:cs="Arial"/>
        <w:szCs w:val="21"/>
      </w:rPr>
      <w:t>3</w:t>
    </w:r>
    <w:r>
      <w:rPr>
        <w:rFonts w:ascii="Arial" w:hAnsi="Arial" w:eastAsia="仿宋" w:cs="Arial"/>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top w:val="single" w:color="auto" w:sz="4" w:space="1"/>
      </w:pBdr>
      <w:rPr>
        <w:rFonts w:ascii="Arial" w:hAnsi="Arial" w:eastAsia="仿宋" w:cs="Arial"/>
        <w:sz w:val="21"/>
        <w:szCs w:val="21"/>
      </w:rPr>
    </w:pPr>
    <w:r>
      <w:rPr>
        <w:rFonts w:ascii="Arial" w:hAnsi="Arial" w:eastAsia="仿宋" w:cs="Arial"/>
        <w:sz w:val="21"/>
        <w:szCs w:val="21"/>
      </w:rPr>
      <w:t xml:space="preserve">湖南省邮电规划设计院有限公司                                                </w:t>
    </w:r>
    <w:r>
      <w:rPr>
        <w:rFonts w:ascii="Arial" w:hAnsi="Arial" w:eastAsia="仿宋" w:cs="Arial"/>
        <w:sz w:val="21"/>
        <w:szCs w:val="21"/>
      </w:rPr>
      <w:fldChar w:fldCharType="begin"/>
    </w:r>
    <w:r>
      <w:rPr>
        <w:rFonts w:ascii="Arial" w:hAnsi="Arial" w:eastAsia="仿宋" w:cs="Arial"/>
        <w:sz w:val="21"/>
        <w:szCs w:val="21"/>
      </w:rPr>
      <w:instrText xml:space="preserve">PAGE   \* MERGEFORMAT</w:instrText>
    </w:r>
    <w:r>
      <w:rPr>
        <w:rFonts w:ascii="Arial" w:hAnsi="Arial" w:eastAsia="仿宋" w:cs="Arial"/>
        <w:sz w:val="21"/>
        <w:szCs w:val="21"/>
      </w:rPr>
      <w:fldChar w:fldCharType="separate"/>
    </w:r>
    <w:r>
      <w:rPr>
        <w:rFonts w:ascii="Arial" w:hAnsi="Arial" w:eastAsia="仿宋" w:cs="Arial"/>
        <w:szCs w:val="21"/>
      </w:rPr>
      <w:t>31</w:t>
    </w:r>
    <w:r>
      <w:rPr>
        <w:rFonts w:ascii="Arial" w:hAnsi="Arial" w:eastAsia="仿宋" w:cs="Arial"/>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Fonts w:ascii="仿宋" w:hAnsi="仿宋" w:eastAsia="仿宋"/>
      </w:rPr>
    </w:pPr>
    <w:r>
      <w:rPr>
        <w:rFonts w:ascii="仿宋" w:hAnsi="仿宋" w:eastAsia="仿宋"/>
      </w:rPr>
      <w:t>望城区</w:t>
    </w:r>
    <w:r>
      <w:rPr>
        <w:rFonts w:hint="eastAsia" w:ascii="仿宋" w:hAnsi="仿宋" w:eastAsia="仿宋"/>
      </w:rPr>
      <w:t>“十四五”大数据发展规划</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B"/>
    <w:multiLevelType w:val="multilevel"/>
    <w:tmpl w:val="0000001B"/>
    <w:lvl w:ilvl="0" w:tentative="0">
      <w:start w:val="1"/>
      <w:numFmt w:val="bullet"/>
      <w:lvlText w:val=""/>
      <w:lvlJc w:val="left"/>
      <w:pPr>
        <w:tabs>
          <w:tab w:val="left" w:pos="2998"/>
        </w:tabs>
        <w:ind w:left="2998"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pStyle w:val="186"/>
      <w:lvlText w:val=""/>
      <w:lvlJc w:val="left"/>
      <w:pPr>
        <w:tabs>
          <w:tab w:val="left" w:pos="1200"/>
        </w:tabs>
        <w:ind w:left="1181" w:hanging="341"/>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000001C"/>
    <w:multiLevelType w:val="multilevel"/>
    <w:tmpl w:val="0000001C"/>
    <w:lvl w:ilvl="0" w:tentative="0">
      <w:start w:val="1"/>
      <w:numFmt w:val="bullet"/>
      <w:pStyle w:val="185"/>
      <w:lvlText w:val=""/>
      <w:lvlJc w:val="left"/>
      <w:pPr>
        <w:tabs>
          <w:tab w:val="left" w:pos="1080"/>
        </w:tabs>
        <w:ind w:left="1080" w:hanging="360"/>
      </w:pPr>
      <w:rPr>
        <w:rFonts w:hint="default" w:ascii="Symbol" w:hAnsi="Symbol"/>
      </w:rPr>
    </w:lvl>
    <w:lvl w:ilvl="1" w:tentative="0">
      <w:start w:val="1"/>
      <w:numFmt w:val="bullet"/>
      <w:lvlText w:val="o"/>
      <w:lvlJc w:val="left"/>
      <w:pPr>
        <w:tabs>
          <w:tab w:val="left" w:pos="1800"/>
        </w:tabs>
        <w:ind w:left="1800" w:hanging="360"/>
      </w:pPr>
      <w:rPr>
        <w:rFonts w:hint="default" w:ascii="Courier New" w:hAnsi="Courier New"/>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rPr>
    </w:lvl>
    <w:lvl w:ilvl="8" w:tentative="0">
      <w:start w:val="1"/>
      <w:numFmt w:val="bullet"/>
      <w:lvlText w:val=""/>
      <w:lvlJc w:val="left"/>
      <w:pPr>
        <w:tabs>
          <w:tab w:val="left" w:pos="6840"/>
        </w:tabs>
        <w:ind w:left="6840" w:hanging="360"/>
      </w:pPr>
      <w:rPr>
        <w:rFonts w:hint="default" w:ascii="Wingdings" w:hAnsi="Wingdings"/>
      </w:rPr>
    </w:lvl>
  </w:abstractNum>
  <w:abstractNum w:abstractNumId="2">
    <w:nsid w:val="00000025"/>
    <w:multiLevelType w:val="multilevel"/>
    <w:tmpl w:val="00000025"/>
    <w:lvl w:ilvl="0" w:tentative="0">
      <w:start w:val="1"/>
      <w:numFmt w:val="decimal"/>
      <w:pStyle w:val="189"/>
      <w:lvlText w:val="(%1)"/>
      <w:lvlJc w:val="left"/>
      <w:pPr>
        <w:ind w:left="902" w:hanging="42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
    <w:nsid w:val="0000002A"/>
    <w:multiLevelType w:val="multilevel"/>
    <w:tmpl w:val="0000002A"/>
    <w:lvl w:ilvl="0" w:tentative="0">
      <w:start w:val="1"/>
      <w:numFmt w:val="bullet"/>
      <w:pStyle w:val="184"/>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
    <w:nsid w:val="00000037"/>
    <w:multiLevelType w:val="multilevel"/>
    <w:tmpl w:val="00000037"/>
    <w:lvl w:ilvl="0" w:tentative="0">
      <w:start w:val="1"/>
      <w:numFmt w:val="decimal"/>
      <w:pStyle w:val="190"/>
      <w:lvlText w:val="（%1）"/>
      <w:lvlJc w:val="left"/>
      <w:pPr>
        <w:tabs>
          <w:tab w:val="left" w:pos="1134"/>
        </w:tabs>
        <w:ind w:left="0" w:firstLine="400"/>
      </w:pPr>
      <w:rPr>
        <w:rFonts w:hint="eastAsia"/>
        <w:sz w:val="24"/>
      </w:rPr>
    </w:lvl>
    <w:lvl w:ilvl="1" w:tentative="0">
      <w:start w:val="1"/>
      <w:numFmt w:val="decimal"/>
      <w:lvlText w:val="（%2）"/>
      <w:lvlJc w:val="left"/>
      <w:pPr>
        <w:tabs>
          <w:tab w:val="left" w:pos="1651"/>
        </w:tabs>
        <w:ind w:left="1651" w:hanging="751"/>
      </w:pPr>
      <w:rPr>
        <w:rFonts w:hint="eastAsia"/>
        <w:sz w:val="28"/>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010424E7"/>
    <w:multiLevelType w:val="multilevel"/>
    <w:tmpl w:val="010424E7"/>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6">
    <w:nsid w:val="033838E8"/>
    <w:multiLevelType w:val="multilevel"/>
    <w:tmpl w:val="033838E8"/>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7">
    <w:nsid w:val="0B63770B"/>
    <w:multiLevelType w:val="multilevel"/>
    <w:tmpl w:val="0B63770B"/>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8">
    <w:nsid w:val="0DC20535"/>
    <w:multiLevelType w:val="multilevel"/>
    <w:tmpl w:val="0DC20535"/>
    <w:lvl w:ilvl="0" w:tentative="0">
      <w:start w:val="1"/>
      <w:numFmt w:val="chineseCountingThousand"/>
      <w:pStyle w:val="172"/>
      <w:lvlText w:val="%1."/>
      <w:lvlJc w:val="left"/>
      <w:pPr>
        <w:ind w:left="312" w:hanging="420"/>
      </w:pPr>
      <w:rPr>
        <w:rFonts w:hint="eastAsia"/>
        <w:sz w:val="24"/>
      </w:rPr>
    </w:lvl>
    <w:lvl w:ilvl="1" w:tentative="0">
      <w:start w:val="1"/>
      <w:numFmt w:val="decimal"/>
      <w:lvlText w:val="%2、"/>
      <w:lvlJc w:val="left"/>
      <w:pPr>
        <w:ind w:left="1032" w:hanging="720"/>
      </w:pPr>
      <w:rPr>
        <w:rFonts w:hint="default"/>
      </w:rPr>
    </w:lvl>
    <w:lvl w:ilvl="2" w:tentative="0">
      <w:start w:val="1"/>
      <w:numFmt w:val="lowerRoman"/>
      <w:lvlText w:val="%3."/>
      <w:lvlJc w:val="right"/>
      <w:pPr>
        <w:ind w:left="1152" w:hanging="420"/>
      </w:pPr>
    </w:lvl>
    <w:lvl w:ilvl="3" w:tentative="0">
      <w:start w:val="1"/>
      <w:numFmt w:val="decimal"/>
      <w:lvlText w:val="%4."/>
      <w:lvlJc w:val="left"/>
      <w:pPr>
        <w:ind w:left="1572" w:hanging="420"/>
      </w:pPr>
    </w:lvl>
    <w:lvl w:ilvl="4" w:tentative="0">
      <w:start w:val="1"/>
      <w:numFmt w:val="lowerLetter"/>
      <w:lvlText w:val="%5)"/>
      <w:lvlJc w:val="left"/>
      <w:pPr>
        <w:ind w:left="1992" w:hanging="420"/>
      </w:pPr>
    </w:lvl>
    <w:lvl w:ilvl="5" w:tentative="0">
      <w:start w:val="1"/>
      <w:numFmt w:val="lowerRoman"/>
      <w:lvlText w:val="%6."/>
      <w:lvlJc w:val="right"/>
      <w:pPr>
        <w:ind w:left="2412" w:hanging="420"/>
      </w:pPr>
    </w:lvl>
    <w:lvl w:ilvl="6" w:tentative="0">
      <w:start w:val="1"/>
      <w:numFmt w:val="decimal"/>
      <w:lvlText w:val="%7."/>
      <w:lvlJc w:val="left"/>
      <w:pPr>
        <w:ind w:left="2832" w:hanging="420"/>
      </w:pPr>
    </w:lvl>
    <w:lvl w:ilvl="7" w:tentative="0">
      <w:start w:val="1"/>
      <w:numFmt w:val="lowerLetter"/>
      <w:lvlText w:val="%8)"/>
      <w:lvlJc w:val="left"/>
      <w:pPr>
        <w:ind w:left="3252" w:hanging="420"/>
      </w:pPr>
    </w:lvl>
    <w:lvl w:ilvl="8" w:tentative="0">
      <w:start w:val="1"/>
      <w:numFmt w:val="lowerRoman"/>
      <w:lvlText w:val="%9."/>
      <w:lvlJc w:val="right"/>
      <w:pPr>
        <w:ind w:left="3672" w:hanging="420"/>
      </w:pPr>
    </w:lvl>
  </w:abstractNum>
  <w:abstractNum w:abstractNumId="9">
    <w:nsid w:val="0EA91E09"/>
    <w:multiLevelType w:val="multilevel"/>
    <w:tmpl w:val="0EA91E09"/>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0">
    <w:nsid w:val="1249404A"/>
    <w:multiLevelType w:val="multilevel"/>
    <w:tmpl w:val="1249404A"/>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1">
    <w:nsid w:val="177D404B"/>
    <w:multiLevelType w:val="multilevel"/>
    <w:tmpl w:val="177D404B"/>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2">
    <w:nsid w:val="1BD16117"/>
    <w:multiLevelType w:val="multilevel"/>
    <w:tmpl w:val="1BD16117"/>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3">
    <w:nsid w:val="1DEA5F8E"/>
    <w:multiLevelType w:val="multilevel"/>
    <w:tmpl w:val="1DEA5F8E"/>
    <w:lvl w:ilvl="0" w:tentative="0">
      <w:start w:val="1"/>
      <w:numFmt w:val="chineseCountingThousand"/>
      <w:pStyle w:val="3"/>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0FC2259"/>
    <w:multiLevelType w:val="multilevel"/>
    <w:tmpl w:val="20FC2259"/>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5">
    <w:nsid w:val="21196AC0"/>
    <w:multiLevelType w:val="multilevel"/>
    <w:tmpl w:val="21196AC0"/>
    <w:lvl w:ilvl="0" w:tentative="0">
      <w:start w:val="1"/>
      <w:numFmt w:val="lowerLetter"/>
      <w:pStyle w:val="183"/>
      <w:lvlText w:val="%1)"/>
      <w:lvlJc w:val="left"/>
      <w:pPr>
        <w:ind w:left="902" w:hanging="420"/>
      </w:pPr>
      <w:rPr>
        <w:rFonts w:hint="eastAsia"/>
      </w:rPr>
    </w:lvl>
    <w:lvl w:ilvl="1" w:tentative="0">
      <w:start w:val="1"/>
      <w:numFmt w:val="decimal"/>
      <w:lvlText w:val="%2）"/>
      <w:lvlJc w:val="left"/>
      <w:pPr>
        <w:ind w:left="1262" w:hanging="360"/>
      </w:pPr>
      <w:rPr>
        <w:rFonts w:hint="default"/>
      </w:r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6">
    <w:nsid w:val="21197EF7"/>
    <w:multiLevelType w:val="multilevel"/>
    <w:tmpl w:val="21197EF7"/>
    <w:lvl w:ilvl="0" w:tentative="0">
      <w:start w:val="1"/>
      <w:numFmt w:val="decimal"/>
      <w:pStyle w:val="4"/>
      <w:lvlText w:val="%1."/>
      <w:lvlJc w:val="left"/>
      <w:pPr>
        <w:ind w:left="561" w:hanging="420"/>
      </w:p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22C33BB2"/>
    <w:multiLevelType w:val="multilevel"/>
    <w:tmpl w:val="22C33BB2"/>
    <w:lvl w:ilvl="0" w:tentative="0">
      <w:start w:val="1"/>
      <w:numFmt w:val="chineseCountingThousand"/>
      <w:pStyle w:val="2"/>
      <w:lvlText w:val="%1、"/>
      <w:lvlJc w:val="left"/>
      <w:pPr>
        <w:ind w:left="420" w:hanging="420"/>
      </w:pPr>
    </w:lvl>
    <w:lvl w:ilvl="1" w:tentative="0">
      <w:start w:val="1"/>
      <w:numFmt w:val="decimal"/>
      <w:pStyle w:val="152"/>
      <w:lvlText w:val="%1.%2"/>
      <w:lvlJc w:val="left"/>
      <w:pPr>
        <w:ind w:left="576" w:hanging="576"/>
      </w:pPr>
    </w:lvl>
    <w:lvl w:ilvl="2" w:tentative="0">
      <w:start w:val="1"/>
      <w:numFmt w:val="decimal"/>
      <w:lvlText w:val="%1.%2.%3"/>
      <w:lvlJc w:val="left"/>
      <w:pPr>
        <w:ind w:left="720" w:hanging="720"/>
      </w:pPr>
      <w:rPr>
        <w:lang w:val="en-US"/>
      </w:r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18">
    <w:nsid w:val="29E579DA"/>
    <w:multiLevelType w:val="multilevel"/>
    <w:tmpl w:val="29E579DA"/>
    <w:lvl w:ilvl="0" w:tentative="0">
      <w:start w:val="1"/>
      <w:numFmt w:val="decimal"/>
      <w:lvlText w:val="（%1）"/>
      <w:lvlJc w:val="left"/>
      <w:pPr>
        <w:ind w:left="902" w:hanging="420"/>
      </w:pPr>
      <w:rPr>
        <w:b/>
        <w:lang w:val="en-US"/>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9">
    <w:nsid w:val="2E274391"/>
    <w:multiLevelType w:val="multilevel"/>
    <w:tmpl w:val="2E274391"/>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0">
    <w:nsid w:val="2F3F3B81"/>
    <w:multiLevelType w:val="multilevel"/>
    <w:tmpl w:val="2F3F3B81"/>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1">
    <w:nsid w:val="323A15F0"/>
    <w:multiLevelType w:val="multilevel"/>
    <w:tmpl w:val="323A15F0"/>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2">
    <w:nsid w:val="3E01601A"/>
    <w:multiLevelType w:val="multilevel"/>
    <w:tmpl w:val="3E01601A"/>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3">
    <w:nsid w:val="3EA87A0B"/>
    <w:multiLevelType w:val="multilevel"/>
    <w:tmpl w:val="3EA87A0B"/>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4">
    <w:nsid w:val="3F2350D1"/>
    <w:multiLevelType w:val="multilevel"/>
    <w:tmpl w:val="3F2350D1"/>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5">
    <w:nsid w:val="40122801"/>
    <w:multiLevelType w:val="multilevel"/>
    <w:tmpl w:val="40122801"/>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6">
    <w:nsid w:val="455E6AC6"/>
    <w:multiLevelType w:val="multilevel"/>
    <w:tmpl w:val="455E6AC6"/>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7">
    <w:nsid w:val="483A264B"/>
    <w:multiLevelType w:val="multilevel"/>
    <w:tmpl w:val="483A264B"/>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8">
    <w:nsid w:val="50A04BBC"/>
    <w:multiLevelType w:val="multilevel"/>
    <w:tmpl w:val="50A04BBC"/>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9">
    <w:nsid w:val="511A0F7F"/>
    <w:multiLevelType w:val="multilevel"/>
    <w:tmpl w:val="511A0F7F"/>
    <w:lvl w:ilvl="0" w:tentative="0">
      <w:start w:val="1"/>
      <w:numFmt w:val="chineseCountingThousand"/>
      <w:suff w:val="space"/>
      <w:lvlText w:val="第%1章"/>
      <w:lvlJc w:val="left"/>
      <w:pPr>
        <w:ind w:left="0" w:firstLine="0"/>
      </w:pPr>
      <w:rPr>
        <w:rFonts w:hint="eastAsia"/>
        <w:lang w:val="en-US"/>
      </w:rPr>
    </w:lvl>
    <w:lvl w:ilvl="1" w:tentative="0">
      <w:start w:val="1"/>
      <w:numFmt w:val="decimal"/>
      <w:isLgl/>
      <w:suff w:val="space"/>
      <w:lvlText w:val="%1.%2"/>
      <w:lvlJc w:val="left"/>
      <w:pPr>
        <w:ind w:left="0" w:firstLine="0"/>
      </w:pPr>
      <w:rPr>
        <w:rFonts w:hint="default" w:ascii="Arial" w:hAnsi="Arial" w:cs="Arial"/>
        <w:b/>
        <w:i w:val="0"/>
        <w:iCs w:val="0"/>
        <w:caps w:val="0"/>
        <w:smallCaps w:val="0"/>
        <w:strike w:val="0"/>
        <w:dstrike w:val="0"/>
        <w:color w:val="auto"/>
        <w:spacing w:val="0"/>
        <w:kern w:val="0"/>
        <w:position w:val="0"/>
        <w:u w:val="none"/>
      </w:rPr>
    </w:lvl>
    <w:lvl w:ilvl="2" w:tentative="0">
      <w:start w:val="1"/>
      <w:numFmt w:val="decimal"/>
      <w:isLgl/>
      <w:suff w:val="space"/>
      <w:lvlText w:val="%1.%2.%3"/>
      <w:lvlJc w:val="left"/>
      <w:pPr>
        <w:ind w:left="3970" w:firstLine="0"/>
      </w:pPr>
      <w:rPr>
        <w:rFonts w:hint="default" w:ascii="Arial" w:hAnsi="Arial"/>
        <w:b/>
        <w:bCs w:val="0"/>
        <w:i w:val="0"/>
        <w:iCs w:val="0"/>
        <w:caps w:val="0"/>
        <w:smallCaps w:val="0"/>
        <w:strike w:val="0"/>
        <w:dstrike w:val="0"/>
        <w:vanish w:val="0"/>
        <w:color w:val="000000"/>
        <w:spacing w:val="0"/>
        <w:position w:val="0"/>
        <w:u w:val="none"/>
        <w:vertAlign w:val="baseline"/>
      </w:rPr>
    </w:lvl>
    <w:lvl w:ilvl="3" w:tentative="0">
      <w:start w:val="1"/>
      <w:numFmt w:val="decimal"/>
      <w:isLgl/>
      <w:suff w:val="space"/>
      <w:lvlText w:val="%1.%2.%3.%4"/>
      <w:lvlJc w:val="left"/>
      <w:pPr>
        <w:ind w:left="0" w:firstLine="0"/>
      </w:pPr>
      <w:rPr>
        <w:rFonts w:hint="default" w:ascii="Arial" w:hAnsi="Arial"/>
        <w:b/>
        <w:i w:val="0"/>
      </w:rPr>
    </w:lvl>
    <w:lvl w:ilvl="4" w:tentative="0">
      <w:start w:val="1"/>
      <w:numFmt w:val="decimal"/>
      <w:isLgl/>
      <w:suff w:val="space"/>
      <w:lvlText w:val="%1.%2.%3.%4.%5"/>
      <w:lvlJc w:val="left"/>
      <w:pPr>
        <w:ind w:left="0" w:firstLine="0"/>
      </w:pPr>
      <w:rPr>
        <w:rFonts w:hint="default" w:ascii="Arial" w:hAnsi="Arial"/>
        <w:b/>
        <w:i w:val="0"/>
      </w:rPr>
    </w:lvl>
    <w:lvl w:ilvl="5" w:tentative="0">
      <w:start w:val="1"/>
      <w:numFmt w:val="decimal"/>
      <w:pStyle w:val="68"/>
      <w:isLgl/>
      <w:suff w:val="space"/>
      <w:lvlText w:val="%1.%2.%3.%4.%5.%6"/>
      <w:lvlJc w:val="left"/>
      <w:pPr>
        <w:ind w:left="0" w:firstLine="0"/>
      </w:pPr>
      <w:rPr>
        <w:rFonts w:hint="default" w:ascii="Arial" w:hAnsi="Arial"/>
        <w:b/>
        <w:i w:val="0"/>
      </w:rPr>
    </w:lvl>
    <w:lvl w:ilvl="6" w:tentative="0">
      <w:start w:val="1"/>
      <w:numFmt w:val="decimal"/>
      <w:pStyle w:val="69"/>
      <w:isLgl/>
      <w:suff w:val="space"/>
      <w:lvlText w:val="%1.%2.%3.%4.%5.%6.%7"/>
      <w:lvlJc w:val="left"/>
      <w:pPr>
        <w:ind w:left="0" w:firstLine="0"/>
      </w:pPr>
      <w:rPr>
        <w:rFonts w:hint="default" w:ascii="Arial" w:hAnsi="Arial"/>
        <w:b/>
        <w:i w:val="0"/>
      </w:rPr>
    </w:lvl>
    <w:lvl w:ilvl="7" w:tentative="0">
      <w:start w:val="1"/>
      <w:numFmt w:val="decimal"/>
      <w:isLgl/>
      <w:suff w:val="space"/>
      <w:lvlText w:val="%1.%2.%3.%4.%5.%6.%7.%8"/>
      <w:lvlJc w:val="left"/>
      <w:pPr>
        <w:ind w:left="0" w:firstLine="0"/>
      </w:pPr>
      <w:rPr>
        <w:rFonts w:hint="default" w:ascii="Arial" w:hAnsi="Arial"/>
        <w:b/>
        <w:i w:val="0"/>
      </w:rPr>
    </w:lvl>
    <w:lvl w:ilvl="8" w:tentative="0">
      <w:start w:val="1"/>
      <w:numFmt w:val="decimal"/>
      <w:lvlText w:val="%1.%2.%3.%4.%5.%6.%7.%8.%9"/>
      <w:lvlJc w:val="left"/>
      <w:pPr>
        <w:tabs>
          <w:tab w:val="left" w:pos="5102"/>
        </w:tabs>
        <w:ind w:left="5102" w:hanging="1700"/>
      </w:pPr>
      <w:rPr>
        <w:rFonts w:hint="eastAsia"/>
      </w:rPr>
    </w:lvl>
  </w:abstractNum>
  <w:abstractNum w:abstractNumId="30">
    <w:nsid w:val="52C1706C"/>
    <w:multiLevelType w:val="multilevel"/>
    <w:tmpl w:val="52C1706C"/>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1">
    <w:nsid w:val="537908F9"/>
    <w:multiLevelType w:val="multilevel"/>
    <w:tmpl w:val="537908F9"/>
    <w:lvl w:ilvl="0" w:tentative="0">
      <w:start w:val="1"/>
      <w:numFmt w:val="bullet"/>
      <w:pStyle w:val="311"/>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2">
    <w:nsid w:val="58E756D6"/>
    <w:multiLevelType w:val="multilevel"/>
    <w:tmpl w:val="58E756D6"/>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3">
    <w:nsid w:val="593D52E0"/>
    <w:multiLevelType w:val="multilevel"/>
    <w:tmpl w:val="593D52E0"/>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4">
    <w:nsid w:val="59BB2109"/>
    <w:multiLevelType w:val="multilevel"/>
    <w:tmpl w:val="59BB2109"/>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5">
    <w:nsid w:val="5F337579"/>
    <w:multiLevelType w:val="multilevel"/>
    <w:tmpl w:val="5F337579"/>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6">
    <w:nsid w:val="5F8540CC"/>
    <w:multiLevelType w:val="multilevel"/>
    <w:tmpl w:val="5F8540CC"/>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7">
    <w:nsid w:val="62011026"/>
    <w:multiLevelType w:val="multilevel"/>
    <w:tmpl w:val="62011026"/>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8">
    <w:nsid w:val="66547BBE"/>
    <w:multiLevelType w:val="multilevel"/>
    <w:tmpl w:val="66547BBE"/>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9">
    <w:nsid w:val="6A661589"/>
    <w:multiLevelType w:val="multilevel"/>
    <w:tmpl w:val="6A661589"/>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40">
    <w:nsid w:val="6B7822FE"/>
    <w:multiLevelType w:val="multilevel"/>
    <w:tmpl w:val="6B7822FE"/>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41">
    <w:nsid w:val="712E525F"/>
    <w:multiLevelType w:val="multilevel"/>
    <w:tmpl w:val="712E525F"/>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42">
    <w:nsid w:val="715238AC"/>
    <w:multiLevelType w:val="multilevel"/>
    <w:tmpl w:val="715238AC"/>
    <w:lvl w:ilvl="0" w:tentative="0">
      <w:start w:val="1"/>
      <w:numFmt w:val="decimal"/>
      <w:lvlText w:val="（%1）"/>
      <w:lvlJc w:val="left"/>
      <w:pPr>
        <w:ind w:left="902" w:hanging="420"/>
      </w:pPr>
      <w:rPr>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17"/>
  </w:num>
  <w:num w:numId="2">
    <w:abstractNumId w:val="13"/>
  </w:num>
  <w:num w:numId="3">
    <w:abstractNumId w:val="16"/>
  </w:num>
  <w:num w:numId="4">
    <w:abstractNumId w:val="29"/>
  </w:num>
  <w:num w:numId="5">
    <w:abstractNumId w:val="8"/>
  </w:num>
  <w:num w:numId="6">
    <w:abstractNumId w:val="15"/>
  </w:num>
  <w:num w:numId="7">
    <w:abstractNumId w:val="3"/>
  </w:num>
  <w:num w:numId="8">
    <w:abstractNumId w:val="1"/>
  </w:num>
  <w:num w:numId="9">
    <w:abstractNumId w:val="0"/>
  </w:num>
  <w:num w:numId="10">
    <w:abstractNumId w:val="2"/>
  </w:num>
  <w:num w:numId="11">
    <w:abstractNumId w:val="4"/>
  </w:num>
  <w:num w:numId="12">
    <w:abstractNumId w:val="31"/>
  </w:num>
  <w:num w:numId="13">
    <w:abstractNumId w:val="16"/>
    <w:lvlOverride w:ilvl="0">
      <w:startOverride w:val="1"/>
    </w:lvlOverride>
  </w:num>
  <w:num w:numId="14">
    <w:abstractNumId w:val="13"/>
    <w:lvlOverride w:ilvl="0">
      <w:startOverride w:val="1"/>
    </w:lvlOverride>
  </w:num>
  <w:num w:numId="15">
    <w:abstractNumId w:val="13"/>
    <w:lvlOverride w:ilvl="0">
      <w:startOverride w:val="1"/>
    </w:lvlOverride>
  </w:num>
  <w:num w:numId="16">
    <w:abstractNumId w:val="42"/>
  </w:num>
  <w:num w:numId="17">
    <w:abstractNumId w:val="5"/>
  </w:num>
  <w:num w:numId="18">
    <w:abstractNumId w:val="16"/>
    <w:lvlOverride w:ilvl="0">
      <w:startOverride w:val="1"/>
    </w:lvlOverride>
  </w:num>
  <w:num w:numId="19">
    <w:abstractNumId w:val="26"/>
  </w:num>
  <w:num w:numId="20">
    <w:abstractNumId w:val="37"/>
  </w:num>
  <w:num w:numId="21">
    <w:abstractNumId w:val="20"/>
  </w:num>
  <w:num w:numId="22">
    <w:abstractNumId w:val="21"/>
  </w:num>
  <w:num w:numId="23">
    <w:abstractNumId w:val="24"/>
  </w:num>
  <w:num w:numId="24">
    <w:abstractNumId w:val="23"/>
  </w:num>
  <w:num w:numId="25">
    <w:abstractNumId w:val="16"/>
    <w:lvlOverride w:ilvl="0">
      <w:startOverride w:val="1"/>
    </w:lvlOverride>
  </w:num>
  <w:num w:numId="26">
    <w:abstractNumId w:val="11"/>
  </w:num>
  <w:num w:numId="27">
    <w:abstractNumId w:val="14"/>
  </w:num>
  <w:num w:numId="28">
    <w:abstractNumId w:val="18"/>
  </w:num>
  <w:num w:numId="29">
    <w:abstractNumId w:val="38"/>
  </w:num>
  <w:num w:numId="30">
    <w:abstractNumId w:val="28"/>
  </w:num>
  <w:num w:numId="31">
    <w:abstractNumId w:val="30"/>
  </w:num>
  <w:num w:numId="32">
    <w:abstractNumId w:val="40"/>
  </w:num>
  <w:num w:numId="33">
    <w:abstractNumId w:val="7"/>
  </w:num>
  <w:num w:numId="34">
    <w:abstractNumId w:val="22"/>
  </w:num>
  <w:num w:numId="35">
    <w:abstractNumId w:val="16"/>
    <w:lvlOverride w:ilvl="0">
      <w:startOverride w:val="1"/>
    </w:lvlOverride>
  </w:num>
  <w:num w:numId="36">
    <w:abstractNumId w:val="36"/>
  </w:num>
  <w:num w:numId="37">
    <w:abstractNumId w:val="35"/>
  </w:num>
  <w:num w:numId="38">
    <w:abstractNumId w:val="34"/>
  </w:num>
  <w:num w:numId="39">
    <w:abstractNumId w:val="32"/>
  </w:num>
  <w:num w:numId="40">
    <w:abstractNumId w:val="19"/>
  </w:num>
  <w:num w:numId="41">
    <w:abstractNumId w:val="27"/>
  </w:num>
  <w:num w:numId="42">
    <w:abstractNumId w:val="39"/>
  </w:num>
  <w:num w:numId="43">
    <w:abstractNumId w:val="6"/>
  </w:num>
  <w:num w:numId="44">
    <w:abstractNumId w:val="16"/>
    <w:lvlOverride w:ilvl="0">
      <w:startOverride w:val="1"/>
    </w:lvlOverride>
  </w:num>
  <w:num w:numId="45">
    <w:abstractNumId w:val="9"/>
  </w:num>
  <w:num w:numId="46">
    <w:abstractNumId w:val="41"/>
  </w:num>
  <w:num w:numId="47">
    <w:abstractNumId w:val="25"/>
  </w:num>
  <w:num w:numId="48">
    <w:abstractNumId w:val="33"/>
  </w:num>
  <w:num w:numId="49">
    <w:abstractNumId w:val="16"/>
    <w:lvlOverride w:ilvl="0">
      <w:startOverride w:val="1"/>
    </w:lvlOverride>
  </w:num>
  <w:num w:numId="50">
    <w:abstractNumId w:val="12"/>
  </w:num>
  <w:num w:numId="51">
    <w:abstractNumId w:val="16"/>
    <w:lvlOverride w:ilvl="0">
      <w:startOverride w:val="1"/>
    </w:lvlOverride>
  </w:num>
  <w:num w:numId="52">
    <w:abstractNumId w:val="10"/>
  </w:num>
  <w:num w:numId="53">
    <w:abstractNumId w:val="1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zY2IzMDNhMTRhOGVlNjkyZjQ3NGE0OWMxNzk0MzEifQ=="/>
  </w:docVars>
  <w:rsids>
    <w:rsidRoot w:val="001D1451"/>
    <w:rsid w:val="00000168"/>
    <w:rsid w:val="0000693B"/>
    <w:rsid w:val="00014A39"/>
    <w:rsid w:val="00014EAA"/>
    <w:rsid w:val="00022DB0"/>
    <w:rsid w:val="000253CE"/>
    <w:rsid w:val="00040BF6"/>
    <w:rsid w:val="0004472F"/>
    <w:rsid w:val="0004558C"/>
    <w:rsid w:val="00063447"/>
    <w:rsid w:val="0006754D"/>
    <w:rsid w:val="00070BC4"/>
    <w:rsid w:val="00080BFC"/>
    <w:rsid w:val="000816F7"/>
    <w:rsid w:val="00081F6F"/>
    <w:rsid w:val="000927A3"/>
    <w:rsid w:val="00095D00"/>
    <w:rsid w:val="000974BB"/>
    <w:rsid w:val="000A7A09"/>
    <w:rsid w:val="000C12BE"/>
    <w:rsid w:val="000C34C5"/>
    <w:rsid w:val="000C3696"/>
    <w:rsid w:val="000C4FEA"/>
    <w:rsid w:val="000D1C2B"/>
    <w:rsid w:val="000E2ABA"/>
    <w:rsid w:val="000E4200"/>
    <w:rsid w:val="000E7332"/>
    <w:rsid w:val="000F2A78"/>
    <w:rsid w:val="001001A9"/>
    <w:rsid w:val="00102884"/>
    <w:rsid w:val="00116024"/>
    <w:rsid w:val="001256CD"/>
    <w:rsid w:val="0013569C"/>
    <w:rsid w:val="001360FD"/>
    <w:rsid w:val="0014106F"/>
    <w:rsid w:val="001460A2"/>
    <w:rsid w:val="0014615F"/>
    <w:rsid w:val="00160C43"/>
    <w:rsid w:val="001617BB"/>
    <w:rsid w:val="00162DF1"/>
    <w:rsid w:val="00167BE6"/>
    <w:rsid w:val="00186D66"/>
    <w:rsid w:val="001A0206"/>
    <w:rsid w:val="001A164F"/>
    <w:rsid w:val="001A58B9"/>
    <w:rsid w:val="001A6DD6"/>
    <w:rsid w:val="001B1F3D"/>
    <w:rsid w:val="001C4762"/>
    <w:rsid w:val="001D1451"/>
    <w:rsid w:val="001F3601"/>
    <w:rsid w:val="001F3B2A"/>
    <w:rsid w:val="001F6D37"/>
    <w:rsid w:val="00206155"/>
    <w:rsid w:val="00210643"/>
    <w:rsid w:val="0021586D"/>
    <w:rsid w:val="0021608F"/>
    <w:rsid w:val="00216AE4"/>
    <w:rsid w:val="0022084C"/>
    <w:rsid w:val="00226A24"/>
    <w:rsid w:val="00231504"/>
    <w:rsid w:val="002419E6"/>
    <w:rsid w:val="002426FB"/>
    <w:rsid w:val="0024290F"/>
    <w:rsid w:val="00244AC6"/>
    <w:rsid w:val="002451E9"/>
    <w:rsid w:val="00251745"/>
    <w:rsid w:val="00260E2A"/>
    <w:rsid w:val="00281ACB"/>
    <w:rsid w:val="00285540"/>
    <w:rsid w:val="0029029B"/>
    <w:rsid w:val="002926D1"/>
    <w:rsid w:val="00292B41"/>
    <w:rsid w:val="00297678"/>
    <w:rsid w:val="002A3DF6"/>
    <w:rsid w:val="002A3E3E"/>
    <w:rsid w:val="002C6A2E"/>
    <w:rsid w:val="002F2F3B"/>
    <w:rsid w:val="003002A0"/>
    <w:rsid w:val="0030155D"/>
    <w:rsid w:val="0031085E"/>
    <w:rsid w:val="00312866"/>
    <w:rsid w:val="003135FE"/>
    <w:rsid w:val="003173C8"/>
    <w:rsid w:val="00321F34"/>
    <w:rsid w:val="003254CC"/>
    <w:rsid w:val="00330E03"/>
    <w:rsid w:val="0033719E"/>
    <w:rsid w:val="00343442"/>
    <w:rsid w:val="00344DEA"/>
    <w:rsid w:val="003507D4"/>
    <w:rsid w:val="003509A1"/>
    <w:rsid w:val="0035293C"/>
    <w:rsid w:val="003539D4"/>
    <w:rsid w:val="003559EE"/>
    <w:rsid w:val="00357258"/>
    <w:rsid w:val="0036050F"/>
    <w:rsid w:val="003639E5"/>
    <w:rsid w:val="003747E1"/>
    <w:rsid w:val="003750D7"/>
    <w:rsid w:val="00382A82"/>
    <w:rsid w:val="00384037"/>
    <w:rsid w:val="00385FF5"/>
    <w:rsid w:val="0038791D"/>
    <w:rsid w:val="00391ECE"/>
    <w:rsid w:val="00393A1C"/>
    <w:rsid w:val="00396DCF"/>
    <w:rsid w:val="00397C3F"/>
    <w:rsid w:val="003B0CCA"/>
    <w:rsid w:val="003B6940"/>
    <w:rsid w:val="003C4F93"/>
    <w:rsid w:val="003D217D"/>
    <w:rsid w:val="003D2401"/>
    <w:rsid w:val="003D430B"/>
    <w:rsid w:val="003D4BA1"/>
    <w:rsid w:val="003D6154"/>
    <w:rsid w:val="003E238C"/>
    <w:rsid w:val="003E507A"/>
    <w:rsid w:val="003F3845"/>
    <w:rsid w:val="003F5F31"/>
    <w:rsid w:val="00402348"/>
    <w:rsid w:val="00413813"/>
    <w:rsid w:val="00414F79"/>
    <w:rsid w:val="00420966"/>
    <w:rsid w:val="00422F4A"/>
    <w:rsid w:val="0042361F"/>
    <w:rsid w:val="00423CEF"/>
    <w:rsid w:val="00435CFC"/>
    <w:rsid w:val="00436EDA"/>
    <w:rsid w:val="00441D87"/>
    <w:rsid w:val="004453C9"/>
    <w:rsid w:val="00445A22"/>
    <w:rsid w:val="004460FF"/>
    <w:rsid w:val="00452442"/>
    <w:rsid w:val="004550CD"/>
    <w:rsid w:val="00456053"/>
    <w:rsid w:val="0046000A"/>
    <w:rsid w:val="00471018"/>
    <w:rsid w:val="0047249C"/>
    <w:rsid w:val="004748CE"/>
    <w:rsid w:val="0047785F"/>
    <w:rsid w:val="0048180D"/>
    <w:rsid w:val="0048341C"/>
    <w:rsid w:val="00493277"/>
    <w:rsid w:val="00493692"/>
    <w:rsid w:val="00495C6A"/>
    <w:rsid w:val="004A0BAC"/>
    <w:rsid w:val="004A3257"/>
    <w:rsid w:val="004B703B"/>
    <w:rsid w:val="004C08BE"/>
    <w:rsid w:val="004C2704"/>
    <w:rsid w:val="00515119"/>
    <w:rsid w:val="00517C9E"/>
    <w:rsid w:val="00520E88"/>
    <w:rsid w:val="00524C24"/>
    <w:rsid w:val="00534B1D"/>
    <w:rsid w:val="00535518"/>
    <w:rsid w:val="00541FA5"/>
    <w:rsid w:val="00542984"/>
    <w:rsid w:val="0055182E"/>
    <w:rsid w:val="00561896"/>
    <w:rsid w:val="00562E9E"/>
    <w:rsid w:val="005701C9"/>
    <w:rsid w:val="005726A1"/>
    <w:rsid w:val="00581F19"/>
    <w:rsid w:val="00586FDD"/>
    <w:rsid w:val="00594DE9"/>
    <w:rsid w:val="005A748D"/>
    <w:rsid w:val="005B0173"/>
    <w:rsid w:val="005B03C8"/>
    <w:rsid w:val="005B2202"/>
    <w:rsid w:val="005B477F"/>
    <w:rsid w:val="005B5813"/>
    <w:rsid w:val="005D0BE7"/>
    <w:rsid w:val="005E1047"/>
    <w:rsid w:val="005E5F7E"/>
    <w:rsid w:val="005F10D3"/>
    <w:rsid w:val="005F26DB"/>
    <w:rsid w:val="005F7465"/>
    <w:rsid w:val="006022EC"/>
    <w:rsid w:val="00607A6B"/>
    <w:rsid w:val="006100F5"/>
    <w:rsid w:val="006126D0"/>
    <w:rsid w:val="00624813"/>
    <w:rsid w:val="006254D1"/>
    <w:rsid w:val="00625E62"/>
    <w:rsid w:val="0063389E"/>
    <w:rsid w:val="00634660"/>
    <w:rsid w:val="0064566E"/>
    <w:rsid w:val="006516A1"/>
    <w:rsid w:val="006527F0"/>
    <w:rsid w:val="0066063E"/>
    <w:rsid w:val="00666EDF"/>
    <w:rsid w:val="00673BCD"/>
    <w:rsid w:val="0067708F"/>
    <w:rsid w:val="00680947"/>
    <w:rsid w:val="006813BC"/>
    <w:rsid w:val="00684A3C"/>
    <w:rsid w:val="00684DA1"/>
    <w:rsid w:val="006904B4"/>
    <w:rsid w:val="00692128"/>
    <w:rsid w:val="006942C9"/>
    <w:rsid w:val="006948BA"/>
    <w:rsid w:val="00695715"/>
    <w:rsid w:val="00697D8B"/>
    <w:rsid w:val="006A1785"/>
    <w:rsid w:val="006B3CCB"/>
    <w:rsid w:val="006B7586"/>
    <w:rsid w:val="006C6F53"/>
    <w:rsid w:val="006E1EF6"/>
    <w:rsid w:val="006E3BBA"/>
    <w:rsid w:val="006E477E"/>
    <w:rsid w:val="006F1D82"/>
    <w:rsid w:val="006F520D"/>
    <w:rsid w:val="00704E33"/>
    <w:rsid w:val="00711AB1"/>
    <w:rsid w:val="00723FAB"/>
    <w:rsid w:val="00730C8A"/>
    <w:rsid w:val="00736E51"/>
    <w:rsid w:val="00741733"/>
    <w:rsid w:val="007446F2"/>
    <w:rsid w:val="00752131"/>
    <w:rsid w:val="007628FD"/>
    <w:rsid w:val="00762CB0"/>
    <w:rsid w:val="0076586C"/>
    <w:rsid w:val="007668D5"/>
    <w:rsid w:val="00767A5B"/>
    <w:rsid w:val="00770C96"/>
    <w:rsid w:val="007775B2"/>
    <w:rsid w:val="0079134B"/>
    <w:rsid w:val="0079336A"/>
    <w:rsid w:val="00793E28"/>
    <w:rsid w:val="007943AB"/>
    <w:rsid w:val="007974E2"/>
    <w:rsid w:val="007A1085"/>
    <w:rsid w:val="007A39FD"/>
    <w:rsid w:val="007A56E2"/>
    <w:rsid w:val="007B0284"/>
    <w:rsid w:val="007B3AAB"/>
    <w:rsid w:val="007B5800"/>
    <w:rsid w:val="007C385A"/>
    <w:rsid w:val="007C7C76"/>
    <w:rsid w:val="007E0C4A"/>
    <w:rsid w:val="007E10F1"/>
    <w:rsid w:val="007F0627"/>
    <w:rsid w:val="007F3B55"/>
    <w:rsid w:val="007F4DF9"/>
    <w:rsid w:val="00805E54"/>
    <w:rsid w:val="0081156A"/>
    <w:rsid w:val="00812780"/>
    <w:rsid w:val="00820A7E"/>
    <w:rsid w:val="00826950"/>
    <w:rsid w:val="008313D1"/>
    <w:rsid w:val="0083684C"/>
    <w:rsid w:val="00836929"/>
    <w:rsid w:val="00836FEE"/>
    <w:rsid w:val="008439BA"/>
    <w:rsid w:val="00861946"/>
    <w:rsid w:val="008661ED"/>
    <w:rsid w:val="0086641F"/>
    <w:rsid w:val="0087027C"/>
    <w:rsid w:val="00884530"/>
    <w:rsid w:val="00885E9A"/>
    <w:rsid w:val="008907F3"/>
    <w:rsid w:val="00895FD3"/>
    <w:rsid w:val="008A1492"/>
    <w:rsid w:val="008A151A"/>
    <w:rsid w:val="008A7EB2"/>
    <w:rsid w:val="008B05A8"/>
    <w:rsid w:val="008B782B"/>
    <w:rsid w:val="008C2460"/>
    <w:rsid w:val="008C4280"/>
    <w:rsid w:val="008C6DD1"/>
    <w:rsid w:val="008D2209"/>
    <w:rsid w:val="008D3A9B"/>
    <w:rsid w:val="008D4F7D"/>
    <w:rsid w:val="008F18A6"/>
    <w:rsid w:val="008F295F"/>
    <w:rsid w:val="00901894"/>
    <w:rsid w:val="00902186"/>
    <w:rsid w:val="00904C7A"/>
    <w:rsid w:val="0090534C"/>
    <w:rsid w:val="00907752"/>
    <w:rsid w:val="009171D3"/>
    <w:rsid w:val="00922F09"/>
    <w:rsid w:val="00930209"/>
    <w:rsid w:val="00933CE3"/>
    <w:rsid w:val="009364C8"/>
    <w:rsid w:val="00941B93"/>
    <w:rsid w:val="00942F27"/>
    <w:rsid w:val="00943389"/>
    <w:rsid w:val="0094495E"/>
    <w:rsid w:val="00955041"/>
    <w:rsid w:val="009632E7"/>
    <w:rsid w:val="00965F87"/>
    <w:rsid w:val="00970366"/>
    <w:rsid w:val="00976EA3"/>
    <w:rsid w:val="009819C6"/>
    <w:rsid w:val="0098342E"/>
    <w:rsid w:val="009918A1"/>
    <w:rsid w:val="0099555D"/>
    <w:rsid w:val="009A594A"/>
    <w:rsid w:val="009A6EC6"/>
    <w:rsid w:val="009A73AB"/>
    <w:rsid w:val="009B1089"/>
    <w:rsid w:val="009B31BE"/>
    <w:rsid w:val="009B57C0"/>
    <w:rsid w:val="009C1095"/>
    <w:rsid w:val="009C388F"/>
    <w:rsid w:val="009D69CC"/>
    <w:rsid w:val="009D736A"/>
    <w:rsid w:val="009E03A9"/>
    <w:rsid w:val="009F1982"/>
    <w:rsid w:val="00A009D2"/>
    <w:rsid w:val="00A00D4F"/>
    <w:rsid w:val="00A0350C"/>
    <w:rsid w:val="00A16B70"/>
    <w:rsid w:val="00A209AA"/>
    <w:rsid w:val="00A216D3"/>
    <w:rsid w:val="00A27F83"/>
    <w:rsid w:val="00A3086F"/>
    <w:rsid w:val="00A32867"/>
    <w:rsid w:val="00A33438"/>
    <w:rsid w:val="00A368C6"/>
    <w:rsid w:val="00A43954"/>
    <w:rsid w:val="00A5175F"/>
    <w:rsid w:val="00A55A64"/>
    <w:rsid w:val="00A5719F"/>
    <w:rsid w:val="00A67238"/>
    <w:rsid w:val="00A67FEE"/>
    <w:rsid w:val="00A74B8E"/>
    <w:rsid w:val="00A760B7"/>
    <w:rsid w:val="00A77118"/>
    <w:rsid w:val="00A8070A"/>
    <w:rsid w:val="00A80D2F"/>
    <w:rsid w:val="00A81DE6"/>
    <w:rsid w:val="00A8700A"/>
    <w:rsid w:val="00A9434A"/>
    <w:rsid w:val="00AA35F3"/>
    <w:rsid w:val="00AA415F"/>
    <w:rsid w:val="00AA4961"/>
    <w:rsid w:val="00AA7C44"/>
    <w:rsid w:val="00AB2AC5"/>
    <w:rsid w:val="00AB7AD8"/>
    <w:rsid w:val="00AC04AA"/>
    <w:rsid w:val="00AC087F"/>
    <w:rsid w:val="00AC0BF6"/>
    <w:rsid w:val="00AC1CC4"/>
    <w:rsid w:val="00AC3BFE"/>
    <w:rsid w:val="00AC40E7"/>
    <w:rsid w:val="00AD16D7"/>
    <w:rsid w:val="00AD2307"/>
    <w:rsid w:val="00AD4AF9"/>
    <w:rsid w:val="00AD5C69"/>
    <w:rsid w:val="00AE12A2"/>
    <w:rsid w:val="00AE4CF7"/>
    <w:rsid w:val="00AF755C"/>
    <w:rsid w:val="00B00C68"/>
    <w:rsid w:val="00B07EED"/>
    <w:rsid w:val="00B10CDF"/>
    <w:rsid w:val="00B11B9A"/>
    <w:rsid w:val="00B13FE0"/>
    <w:rsid w:val="00B16271"/>
    <w:rsid w:val="00B2062C"/>
    <w:rsid w:val="00B40121"/>
    <w:rsid w:val="00B412D3"/>
    <w:rsid w:val="00B41300"/>
    <w:rsid w:val="00B433B9"/>
    <w:rsid w:val="00B51DD6"/>
    <w:rsid w:val="00B5376E"/>
    <w:rsid w:val="00B55764"/>
    <w:rsid w:val="00B70E23"/>
    <w:rsid w:val="00B71F5F"/>
    <w:rsid w:val="00B81124"/>
    <w:rsid w:val="00B85245"/>
    <w:rsid w:val="00B86BB0"/>
    <w:rsid w:val="00B95D25"/>
    <w:rsid w:val="00B97600"/>
    <w:rsid w:val="00BA2D08"/>
    <w:rsid w:val="00BD3042"/>
    <w:rsid w:val="00BD3CB1"/>
    <w:rsid w:val="00BD42E7"/>
    <w:rsid w:val="00BE1D16"/>
    <w:rsid w:val="00BE329E"/>
    <w:rsid w:val="00C0004B"/>
    <w:rsid w:val="00C05EB9"/>
    <w:rsid w:val="00C129A8"/>
    <w:rsid w:val="00C21B9B"/>
    <w:rsid w:val="00C2255D"/>
    <w:rsid w:val="00C247E4"/>
    <w:rsid w:val="00C24E1A"/>
    <w:rsid w:val="00C25250"/>
    <w:rsid w:val="00C25574"/>
    <w:rsid w:val="00C31377"/>
    <w:rsid w:val="00C4305A"/>
    <w:rsid w:val="00C4668D"/>
    <w:rsid w:val="00C50A4C"/>
    <w:rsid w:val="00C50AC2"/>
    <w:rsid w:val="00C51648"/>
    <w:rsid w:val="00C51B54"/>
    <w:rsid w:val="00C52574"/>
    <w:rsid w:val="00C53725"/>
    <w:rsid w:val="00C856B2"/>
    <w:rsid w:val="00C85CD5"/>
    <w:rsid w:val="00C904A8"/>
    <w:rsid w:val="00CB4AF2"/>
    <w:rsid w:val="00CB4F58"/>
    <w:rsid w:val="00CB651E"/>
    <w:rsid w:val="00CC30A9"/>
    <w:rsid w:val="00CC4B5D"/>
    <w:rsid w:val="00CC5BE6"/>
    <w:rsid w:val="00CD0B8D"/>
    <w:rsid w:val="00CD0BA5"/>
    <w:rsid w:val="00CD7D81"/>
    <w:rsid w:val="00CF779D"/>
    <w:rsid w:val="00CF7E9B"/>
    <w:rsid w:val="00D03E21"/>
    <w:rsid w:val="00D11A00"/>
    <w:rsid w:val="00D11ADD"/>
    <w:rsid w:val="00D17AD0"/>
    <w:rsid w:val="00D300D6"/>
    <w:rsid w:val="00D322C3"/>
    <w:rsid w:val="00D3326A"/>
    <w:rsid w:val="00D365C7"/>
    <w:rsid w:val="00D4377F"/>
    <w:rsid w:val="00D508BB"/>
    <w:rsid w:val="00D520E5"/>
    <w:rsid w:val="00D547F4"/>
    <w:rsid w:val="00D814ED"/>
    <w:rsid w:val="00D8772E"/>
    <w:rsid w:val="00D9337A"/>
    <w:rsid w:val="00D94A24"/>
    <w:rsid w:val="00DA05F3"/>
    <w:rsid w:val="00DA11E3"/>
    <w:rsid w:val="00DA3609"/>
    <w:rsid w:val="00DB0E55"/>
    <w:rsid w:val="00DB14DE"/>
    <w:rsid w:val="00DC28B2"/>
    <w:rsid w:val="00DD6490"/>
    <w:rsid w:val="00DD73ED"/>
    <w:rsid w:val="00DE2FB7"/>
    <w:rsid w:val="00DE3174"/>
    <w:rsid w:val="00DE5A3C"/>
    <w:rsid w:val="00DF7BA7"/>
    <w:rsid w:val="00E02022"/>
    <w:rsid w:val="00E04FFC"/>
    <w:rsid w:val="00E07AB4"/>
    <w:rsid w:val="00E11266"/>
    <w:rsid w:val="00E14BF4"/>
    <w:rsid w:val="00E15D45"/>
    <w:rsid w:val="00E20E7D"/>
    <w:rsid w:val="00E25535"/>
    <w:rsid w:val="00E25D10"/>
    <w:rsid w:val="00E368E9"/>
    <w:rsid w:val="00E43736"/>
    <w:rsid w:val="00E47894"/>
    <w:rsid w:val="00E50D89"/>
    <w:rsid w:val="00E51E76"/>
    <w:rsid w:val="00E55FCF"/>
    <w:rsid w:val="00E64D0A"/>
    <w:rsid w:val="00E74868"/>
    <w:rsid w:val="00E771A7"/>
    <w:rsid w:val="00E8274D"/>
    <w:rsid w:val="00E84179"/>
    <w:rsid w:val="00E94A44"/>
    <w:rsid w:val="00E94C8E"/>
    <w:rsid w:val="00EA5AE0"/>
    <w:rsid w:val="00EB7661"/>
    <w:rsid w:val="00EC1ADF"/>
    <w:rsid w:val="00ED118A"/>
    <w:rsid w:val="00ED28BA"/>
    <w:rsid w:val="00EE694E"/>
    <w:rsid w:val="00EF06B0"/>
    <w:rsid w:val="00EF4B59"/>
    <w:rsid w:val="00F056B4"/>
    <w:rsid w:val="00F10819"/>
    <w:rsid w:val="00F11FE2"/>
    <w:rsid w:val="00F1557F"/>
    <w:rsid w:val="00F16E58"/>
    <w:rsid w:val="00F21AEA"/>
    <w:rsid w:val="00F301F4"/>
    <w:rsid w:val="00F41640"/>
    <w:rsid w:val="00F417A5"/>
    <w:rsid w:val="00F50C4D"/>
    <w:rsid w:val="00F50FB7"/>
    <w:rsid w:val="00F52816"/>
    <w:rsid w:val="00F556A2"/>
    <w:rsid w:val="00F55B88"/>
    <w:rsid w:val="00F55FBA"/>
    <w:rsid w:val="00F61835"/>
    <w:rsid w:val="00F61B62"/>
    <w:rsid w:val="00F651D2"/>
    <w:rsid w:val="00F727BF"/>
    <w:rsid w:val="00F738B3"/>
    <w:rsid w:val="00F824CD"/>
    <w:rsid w:val="00FA0250"/>
    <w:rsid w:val="00FA2B31"/>
    <w:rsid w:val="00FA2ECE"/>
    <w:rsid w:val="00FA465D"/>
    <w:rsid w:val="00FA575B"/>
    <w:rsid w:val="00FA5E73"/>
    <w:rsid w:val="00FA778A"/>
    <w:rsid w:val="00FB0225"/>
    <w:rsid w:val="00FB1FA8"/>
    <w:rsid w:val="00FB28CD"/>
    <w:rsid w:val="00FB3131"/>
    <w:rsid w:val="00FB3F8E"/>
    <w:rsid w:val="00FB6A3F"/>
    <w:rsid w:val="00FB72C3"/>
    <w:rsid w:val="00FC0353"/>
    <w:rsid w:val="00FC4149"/>
    <w:rsid w:val="00FC7F4F"/>
    <w:rsid w:val="00FD0BA6"/>
    <w:rsid w:val="00FD13C6"/>
    <w:rsid w:val="00FD36D8"/>
    <w:rsid w:val="00FD40F3"/>
    <w:rsid w:val="00FE5DBB"/>
    <w:rsid w:val="00FF3A71"/>
    <w:rsid w:val="12160721"/>
    <w:rsid w:val="18CA7EE2"/>
    <w:rsid w:val="22635651"/>
    <w:rsid w:val="3D9D2F61"/>
    <w:rsid w:val="3EEE3F6B"/>
    <w:rsid w:val="3F640B3B"/>
    <w:rsid w:val="6E8E287B"/>
    <w:rsid w:val="793C1C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qFormat="1" w:uiPriority="99" w:semiHidden="0"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iPriority="99"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1"/>
    <w:basedOn w:val="1"/>
    <w:next w:val="1"/>
    <w:link w:val="52"/>
    <w:qFormat/>
    <w:uiPriority w:val="9"/>
    <w:pPr>
      <w:keepNext/>
      <w:keepLines/>
      <w:widowControl w:val="0"/>
      <w:numPr>
        <w:ilvl w:val="0"/>
        <w:numId w:val="1"/>
      </w:numPr>
      <w:spacing w:before="120" w:after="120" w:line="360" w:lineRule="auto"/>
      <w:jc w:val="both"/>
      <w:outlineLvl w:val="0"/>
    </w:pPr>
    <w:rPr>
      <w:rFonts w:asciiTheme="minorHAnsi" w:hAnsiTheme="minorHAnsi" w:eastAsiaTheme="minorEastAsia" w:cstheme="minorBidi"/>
      <w:b/>
      <w:bCs/>
      <w:kern w:val="44"/>
      <w:sz w:val="44"/>
      <w:szCs w:val="44"/>
    </w:rPr>
  </w:style>
  <w:style w:type="paragraph" w:styleId="3">
    <w:name w:val="heading 2"/>
    <w:basedOn w:val="1"/>
    <w:next w:val="1"/>
    <w:link w:val="53"/>
    <w:unhideWhenUsed/>
    <w:qFormat/>
    <w:uiPriority w:val="9"/>
    <w:pPr>
      <w:keepNext/>
      <w:keepLines/>
      <w:widowControl w:val="0"/>
      <w:numPr>
        <w:ilvl w:val="0"/>
        <w:numId w:val="2"/>
      </w:numPr>
      <w:spacing w:line="360" w:lineRule="auto"/>
      <w:jc w:val="both"/>
      <w:outlineLvl w:val="1"/>
    </w:pPr>
    <w:rPr>
      <w:rFonts w:cstheme="majorBidi"/>
      <w:b/>
      <w:bCs/>
      <w:kern w:val="2"/>
      <w:sz w:val="30"/>
      <w:szCs w:val="30"/>
    </w:rPr>
  </w:style>
  <w:style w:type="paragraph" w:styleId="4">
    <w:name w:val="heading 3"/>
    <w:basedOn w:val="1"/>
    <w:next w:val="1"/>
    <w:link w:val="54"/>
    <w:unhideWhenUsed/>
    <w:qFormat/>
    <w:uiPriority w:val="9"/>
    <w:pPr>
      <w:keepNext/>
      <w:keepLines/>
      <w:widowControl w:val="0"/>
      <w:numPr>
        <w:ilvl w:val="0"/>
        <w:numId w:val="3"/>
      </w:numPr>
      <w:spacing w:line="360" w:lineRule="auto"/>
      <w:jc w:val="both"/>
      <w:outlineLvl w:val="2"/>
    </w:pPr>
    <w:rPr>
      <w:rFonts w:cstheme="minorBidi"/>
      <w:b/>
      <w:bCs/>
      <w:kern w:val="2"/>
      <w:sz w:val="28"/>
      <w:szCs w:val="28"/>
    </w:rPr>
  </w:style>
  <w:style w:type="paragraph" w:styleId="5">
    <w:name w:val="heading 4"/>
    <w:basedOn w:val="1"/>
    <w:next w:val="1"/>
    <w:link w:val="55"/>
    <w:unhideWhenUsed/>
    <w:qFormat/>
    <w:uiPriority w:val="0"/>
    <w:pPr>
      <w:keepNext/>
      <w:keepLines/>
      <w:widowControl w:val="0"/>
      <w:numPr>
        <w:ilvl w:val="3"/>
        <w:numId w:val="1"/>
      </w:numPr>
      <w:spacing w:before="280" w:after="290" w:line="376" w:lineRule="auto"/>
      <w:jc w:val="both"/>
      <w:outlineLvl w:val="3"/>
    </w:pPr>
    <w:rPr>
      <w:rFonts w:cstheme="majorBidi"/>
      <w:b/>
      <w:bCs/>
      <w:kern w:val="2"/>
      <w:lang w:val="zh-CN"/>
    </w:rPr>
  </w:style>
  <w:style w:type="paragraph" w:styleId="6">
    <w:name w:val="heading 5"/>
    <w:basedOn w:val="1"/>
    <w:next w:val="1"/>
    <w:link w:val="56"/>
    <w:unhideWhenUsed/>
    <w:qFormat/>
    <w:uiPriority w:val="0"/>
    <w:pPr>
      <w:keepNext/>
      <w:keepLines/>
      <w:widowControl w:val="0"/>
      <w:numPr>
        <w:ilvl w:val="4"/>
        <w:numId w:val="1"/>
      </w:numPr>
      <w:spacing w:before="280" w:after="290" w:line="376" w:lineRule="auto"/>
      <w:jc w:val="both"/>
      <w:outlineLvl w:val="4"/>
    </w:pPr>
    <w:rPr>
      <w:rFonts w:asciiTheme="minorHAnsi" w:hAnsiTheme="minorHAnsi" w:eastAsiaTheme="minorEastAsia" w:cstheme="minorBidi"/>
      <w:b/>
      <w:bCs/>
      <w:kern w:val="2"/>
      <w:sz w:val="28"/>
      <w:szCs w:val="28"/>
    </w:rPr>
  </w:style>
  <w:style w:type="paragraph" w:styleId="7">
    <w:name w:val="heading 6"/>
    <w:basedOn w:val="1"/>
    <w:next w:val="1"/>
    <w:link w:val="57"/>
    <w:unhideWhenUsed/>
    <w:qFormat/>
    <w:uiPriority w:val="9"/>
    <w:pPr>
      <w:keepNext/>
      <w:keepLines/>
      <w:widowControl w:val="0"/>
      <w:numPr>
        <w:ilvl w:val="5"/>
        <w:numId w:val="1"/>
      </w:numPr>
      <w:spacing w:before="240" w:after="64" w:line="320" w:lineRule="auto"/>
      <w:jc w:val="both"/>
      <w:outlineLvl w:val="5"/>
    </w:pPr>
    <w:rPr>
      <w:rFonts w:asciiTheme="majorHAnsi" w:hAnsiTheme="majorHAnsi" w:eastAsiaTheme="majorEastAsia" w:cstheme="majorBidi"/>
      <w:b/>
      <w:bCs/>
      <w:kern w:val="2"/>
    </w:rPr>
  </w:style>
  <w:style w:type="paragraph" w:styleId="8">
    <w:name w:val="heading 7"/>
    <w:basedOn w:val="1"/>
    <w:next w:val="1"/>
    <w:link w:val="58"/>
    <w:unhideWhenUsed/>
    <w:qFormat/>
    <w:uiPriority w:val="9"/>
    <w:pPr>
      <w:keepNext/>
      <w:keepLines/>
      <w:widowControl w:val="0"/>
      <w:numPr>
        <w:ilvl w:val="6"/>
        <w:numId w:val="1"/>
      </w:numPr>
      <w:spacing w:before="240" w:after="64" w:line="320" w:lineRule="auto"/>
      <w:jc w:val="both"/>
      <w:outlineLvl w:val="6"/>
    </w:pPr>
    <w:rPr>
      <w:rFonts w:asciiTheme="minorHAnsi" w:hAnsiTheme="minorHAnsi" w:eastAsiaTheme="minorEastAsia" w:cstheme="minorBidi"/>
      <w:b/>
      <w:bCs/>
      <w:kern w:val="2"/>
    </w:rPr>
  </w:style>
  <w:style w:type="paragraph" w:styleId="9">
    <w:name w:val="heading 8"/>
    <w:basedOn w:val="1"/>
    <w:next w:val="1"/>
    <w:link w:val="59"/>
    <w:unhideWhenUsed/>
    <w:qFormat/>
    <w:uiPriority w:val="9"/>
    <w:pPr>
      <w:keepNext/>
      <w:keepLines/>
      <w:widowControl w:val="0"/>
      <w:numPr>
        <w:ilvl w:val="7"/>
        <w:numId w:val="1"/>
      </w:numPr>
      <w:spacing w:before="240" w:after="64" w:line="320" w:lineRule="auto"/>
      <w:jc w:val="both"/>
      <w:outlineLvl w:val="7"/>
    </w:pPr>
    <w:rPr>
      <w:rFonts w:asciiTheme="majorHAnsi" w:hAnsiTheme="majorHAnsi" w:eastAsiaTheme="majorEastAsia" w:cstheme="majorBidi"/>
      <w:kern w:val="2"/>
    </w:rPr>
  </w:style>
  <w:style w:type="paragraph" w:styleId="10">
    <w:name w:val="heading 9"/>
    <w:basedOn w:val="1"/>
    <w:next w:val="1"/>
    <w:link w:val="60"/>
    <w:unhideWhenUsed/>
    <w:qFormat/>
    <w:uiPriority w:val="9"/>
    <w:pPr>
      <w:keepNext/>
      <w:keepLines/>
      <w:widowControl w:val="0"/>
      <w:numPr>
        <w:ilvl w:val="8"/>
        <w:numId w:val="1"/>
      </w:numPr>
      <w:spacing w:before="240" w:after="64" w:line="320" w:lineRule="auto"/>
      <w:jc w:val="both"/>
      <w:outlineLvl w:val="8"/>
    </w:pPr>
    <w:rPr>
      <w:rFonts w:asciiTheme="majorHAnsi" w:hAnsiTheme="majorHAnsi" w:eastAsiaTheme="majorEastAsia" w:cstheme="majorBidi"/>
      <w:kern w:val="2"/>
      <w:sz w:val="21"/>
      <w:szCs w:val="21"/>
    </w:rPr>
  </w:style>
  <w:style w:type="character" w:default="1" w:styleId="44">
    <w:name w:val="Default Paragraph Font"/>
    <w:semiHidden/>
    <w:unhideWhenUsed/>
    <w:uiPriority w:val="1"/>
  </w:style>
  <w:style w:type="table" w:default="1" w:styleId="42">
    <w:name w:val="Normal Table"/>
    <w:semiHidden/>
    <w:unhideWhenUsed/>
    <w:uiPriority w:val="99"/>
    <w:tblPr>
      <w:tblCellMar>
        <w:top w:w="0" w:type="dxa"/>
        <w:left w:w="108" w:type="dxa"/>
        <w:bottom w:w="0" w:type="dxa"/>
        <w:right w:w="108" w:type="dxa"/>
      </w:tblCellMar>
    </w:tblPr>
  </w:style>
  <w:style w:type="paragraph" w:styleId="11">
    <w:name w:val="toc 7"/>
    <w:basedOn w:val="1"/>
    <w:next w:val="1"/>
    <w:qFormat/>
    <w:uiPriority w:val="39"/>
    <w:pPr>
      <w:widowControl w:val="0"/>
      <w:ind w:left="1260"/>
    </w:pPr>
    <w:rPr>
      <w:rFonts w:cs="Times New Roman" w:asciiTheme="minorHAnsi" w:hAnsiTheme="minorHAnsi"/>
      <w:kern w:val="2"/>
      <w:sz w:val="18"/>
      <w:szCs w:val="18"/>
    </w:rPr>
  </w:style>
  <w:style w:type="paragraph" w:styleId="12">
    <w:name w:val="Normal Indent"/>
    <w:basedOn w:val="1"/>
    <w:link w:val="74"/>
    <w:qFormat/>
    <w:uiPriority w:val="99"/>
    <w:pPr>
      <w:widowControl w:val="0"/>
      <w:spacing w:line="560" w:lineRule="exact"/>
      <w:ind w:firstLine="420"/>
      <w:jc w:val="both"/>
    </w:pPr>
    <w:rPr>
      <w:rFonts w:ascii="Times New Roman" w:hAnsi="Times New Roman" w:eastAsia="仿宋" w:cs="Times New Roman"/>
      <w:kern w:val="2"/>
      <w:sz w:val="28"/>
      <w:szCs w:val="20"/>
      <w:lang w:val="zh-CN"/>
    </w:rPr>
  </w:style>
  <w:style w:type="paragraph" w:styleId="13">
    <w:name w:val="caption"/>
    <w:basedOn w:val="1"/>
    <w:next w:val="1"/>
    <w:link w:val="75"/>
    <w:qFormat/>
    <w:uiPriority w:val="35"/>
    <w:pPr>
      <w:widowControl w:val="0"/>
      <w:jc w:val="both"/>
    </w:pPr>
    <w:rPr>
      <w:rFonts w:ascii="仿宋" w:hAnsi="仿宋" w:eastAsia="黑体" w:cs="Times New Roman"/>
      <w:kern w:val="2"/>
      <w:sz w:val="20"/>
      <w:szCs w:val="20"/>
      <w:lang w:val="zh-CN"/>
    </w:rPr>
  </w:style>
  <w:style w:type="paragraph" w:styleId="14">
    <w:name w:val="Document Map"/>
    <w:basedOn w:val="1"/>
    <w:link w:val="76"/>
    <w:qFormat/>
    <w:uiPriority w:val="99"/>
    <w:pPr>
      <w:widowControl w:val="0"/>
      <w:shd w:val="clear" w:color="auto" w:fill="000080"/>
      <w:jc w:val="both"/>
    </w:pPr>
    <w:rPr>
      <w:rFonts w:ascii="Calibri" w:hAnsi="Calibri" w:cs="Times New Roman"/>
      <w:kern w:val="2"/>
      <w:sz w:val="32"/>
      <w:szCs w:val="22"/>
      <w:lang w:val="zh-CN"/>
    </w:rPr>
  </w:style>
  <w:style w:type="paragraph" w:styleId="15">
    <w:name w:val="annotation text"/>
    <w:basedOn w:val="1"/>
    <w:link w:val="70"/>
    <w:unhideWhenUsed/>
    <w:qFormat/>
    <w:uiPriority w:val="99"/>
    <w:pPr>
      <w:widowControl w:val="0"/>
    </w:pPr>
    <w:rPr>
      <w:rFonts w:asciiTheme="minorHAnsi" w:hAnsiTheme="minorHAnsi" w:eastAsiaTheme="minorEastAsia" w:cstheme="minorBidi"/>
      <w:kern w:val="2"/>
      <w:sz w:val="21"/>
      <w:szCs w:val="22"/>
    </w:rPr>
  </w:style>
  <w:style w:type="paragraph" w:styleId="16">
    <w:name w:val="Body Text"/>
    <w:basedOn w:val="1"/>
    <w:link w:val="72"/>
    <w:unhideWhenUsed/>
    <w:qFormat/>
    <w:uiPriority w:val="99"/>
    <w:pPr>
      <w:widowControl w:val="0"/>
      <w:spacing w:after="120"/>
      <w:jc w:val="both"/>
    </w:pPr>
    <w:rPr>
      <w:rFonts w:asciiTheme="minorHAnsi" w:hAnsiTheme="minorHAnsi" w:eastAsiaTheme="minorEastAsia" w:cstheme="minorBidi"/>
      <w:kern w:val="2"/>
      <w:sz w:val="21"/>
      <w:szCs w:val="22"/>
    </w:rPr>
  </w:style>
  <w:style w:type="paragraph" w:styleId="17">
    <w:name w:val="Body Text Indent"/>
    <w:basedOn w:val="1"/>
    <w:link w:val="77"/>
    <w:qFormat/>
    <w:uiPriority w:val="99"/>
    <w:pPr>
      <w:widowControl w:val="0"/>
      <w:spacing w:after="120"/>
      <w:ind w:left="420" w:leftChars="200"/>
      <w:jc w:val="both"/>
    </w:pPr>
    <w:rPr>
      <w:rFonts w:ascii="Calibri" w:hAnsi="Calibri" w:cs="Times New Roman"/>
      <w:kern w:val="2"/>
      <w:sz w:val="21"/>
      <w:szCs w:val="22"/>
    </w:rPr>
  </w:style>
  <w:style w:type="paragraph" w:styleId="18">
    <w:name w:val="toc 5"/>
    <w:basedOn w:val="1"/>
    <w:next w:val="1"/>
    <w:qFormat/>
    <w:uiPriority w:val="39"/>
    <w:pPr>
      <w:widowControl w:val="0"/>
      <w:ind w:left="840"/>
    </w:pPr>
    <w:rPr>
      <w:rFonts w:cs="Times New Roman" w:asciiTheme="minorHAnsi" w:hAnsiTheme="minorHAnsi"/>
      <w:kern w:val="2"/>
      <w:sz w:val="18"/>
      <w:szCs w:val="18"/>
    </w:rPr>
  </w:style>
  <w:style w:type="paragraph" w:styleId="19">
    <w:name w:val="toc 3"/>
    <w:basedOn w:val="1"/>
    <w:next w:val="1"/>
    <w:qFormat/>
    <w:uiPriority w:val="39"/>
    <w:pPr>
      <w:widowControl w:val="0"/>
      <w:ind w:left="420"/>
    </w:pPr>
    <w:rPr>
      <w:rFonts w:cs="Times New Roman" w:asciiTheme="minorHAnsi" w:hAnsiTheme="minorHAnsi"/>
      <w:i/>
      <w:iCs/>
      <w:kern w:val="2"/>
      <w:sz w:val="20"/>
      <w:szCs w:val="20"/>
    </w:rPr>
  </w:style>
  <w:style w:type="paragraph" w:styleId="20">
    <w:name w:val="Plain Text"/>
    <w:basedOn w:val="1"/>
    <w:link w:val="235"/>
    <w:unhideWhenUsed/>
    <w:qFormat/>
    <w:uiPriority w:val="99"/>
    <w:rPr>
      <w:rFonts w:eastAsiaTheme="minorEastAsia"/>
      <w:kern w:val="2"/>
    </w:rPr>
  </w:style>
  <w:style w:type="paragraph" w:styleId="21">
    <w:name w:val="toc 8"/>
    <w:basedOn w:val="1"/>
    <w:next w:val="1"/>
    <w:qFormat/>
    <w:uiPriority w:val="39"/>
    <w:pPr>
      <w:widowControl w:val="0"/>
      <w:ind w:left="1470"/>
    </w:pPr>
    <w:rPr>
      <w:rFonts w:cs="Times New Roman" w:asciiTheme="minorHAnsi" w:hAnsiTheme="minorHAnsi"/>
      <w:kern w:val="2"/>
      <w:sz w:val="18"/>
      <w:szCs w:val="18"/>
    </w:rPr>
  </w:style>
  <w:style w:type="paragraph" w:styleId="22">
    <w:name w:val="Date"/>
    <w:basedOn w:val="1"/>
    <w:next w:val="1"/>
    <w:link w:val="78"/>
    <w:qFormat/>
    <w:uiPriority w:val="99"/>
    <w:pPr>
      <w:widowControl w:val="0"/>
      <w:ind w:left="100" w:leftChars="2500"/>
      <w:jc w:val="both"/>
    </w:pPr>
    <w:rPr>
      <w:rFonts w:ascii="Calibri" w:hAnsi="Calibri" w:cs="Times New Roman"/>
      <w:kern w:val="2"/>
      <w:sz w:val="21"/>
      <w:szCs w:val="22"/>
      <w:lang w:val="zh-CN"/>
    </w:rPr>
  </w:style>
  <w:style w:type="paragraph" w:styleId="23">
    <w:name w:val="Body Text Indent 2"/>
    <w:basedOn w:val="1"/>
    <w:link w:val="79"/>
    <w:qFormat/>
    <w:uiPriority w:val="99"/>
    <w:pPr>
      <w:widowControl w:val="0"/>
      <w:spacing w:after="120" w:line="480" w:lineRule="auto"/>
      <w:ind w:left="420" w:leftChars="200"/>
      <w:jc w:val="both"/>
    </w:pPr>
    <w:rPr>
      <w:rFonts w:ascii="Calibri" w:hAnsi="Calibri" w:cs="Times New Roman"/>
      <w:kern w:val="2"/>
      <w:sz w:val="21"/>
      <w:szCs w:val="22"/>
      <w:lang w:val="zh-CN"/>
    </w:rPr>
  </w:style>
  <w:style w:type="paragraph" w:styleId="24">
    <w:name w:val="Balloon Text"/>
    <w:basedOn w:val="1"/>
    <w:link w:val="64"/>
    <w:unhideWhenUsed/>
    <w:qFormat/>
    <w:uiPriority w:val="99"/>
    <w:pPr>
      <w:widowControl w:val="0"/>
      <w:jc w:val="both"/>
    </w:pPr>
    <w:rPr>
      <w:rFonts w:asciiTheme="minorHAnsi" w:hAnsiTheme="minorHAnsi" w:eastAsiaTheme="minorEastAsia" w:cstheme="minorBidi"/>
      <w:kern w:val="2"/>
      <w:sz w:val="18"/>
      <w:szCs w:val="18"/>
    </w:rPr>
  </w:style>
  <w:style w:type="paragraph" w:styleId="25">
    <w:name w:val="footer"/>
    <w:basedOn w:val="1"/>
    <w:link w:val="62"/>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26">
    <w:name w:val="header"/>
    <w:basedOn w:val="1"/>
    <w:link w:val="61"/>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27">
    <w:name w:val="toc 1"/>
    <w:basedOn w:val="1"/>
    <w:next w:val="1"/>
    <w:qFormat/>
    <w:uiPriority w:val="39"/>
    <w:pPr>
      <w:widowControl w:val="0"/>
      <w:tabs>
        <w:tab w:val="left" w:pos="420"/>
        <w:tab w:val="right" w:leader="dot" w:pos="8296"/>
      </w:tabs>
      <w:spacing w:before="120" w:after="120"/>
    </w:pPr>
    <w:rPr>
      <w:rFonts w:ascii="黑体" w:hAnsi="黑体" w:eastAsia="黑体" w:cs="Times New Roman"/>
      <w:b/>
      <w:bCs/>
      <w:caps/>
      <w:kern w:val="2"/>
      <w:sz w:val="30"/>
      <w:szCs w:val="30"/>
    </w:rPr>
  </w:style>
  <w:style w:type="paragraph" w:styleId="28">
    <w:name w:val="toc 4"/>
    <w:basedOn w:val="1"/>
    <w:next w:val="1"/>
    <w:qFormat/>
    <w:uiPriority w:val="39"/>
    <w:pPr>
      <w:widowControl w:val="0"/>
      <w:ind w:left="630"/>
    </w:pPr>
    <w:rPr>
      <w:rFonts w:cs="Times New Roman" w:asciiTheme="minorHAnsi" w:hAnsiTheme="minorHAnsi"/>
      <w:kern w:val="2"/>
      <w:sz w:val="18"/>
      <w:szCs w:val="18"/>
    </w:rPr>
  </w:style>
  <w:style w:type="paragraph" w:styleId="29">
    <w:name w:val="Subtitle"/>
    <w:basedOn w:val="1"/>
    <w:next w:val="1"/>
    <w:link w:val="80"/>
    <w:qFormat/>
    <w:uiPriority w:val="11"/>
    <w:pPr>
      <w:widowControl w:val="0"/>
      <w:spacing w:before="240" w:after="60" w:line="312" w:lineRule="auto"/>
      <w:jc w:val="center"/>
      <w:outlineLvl w:val="1"/>
    </w:pPr>
    <w:rPr>
      <w:rFonts w:ascii="仿宋" w:hAnsi="仿宋" w:cs="Times New Roman"/>
      <w:b/>
      <w:bCs/>
      <w:kern w:val="28"/>
      <w:sz w:val="32"/>
      <w:szCs w:val="32"/>
      <w:lang w:val="zh-CN"/>
    </w:rPr>
  </w:style>
  <w:style w:type="paragraph" w:styleId="30">
    <w:name w:val="footnote text"/>
    <w:basedOn w:val="1"/>
    <w:link w:val="81"/>
    <w:unhideWhenUsed/>
    <w:qFormat/>
    <w:uiPriority w:val="99"/>
    <w:pPr>
      <w:widowControl w:val="0"/>
      <w:snapToGrid w:val="0"/>
      <w:ind w:firstLine="200" w:firstLineChars="200"/>
    </w:pPr>
    <w:rPr>
      <w:rFonts w:ascii="Calibri" w:hAnsi="Calibri" w:cs="Times New Roman"/>
      <w:kern w:val="2"/>
      <w:sz w:val="18"/>
      <w:szCs w:val="18"/>
      <w:lang w:val="zh-CN"/>
    </w:rPr>
  </w:style>
  <w:style w:type="paragraph" w:styleId="31">
    <w:name w:val="toc 6"/>
    <w:basedOn w:val="1"/>
    <w:next w:val="1"/>
    <w:qFormat/>
    <w:uiPriority w:val="39"/>
    <w:pPr>
      <w:widowControl w:val="0"/>
      <w:ind w:left="1050"/>
    </w:pPr>
    <w:rPr>
      <w:rFonts w:cs="Times New Roman" w:asciiTheme="minorHAnsi" w:hAnsiTheme="minorHAnsi"/>
      <w:kern w:val="2"/>
      <w:sz w:val="18"/>
      <w:szCs w:val="18"/>
    </w:rPr>
  </w:style>
  <w:style w:type="paragraph" w:styleId="32">
    <w:name w:val="Body Text Indent 3"/>
    <w:basedOn w:val="1"/>
    <w:link w:val="82"/>
    <w:unhideWhenUsed/>
    <w:qFormat/>
    <w:uiPriority w:val="99"/>
    <w:pPr>
      <w:widowControl w:val="0"/>
      <w:spacing w:after="120"/>
      <w:ind w:left="420" w:leftChars="200"/>
      <w:jc w:val="both"/>
    </w:pPr>
    <w:rPr>
      <w:rFonts w:ascii="Calibri" w:hAnsi="Calibri" w:cs="Times New Roman"/>
      <w:kern w:val="2"/>
      <w:sz w:val="16"/>
      <w:szCs w:val="16"/>
      <w:lang w:val="zh-CN"/>
    </w:rPr>
  </w:style>
  <w:style w:type="paragraph" w:styleId="33">
    <w:name w:val="table of figures"/>
    <w:basedOn w:val="1"/>
    <w:next w:val="1"/>
    <w:unhideWhenUsed/>
    <w:qFormat/>
    <w:uiPriority w:val="99"/>
    <w:pPr>
      <w:widowControl w:val="0"/>
      <w:spacing w:line="360" w:lineRule="auto"/>
      <w:ind w:left="200" w:leftChars="200" w:hanging="200" w:hangingChars="200"/>
      <w:jc w:val="both"/>
    </w:pPr>
    <w:rPr>
      <w:rFonts w:asciiTheme="minorHAnsi" w:hAnsiTheme="minorHAnsi" w:cstheme="minorBidi"/>
      <w:kern w:val="2"/>
      <w:szCs w:val="21"/>
    </w:rPr>
  </w:style>
  <w:style w:type="paragraph" w:styleId="34">
    <w:name w:val="toc 2"/>
    <w:basedOn w:val="1"/>
    <w:next w:val="1"/>
    <w:qFormat/>
    <w:uiPriority w:val="39"/>
    <w:pPr>
      <w:widowControl w:val="0"/>
      <w:ind w:left="210"/>
    </w:pPr>
    <w:rPr>
      <w:rFonts w:cs="Times New Roman" w:asciiTheme="minorHAnsi" w:hAnsiTheme="minorHAnsi"/>
      <w:smallCaps/>
      <w:kern w:val="2"/>
      <w:sz w:val="20"/>
      <w:szCs w:val="20"/>
    </w:rPr>
  </w:style>
  <w:style w:type="paragraph" w:styleId="35">
    <w:name w:val="toc 9"/>
    <w:basedOn w:val="1"/>
    <w:next w:val="1"/>
    <w:qFormat/>
    <w:uiPriority w:val="39"/>
    <w:pPr>
      <w:widowControl w:val="0"/>
      <w:ind w:left="1680"/>
    </w:pPr>
    <w:rPr>
      <w:rFonts w:cs="Times New Roman" w:asciiTheme="minorHAnsi" w:hAnsiTheme="minorHAnsi"/>
      <w:kern w:val="2"/>
      <w:sz w:val="18"/>
      <w:szCs w:val="18"/>
    </w:rPr>
  </w:style>
  <w:style w:type="paragraph" w:styleId="36">
    <w:name w:val="Body Text 2"/>
    <w:basedOn w:val="1"/>
    <w:link w:val="83"/>
    <w:qFormat/>
    <w:uiPriority w:val="99"/>
    <w:pPr>
      <w:widowControl w:val="0"/>
      <w:spacing w:after="120" w:line="480" w:lineRule="auto"/>
      <w:jc w:val="both"/>
    </w:pPr>
    <w:rPr>
      <w:rFonts w:ascii="Calibri" w:hAnsi="Calibri" w:cs="Times New Roman"/>
      <w:kern w:val="2"/>
      <w:sz w:val="21"/>
      <w:szCs w:val="22"/>
      <w:lang w:val="zh-CN"/>
    </w:rPr>
  </w:style>
  <w:style w:type="paragraph" w:styleId="37">
    <w:name w:val="HTML Preformatted"/>
    <w:basedOn w:val="1"/>
    <w:link w:val="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Times New Roman"/>
      <w:lang w:val="zh-CN"/>
    </w:rPr>
  </w:style>
  <w:style w:type="paragraph" w:styleId="38">
    <w:name w:val="Normal (Web)"/>
    <w:basedOn w:val="1"/>
    <w:qFormat/>
    <w:uiPriority w:val="99"/>
    <w:pPr>
      <w:spacing w:before="100" w:beforeAutospacing="1" w:after="100" w:afterAutospacing="1"/>
    </w:pPr>
  </w:style>
  <w:style w:type="paragraph" w:styleId="39">
    <w:name w:val="Title"/>
    <w:basedOn w:val="1"/>
    <w:next w:val="1"/>
    <w:link w:val="85"/>
    <w:qFormat/>
    <w:uiPriority w:val="10"/>
    <w:pPr>
      <w:widowControl w:val="0"/>
      <w:spacing w:before="240" w:after="60"/>
      <w:jc w:val="center"/>
      <w:outlineLvl w:val="0"/>
    </w:pPr>
    <w:rPr>
      <w:rFonts w:ascii="仿宋" w:hAnsi="仿宋" w:cs="Times New Roman"/>
      <w:b/>
      <w:bCs/>
      <w:sz w:val="32"/>
      <w:szCs w:val="32"/>
      <w:lang w:val="zh-CN"/>
    </w:rPr>
  </w:style>
  <w:style w:type="paragraph" w:styleId="40">
    <w:name w:val="annotation subject"/>
    <w:basedOn w:val="15"/>
    <w:next w:val="15"/>
    <w:link w:val="71"/>
    <w:qFormat/>
    <w:uiPriority w:val="99"/>
    <w:rPr>
      <w:rFonts w:ascii="Calibri" w:hAnsi="Calibri" w:eastAsia="宋体" w:cs="Times New Roman"/>
      <w:b/>
      <w:bCs/>
      <w:lang w:val="zh-CN"/>
    </w:rPr>
  </w:style>
  <w:style w:type="paragraph" w:styleId="41">
    <w:name w:val="Body Text First Indent"/>
    <w:basedOn w:val="16"/>
    <w:link w:val="73"/>
    <w:qFormat/>
    <w:uiPriority w:val="99"/>
    <w:pPr>
      <w:ind w:firstLine="420"/>
    </w:pPr>
    <w:rPr>
      <w:rFonts w:ascii="仿宋" w:hAnsi="仿宋" w:eastAsia="宋体" w:cs="Times New Roman"/>
      <w:lang w:val="zh-CN"/>
    </w:rPr>
  </w:style>
  <w:style w:type="table" w:styleId="43">
    <w:name w:val="Table Grid"/>
    <w:basedOn w:val="42"/>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qFormat/>
    <w:uiPriority w:val="22"/>
    <w:rPr>
      <w:b/>
      <w:bCs/>
    </w:rPr>
  </w:style>
  <w:style w:type="character" w:styleId="46">
    <w:name w:val="page number"/>
    <w:basedOn w:val="44"/>
    <w:qFormat/>
    <w:uiPriority w:val="0"/>
  </w:style>
  <w:style w:type="character" w:styleId="47">
    <w:name w:val="FollowedHyperlink"/>
    <w:unhideWhenUsed/>
    <w:qFormat/>
    <w:uiPriority w:val="99"/>
    <w:rPr>
      <w:color w:val="800080"/>
      <w:u w:val="single"/>
    </w:rPr>
  </w:style>
  <w:style w:type="character" w:styleId="48">
    <w:name w:val="Emphasis"/>
    <w:qFormat/>
    <w:uiPriority w:val="20"/>
    <w:rPr>
      <w:i/>
      <w:iCs/>
    </w:rPr>
  </w:style>
  <w:style w:type="character" w:styleId="49">
    <w:name w:val="Hyperlink"/>
    <w:qFormat/>
    <w:uiPriority w:val="99"/>
    <w:rPr>
      <w:color w:val="0000FF"/>
      <w:u w:val="single"/>
    </w:rPr>
  </w:style>
  <w:style w:type="character" w:styleId="50">
    <w:name w:val="annotation reference"/>
    <w:qFormat/>
    <w:uiPriority w:val="99"/>
    <w:rPr>
      <w:sz w:val="21"/>
      <w:szCs w:val="21"/>
    </w:rPr>
  </w:style>
  <w:style w:type="character" w:styleId="51">
    <w:name w:val="footnote reference"/>
    <w:unhideWhenUsed/>
    <w:qFormat/>
    <w:uiPriority w:val="99"/>
    <w:rPr>
      <w:vertAlign w:val="superscript"/>
    </w:rPr>
  </w:style>
  <w:style w:type="character" w:customStyle="1" w:styleId="52">
    <w:name w:val="标题 1 字符"/>
    <w:basedOn w:val="44"/>
    <w:link w:val="2"/>
    <w:qFormat/>
    <w:uiPriority w:val="9"/>
    <w:rPr>
      <w:b/>
      <w:bCs/>
      <w:kern w:val="44"/>
      <w:sz w:val="44"/>
      <w:szCs w:val="44"/>
    </w:rPr>
  </w:style>
  <w:style w:type="character" w:customStyle="1" w:styleId="53">
    <w:name w:val="标题 2 字符"/>
    <w:basedOn w:val="44"/>
    <w:link w:val="3"/>
    <w:qFormat/>
    <w:uiPriority w:val="9"/>
    <w:rPr>
      <w:rFonts w:ascii="宋体" w:hAnsi="宋体" w:eastAsia="宋体" w:cstheme="majorBidi"/>
      <w:b/>
      <w:bCs/>
      <w:sz w:val="30"/>
      <w:szCs w:val="30"/>
    </w:rPr>
  </w:style>
  <w:style w:type="character" w:customStyle="1" w:styleId="54">
    <w:name w:val="标题 3 字符"/>
    <w:basedOn w:val="44"/>
    <w:link w:val="4"/>
    <w:qFormat/>
    <w:uiPriority w:val="9"/>
    <w:rPr>
      <w:rFonts w:ascii="宋体" w:hAnsi="宋体" w:eastAsia="宋体"/>
      <w:b/>
      <w:bCs/>
      <w:sz w:val="28"/>
      <w:szCs w:val="28"/>
    </w:rPr>
  </w:style>
  <w:style w:type="character" w:customStyle="1" w:styleId="55">
    <w:name w:val="标题 4 字符"/>
    <w:basedOn w:val="44"/>
    <w:link w:val="5"/>
    <w:qFormat/>
    <w:uiPriority w:val="0"/>
    <w:rPr>
      <w:rFonts w:ascii="宋体" w:hAnsi="宋体" w:eastAsia="宋体" w:cstheme="majorBidi"/>
      <w:b/>
      <w:bCs/>
      <w:sz w:val="24"/>
      <w:szCs w:val="24"/>
      <w:lang w:val="zh-CN"/>
    </w:rPr>
  </w:style>
  <w:style w:type="character" w:customStyle="1" w:styleId="56">
    <w:name w:val="标题 5 字符"/>
    <w:basedOn w:val="44"/>
    <w:link w:val="6"/>
    <w:qFormat/>
    <w:uiPriority w:val="0"/>
    <w:rPr>
      <w:b/>
      <w:bCs/>
      <w:sz w:val="28"/>
      <w:szCs w:val="28"/>
    </w:rPr>
  </w:style>
  <w:style w:type="character" w:customStyle="1" w:styleId="57">
    <w:name w:val="标题 6 字符"/>
    <w:basedOn w:val="44"/>
    <w:link w:val="7"/>
    <w:qFormat/>
    <w:uiPriority w:val="9"/>
    <w:rPr>
      <w:rFonts w:asciiTheme="majorHAnsi" w:hAnsiTheme="majorHAnsi" w:eastAsiaTheme="majorEastAsia" w:cstheme="majorBidi"/>
      <w:b/>
      <w:bCs/>
      <w:sz w:val="24"/>
      <w:szCs w:val="24"/>
    </w:rPr>
  </w:style>
  <w:style w:type="character" w:customStyle="1" w:styleId="58">
    <w:name w:val="标题 7 字符"/>
    <w:basedOn w:val="44"/>
    <w:link w:val="8"/>
    <w:qFormat/>
    <w:uiPriority w:val="9"/>
    <w:rPr>
      <w:b/>
      <w:bCs/>
      <w:sz w:val="24"/>
      <w:szCs w:val="24"/>
    </w:rPr>
  </w:style>
  <w:style w:type="character" w:customStyle="1" w:styleId="59">
    <w:name w:val="标题 8 字符"/>
    <w:basedOn w:val="44"/>
    <w:link w:val="9"/>
    <w:qFormat/>
    <w:uiPriority w:val="9"/>
    <w:rPr>
      <w:rFonts w:asciiTheme="majorHAnsi" w:hAnsiTheme="majorHAnsi" w:eastAsiaTheme="majorEastAsia" w:cstheme="majorBidi"/>
      <w:sz w:val="24"/>
      <w:szCs w:val="24"/>
    </w:rPr>
  </w:style>
  <w:style w:type="character" w:customStyle="1" w:styleId="60">
    <w:name w:val="标题 9 字符"/>
    <w:basedOn w:val="44"/>
    <w:link w:val="10"/>
    <w:qFormat/>
    <w:uiPriority w:val="9"/>
    <w:rPr>
      <w:rFonts w:asciiTheme="majorHAnsi" w:hAnsiTheme="majorHAnsi" w:eastAsiaTheme="majorEastAsia" w:cstheme="majorBidi"/>
      <w:szCs w:val="21"/>
    </w:rPr>
  </w:style>
  <w:style w:type="character" w:customStyle="1" w:styleId="61">
    <w:name w:val="页眉 字符"/>
    <w:basedOn w:val="44"/>
    <w:link w:val="26"/>
    <w:qFormat/>
    <w:uiPriority w:val="99"/>
    <w:rPr>
      <w:sz w:val="18"/>
      <w:szCs w:val="18"/>
    </w:rPr>
  </w:style>
  <w:style w:type="character" w:customStyle="1" w:styleId="62">
    <w:name w:val="页脚 字符"/>
    <w:basedOn w:val="44"/>
    <w:link w:val="25"/>
    <w:qFormat/>
    <w:uiPriority w:val="99"/>
    <w:rPr>
      <w:sz w:val="18"/>
      <w:szCs w:val="18"/>
    </w:rPr>
  </w:style>
  <w:style w:type="paragraph" w:styleId="63">
    <w:name w:val="List Paragraph"/>
    <w:basedOn w:val="1"/>
    <w:qFormat/>
    <w:uiPriority w:val="99"/>
    <w:pPr>
      <w:widowControl w:val="0"/>
      <w:ind w:firstLine="420" w:firstLineChars="200"/>
      <w:jc w:val="both"/>
    </w:pPr>
    <w:rPr>
      <w:rFonts w:asciiTheme="minorHAnsi" w:hAnsiTheme="minorHAnsi" w:eastAsiaTheme="minorEastAsia" w:cstheme="minorBidi"/>
      <w:kern w:val="2"/>
      <w:sz w:val="21"/>
      <w:szCs w:val="22"/>
    </w:rPr>
  </w:style>
  <w:style w:type="character" w:customStyle="1" w:styleId="64">
    <w:name w:val="批注框文本 字符"/>
    <w:basedOn w:val="44"/>
    <w:link w:val="24"/>
    <w:qFormat/>
    <w:uiPriority w:val="99"/>
    <w:rPr>
      <w:sz w:val="18"/>
      <w:szCs w:val="18"/>
    </w:rPr>
  </w:style>
  <w:style w:type="paragraph" w:customStyle="1" w:styleId="65">
    <w:name w:val="段"/>
    <w:qFormat/>
    <w:uiPriority w:val="99"/>
    <w:pPr>
      <w:autoSpaceDE w:val="0"/>
      <w:autoSpaceDN w:val="0"/>
      <w:spacing w:beforeLines="20" w:line="440" w:lineRule="exact"/>
      <w:ind w:firstLine="200" w:firstLineChars="200"/>
      <w:jc w:val="both"/>
    </w:pPr>
    <w:rPr>
      <w:rFonts w:ascii="Times New Roman" w:hAnsi="Times New Roman" w:eastAsia="宋体" w:cs="Times New Roman"/>
      <w:kern w:val="0"/>
      <w:sz w:val="24"/>
      <w:szCs w:val="20"/>
      <w:lang w:val="en-US" w:eastAsia="zh-CN" w:bidi="ar-SA"/>
    </w:rPr>
  </w:style>
  <w:style w:type="paragraph" w:customStyle="1" w:styleId="66">
    <w:name w:val="_正文段落"/>
    <w:basedOn w:val="1"/>
    <w:link w:val="67"/>
    <w:qFormat/>
    <w:uiPriority w:val="0"/>
    <w:pPr>
      <w:widowControl w:val="0"/>
      <w:spacing w:line="360" w:lineRule="auto"/>
      <w:ind w:firstLine="510"/>
      <w:jc w:val="both"/>
    </w:pPr>
    <w:rPr>
      <w:rFonts w:ascii="Arial" w:hAnsi="Arial" w:cs="Arial"/>
      <w:color w:val="000000" w:themeColor="text1"/>
      <w:szCs w:val="21"/>
      <w14:textFill>
        <w14:solidFill>
          <w14:schemeClr w14:val="tx1"/>
        </w14:solidFill>
      </w14:textFill>
    </w:rPr>
  </w:style>
  <w:style w:type="character" w:customStyle="1" w:styleId="67">
    <w:name w:val="_正文段落 Char"/>
    <w:link w:val="66"/>
    <w:qFormat/>
    <w:uiPriority w:val="0"/>
    <w:rPr>
      <w:rFonts w:ascii="Arial" w:hAnsi="Arial" w:eastAsia="宋体" w:cs="Arial"/>
      <w:color w:val="000000" w:themeColor="text1"/>
      <w:kern w:val="0"/>
      <w:sz w:val="24"/>
      <w:szCs w:val="21"/>
      <w14:textFill>
        <w14:solidFill>
          <w14:schemeClr w14:val="tx1"/>
        </w14:solidFill>
      </w14:textFill>
    </w:rPr>
  </w:style>
  <w:style w:type="paragraph" w:customStyle="1" w:styleId="68">
    <w:name w:val="标题 6 + 黑体"/>
    <w:basedOn w:val="1"/>
    <w:uiPriority w:val="0"/>
    <w:pPr>
      <w:widowControl w:val="0"/>
      <w:numPr>
        <w:ilvl w:val="5"/>
        <w:numId w:val="4"/>
      </w:numPr>
      <w:jc w:val="both"/>
    </w:pPr>
    <w:rPr>
      <w:rFonts w:asciiTheme="minorHAnsi" w:hAnsiTheme="minorHAnsi" w:eastAsiaTheme="minorEastAsia" w:cstheme="minorBidi"/>
      <w:kern w:val="2"/>
      <w:sz w:val="21"/>
      <w:szCs w:val="22"/>
    </w:rPr>
  </w:style>
  <w:style w:type="paragraph" w:customStyle="1" w:styleId="69">
    <w:name w:val="标题7 带编号"/>
    <w:basedOn w:val="1"/>
    <w:qFormat/>
    <w:uiPriority w:val="0"/>
    <w:pPr>
      <w:widowControl w:val="0"/>
      <w:numPr>
        <w:ilvl w:val="6"/>
        <w:numId w:val="4"/>
      </w:numPr>
      <w:jc w:val="both"/>
    </w:pPr>
    <w:rPr>
      <w:rFonts w:asciiTheme="minorHAnsi" w:hAnsiTheme="minorHAnsi" w:eastAsiaTheme="minorEastAsia" w:cstheme="minorBidi"/>
      <w:kern w:val="2"/>
      <w:sz w:val="21"/>
      <w:szCs w:val="22"/>
    </w:rPr>
  </w:style>
  <w:style w:type="character" w:customStyle="1" w:styleId="70">
    <w:name w:val="批注文字 字符"/>
    <w:basedOn w:val="44"/>
    <w:link w:val="15"/>
    <w:qFormat/>
    <w:uiPriority w:val="99"/>
  </w:style>
  <w:style w:type="character" w:customStyle="1" w:styleId="71">
    <w:name w:val="批注主题 字符"/>
    <w:basedOn w:val="70"/>
    <w:link w:val="40"/>
    <w:qFormat/>
    <w:uiPriority w:val="99"/>
    <w:rPr>
      <w:rFonts w:ascii="Calibri" w:hAnsi="Calibri" w:eastAsia="宋体" w:cs="Times New Roman"/>
      <w:b/>
      <w:bCs/>
      <w:lang w:val="zh-CN"/>
    </w:rPr>
  </w:style>
  <w:style w:type="character" w:customStyle="1" w:styleId="72">
    <w:name w:val="正文文本 字符"/>
    <w:basedOn w:val="44"/>
    <w:link w:val="16"/>
    <w:qFormat/>
    <w:uiPriority w:val="99"/>
  </w:style>
  <w:style w:type="character" w:customStyle="1" w:styleId="73">
    <w:name w:val="正文文本首行缩进 字符"/>
    <w:basedOn w:val="72"/>
    <w:link w:val="41"/>
    <w:qFormat/>
    <w:uiPriority w:val="99"/>
    <w:rPr>
      <w:rFonts w:ascii="仿宋" w:hAnsi="仿宋" w:eastAsia="宋体" w:cs="Times New Roman"/>
      <w:lang w:val="zh-CN"/>
    </w:rPr>
  </w:style>
  <w:style w:type="character" w:customStyle="1" w:styleId="74">
    <w:name w:val="正文缩进 字符"/>
    <w:link w:val="12"/>
    <w:qFormat/>
    <w:uiPriority w:val="99"/>
    <w:rPr>
      <w:rFonts w:ascii="Times New Roman" w:hAnsi="Times New Roman" w:eastAsia="仿宋" w:cs="Times New Roman"/>
      <w:sz w:val="28"/>
      <w:szCs w:val="20"/>
      <w:lang w:val="zh-CN"/>
    </w:rPr>
  </w:style>
  <w:style w:type="character" w:customStyle="1" w:styleId="75">
    <w:name w:val="题注 字符1"/>
    <w:link w:val="13"/>
    <w:qFormat/>
    <w:uiPriority w:val="35"/>
    <w:rPr>
      <w:rFonts w:ascii="仿宋" w:hAnsi="仿宋" w:eastAsia="黑体" w:cs="Times New Roman"/>
      <w:sz w:val="20"/>
      <w:szCs w:val="20"/>
      <w:lang w:val="zh-CN"/>
    </w:rPr>
  </w:style>
  <w:style w:type="character" w:customStyle="1" w:styleId="76">
    <w:name w:val="文档结构图 字符"/>
    <w:basedOn w:val="44"/>
    <w:link w:val="14"/>
    <w:qFormat/>
    <w:uiPriority w:val="99"/>
    <w:rPr>
      <w:rFonts w:ascii="Calibri" w:hAnsi="Calibri" w:eastAsia="宋体" w:cs="Times New Roman"/>
      <w:sz w:val="32"/>
      <w:shd w:val="clear" w:color="auto" w:fill="000080"/>
      <w:lang w:val="zh-CN"/>
    </w:rPr>
  </w:style>
  <w:style w:type="character" w:customStyle="1" w:styleId="77">
    <w:name w:val="正文文本缩进 字符"/>
    <w:basedOn w:val="44"/>
    <w:link w:val="17"/>
    <w:qFormat/>
    <w:uiPriority w:val="99"/>
    <w:rPr>
      <w:rFonts w:ascii="Calibri" w:hAnsi="Calibri" w:eastAsia="宋体" w:cs="Times New Roman"/>
    </w:rPr>
  </w:style>
  <w:style w:type="character" w:customStyle="1" w:styleId="78">
    <w:name w:val="日期 字符"/>
    <w:basedOn w:val="44"/>
    <w:link w:val="22"/>
    <w:qFormat/>
    <w:uiPriority w:val="99"/>
    <w:rPr>
      <w:rFonts w:ascii="Calibri" w:hAnsi="Calibri" w:eastAsia="宋体" w:cs="Times New Roman"/>
      <w:lang w:val="zh-CN"/>
    </w:rPr>
  </w:style>
  <w:style w:type="character" w:customStyle="1" w:styleId="79">
    <w:name w:val="正文文本缩进 2 字符"/>
    <w:basedOn w:val="44"/>
    <w:link w:val="23"/>
    <w:qFormat/>
    <w:uiPriority w:val="99"/>
    <w:rPr>
      <w:rFonts w:ascii="Calibri" w:hAnsi="Calibri" w:eastAsia="宋体" w:cs="Times New Roman"/>
      <w:lang w:val="zh-CN"/>
    </w:rPr>
  </w:style>
  <w:style w:type="character" w:customStyle="1" w:styleId="80">
    <w:name w:val="副标题 字符"/>
    <w:basedOn w:val="44"/>
    <w:link w:val="29"/>
    <w:qFormat/>
    <w:uiPriority w:val="11"/>
    <w:rPr>
      <w:rFonts w:ascii="仿宋" w:hAnsi="仿宋" w:eastAsia="宋体" w:cs="Times New Roman"/>
      <w:b/>
      <w:bCs/>
      <w:kern w:val="28"/>
      <w:sz w:val="32"/>
      <w:szCs w:val="32"/>
      <w:lang w:val="zh-CN"/>
    </w:rPr>
  </w:style>
  <w:style w:type="character" w:customStyle="1" w:styleId="81">
    <w:name w:val="脚注文本 字符"/>
    <w:basedOn w:val="44"/>
    <w:link w:val="30"/>
    <w:qFormat/>
    <w:uiPriority w:val="99"/>
    <w:rPr>
      <w:rFonts w:ascii="Calibri" w:hAnsi="Calibri" w:eastAsia="宋体" w:cs="Times New Roman"/>
      <w:sz w:val="18"/>
      <w:szCs w:val="18"/>
      <w:lang w:val="zh-CN"/>
    </w:rPr>
  </w:style>
  <w:style w:type="character" w:customStyle="1" w:styleId="82">
    <w:name w:val="正文文本缩进 3 字符"/>
    <w:basedOn w:val="44"/>
    <w:link w:val="32"/>
    <w:qFormat/>
    <w:uiPriority w:val="99"/>
    <w:rPr>
      <w:rFonts w:ascii="Calibri" w:hAnsi="Calibri" w:eastAsia="宋体" w:cs="Times New Roman"/>
      <w:sz w:val="16"/>
      <w:szCs w:val="16"/>
      <w:lang w:val="zh-CN"/>
    </w:rPr>
  </w:style>
  <w:style w:type="character" w:customStyle="1" w:styleId="83">
    <w:name w:val="正文文本 2 字符"/>
    <w:basedOn w:val="44"/>
    <w:link w:val="36"/>
    <w:qFormat/>
    <w:uiPriority w:val="99"/>
    <w:rPr>
      <w:rFonts w:ascii="Calibri" w:hAnsi="Calibri" w:eastAsia="宋体" w:cs="Times New Roman"/>
      <w:lang w:val="zh-CN"/>
    </w:rPr>
  </w:style>
  <w:style w:type="character" w:customStyle="1" w:styleId="84">
    <w:name w:val="HTML 预设格式 字符"/>
    <w:basedOn w:val="44"/>
    <w:link w:val="37"/>
    <w:qFormat/>
    <w:uiPriority w:val="99"/>
    <w:rPr>
      <w:rFonts w:ascii="宋体" w:hAnsi="宋体" w:eastAsia="宋体" w:cs="Times New Roman"/>
      <w:kern w:val="0"/>
      <w:sz w:val="24"/>
      <w:szCs w:val="24"/>
      <w:lang w:val="zh-CN"/>
    </w:rPr>
  </w:style>
  <w:style w:type="character" w:customStyle="1" w:styleId="85">
    <w:name w:val="标题 字符"/>
    <w:basedOn w:val="44"/>
    <w:link w:val="39"/>
    <w:qFormat/>
    <w:uiPriority w:val="10"/>
    <w:rPr>
      <w:rFonts w:ascii="仿宋" w:hAnsi="仿宋" w:eastAsia="宋体" w:cs="Times New Roman"/>
      <w:b/>
      <w:bCs/>
      <w:kern w:val="0"/>
      <w:sz w:val="32"/>
      <w:szCs w:val="32"/>
      <w:lang w:val="zh-CN"/>
    </w:rPr>
  </w:style>
  <w:style w:type="paragraph" w:customStyle="1" w:styleId="86">
    <w:name w:val="Char Char Char"/>
    <w:basedOn w:val="14"/>
    <w:qFormat/>
    <w:uiPriority w:val="99"/>
    <w:rPr>
      <w:rFonts w:ascii="仿宋" w:hAnsi="仿宋"/>
      <w:sz w:val="24"/>
    </w:rPr>
  </w:style>
  <w:style w:type="paragraph" w:customStyle="1" w:styleId="87">
    <w:name w:val="Char"/>
    <w:basedOn w:val="14"/>
    <w:qFormat/>
    <w:uiPriority w:val="99"/>
    <w:rPr>
      <w:rFonts w:ascii="仿宋" w:hAnsi="仿宋"/>
      <w:sz w:val="24"/>
    </w:rPr>
  </w:style>
  <w:style w:type="paragraph" w:customStyle="1" w:styleId="88">
    <w:name w:val="无间隔1"/>
    <w:link w:val="89"/>
    <w:qFormat/>
    <w:uiPriority w:val="1"/>
    <w:pPr>
      <w:widowControl w:val="0"/>
      <w:jc w:val="both"/>
    </w:pPr>
    <w:rPr>
      <w:rFonts w:ascii="Calibri" w:hAnsi="Calibri" w:eastAsia="宋体" w:cs="Times New Roman"/>
      <w:kern w:val="2"/>
      <w:sz w:val="21"/>
      <w:szCs w:val="22"/>
      <w:lang w:val="en-US" w:eastAsia="zh-CN" w:bidi="ar-SA"/>
    </w:rPr>
  </w:style>
  <w:style w:type="character" w:customStyle="1" w:styleId="89">
    <w:name w:val="无间隔 Char"/>
    <w:link w:val="88"/>
    <w:qFormat/>
    <w:uiPriority w:val="1"/>
    <w:rPr>
      <w:rFonts w:ascii="Calibri" w:hAnsi="Calibri" w:eastAsia="宋体" w:cs="Times New Roman"/>
    </w:rPr>
  </w:style>
  <w:style w:type="paragraph" w:customStyle="1" w:styleId="90">
    <w:name w:val="列出段落1"/>
    <w:basedOn w:val="1"/>
    <w:link w:val="91"/>
    <w:qFormat/>
    <w:uiPriority w:val="34"/>
    <w:pPr>
      <w:widowControl w:val="0"/>
      <w:ind w:firstLine="420" w:firstLineChars="200"/>
      <w:jc w:val="both"/>
    </w:pPr>
    <w:rPr>
      <w:rFonts w:ascii="Calibri" w:hAnsi="Calibri" w:cs="Times New Roman"/>
      <w:kern w:val="2"/>
      <w:sz w:val="21"/>
      <w:szCs w:val="22"/>
      <w:lang w:val="zh-CN"/>
    </w:rPr>
  </w:style>
  <w:style w:type="character" w:customStyle="1" w:styleId="91">
    <w:name w:val="列出段落 Char"/>
    <w:link w:val="90"/>
    <w:qFormat/>
    <w:uiPriority w:val="34"/>
    <w:rPr>
      <w:rFonts w:ascii="Calibri" w:hAnsi="Calibri" w:eastAsia="宋体" w:cs="Times New Roman"/>
      <w:lang w:val="zh-CN"/>
    </w:rPr>
  </w:style>
  <w:style w:type="paragraph" w:customStyle="1" w:styleId="92">
    <w:name w:val="引用1"/>
    <w:basedOn w:val="1"/>
    <w:next w:val="1"/>
    <w:link w:val="93"/>
    <w:qFormat/>
    <w:uiPriority w:val="29"/>
    <w:pPr>
      <w:widowControl w:val="0"/>
      <w:jc w:val="both"/>
    </w:pPr>
    <w:rPr>
      <w:rFonts w:ascii="Calibri" w:hAnsi="Calibri" w:cs="Times New Roman"/>
      <w:i/>
      <w:iCs/>
      <w:color w:val="000000"/>
      <w:sz w:val="20"/>
      <w:szCs w:val="20"/>
      <w:lang w:val="zh-CN"/>
    </w:rPr>
  </w:style>
  <w:style w:type="character" w:customStyle="1" w:styleId="93">
    <w:name w:val="引用 Char"/>
    <w:link w:val="92"/>
    <w:qFormat/>
    <w:uiPriority w:val="29"/>
    <w:rPr>
      <w:rFonts w:ascii="Calibri" w:hAnsi="Calibri" w:eastAsia="宋体" w:cs="Times New Roman"/>
      <w:i/>
      <w:iCs/>
      <w:color w:val="000000"/>
      <w:kern w:val="0"/>
      <w:sz w:val="20"/>
      <w:szCs w:val="20"/>
      <w:lang w:val="zh-CN"/>
    </w:rPr>
  </w:style>
  <w:style w:type="paragraph" w:customStyle="1" w:styleId="94">
    <w:name w:val="明显引用1"/>
    <w:basedOn w:val="1"/>
    <w:next w:val="1"/>
    <w:link w:val="95"/>
    <w:qFormat/>
    <w:uiPriority w:val="30"/>
    <w:pPr>
      <w:widowControl w:val="0"/>
      <w:pBdr>
        <w:bottom w:val="single" w:color="4F81BD" w:sz="4" w:space="4"/>
      </w:pBdr>
      <w:spacing w:before="200" w:after="280"/>
      <w:ind w:left="936" w:right="936"/>
      <w:jc w:val="both"/>
    </w:pPr>
    <w:rPr>
      <w:rFonts w:ascii="Calibri" w:hAnsi="Calibri" w:cs="Times New Roman"/>
      <w:b/>
      <w:bCs/>
      <w:i/>
      <w:iCs/>
      <w:color w:val="4F81BD"/>
      <w:sz w:val="20"/>
      <w:szCs w:val="20"/>
      <w:lang w:val="zh-CN"/>
    </w:rPr>
  </w:style>
  <w:style w:type="character" w:customStyle="1" w:styleId="95">
    <w:name w:val="明显引用 Char"/>
    <w:link w:val="94"/>
    <w:qFormat/>
    <w:uiPriority w:val="30"/>
    <w:rPr>
      <w:rFonts w:ascii="Calibri" w:hAnsi="Calibri" w:eastAsia="宋体" w:cs="Times New Roman"/>
      <w:b/>
      <w:bCs/>
      <w:i/>
      <w:iCs/>
      <w:color w:val="4F81BD"/>
      <w:kern w:val="0"/>
      <w:sz w:val="20"/>
      <w:szCs w:val="20"/>
      <w:lang w:val="zh-CN"/>
    </w:rPr>
  </w:style>
  <w:style w:type="character" w:customStyle="1" w:styleId="96">
    <w:name w:val="不明显强调1"/>
    <w:qFormat/>
    <w:uiPriority w:val="19"/>
    <w:rPr>
      <w:i/>
      <w:iCs/>
      <w:color w:val="808080"/>
    </w:rPr>
  </w:style>
  <w:style w:type="character" w:customStyle="1" w:styleId="97">
    <w:name w:val="明显强调1"/>
    <w:qFormat/>
    <w:uiPriority w:val="21"/>
    <w:rPr>
      <w:b/>
      <w:bCs/>
      <w:i/>
      <w:iCs/>
      <w:color w:val="4F81BD"/>
    </w:rPr>
  </w:style>
  <w:style w:type="character" w:customStyle="1" w:styleId="98">
    <w:name w:val="不明显参考1"/>
    <w:qFormat/>
    <w:uiPriority w:val="31"/>
    <w:rPr>
      <w:smallCaps/>
      <w:color w:val="C0504D"/>
      <w:u w:val="single"/>
    </w:rPr>
  </w:style>
  <w:style w:type="character" w:customStyle="1" w:styleId="99">
    <w:name w:val="明显参考1"/>
    <w:qFormat/>
    <w:uiPriority w:val="32"/>
    <w:rPr>
      <w:b/>
      <w:bCs/>
      <w:smallCaps/>
      <w:color w:val="C0504D"/>
      <w:spacing w:val="5"/>
      <w:u w:val="single"/>
    </w:rPr>
  </w:style>
  <w:style w:type="character" w:customStyle="1" w:styleId="100">
    <w:name w:val="书籍标题1"/>
    <w:qFormat/>
    <w:uiPriority w:val="33"/>
    <w:rPr>
      <w:b/>
      <w:bCs/>
      <w:smallCaps/>
      <w:spacing w:val="5"/>
    </w:rPr>
  </w:style>
  <w:style w:type="paragraph" w:customStyle="1" w:styleId="101">
    <w:name w:val="TOC 标题1"/>
    <w:basedOn w:val="2"/>
    <w:next w:val="1"/>
    <w:qFormat/>
    <w:uiPriority w:val="39"/>
    <w:pPr>
      <w:spacing w:before="0" w:beforeLines="50" w:after="0" w:afterLines="50"/>
      <w:ind w:left="432" w:hanging="432"/>
      <w:outlineLvl w:val="9"/>
    </w:pPr>
    <w:rPr>
      <w:rFonts w:ascii="黑体" w:hAnsi="黑体" w:eastAsia="黑体" w:cs="Times New Roman"/>
      <w:sz w:val="30"/>
      <w:szCs w:val="30"/>
      <w:lang w:val="zh-CN"/>
    </w:rPr>
  </w:style>
  <w:style w:type="paragraph" w:customStyle="1" w:styleId="102">
    <w:name w:val="标题4"/>
    <w:basedOn w:val="1"/>
    <w:link w:val="103"/>
    <w:qFormat/>
    <w:uiPriority w:val="0"/>
    <w:pPr>
      <w:widowControl w:val="0"/>
      <w:spacing w:line="360" w:lineRule="auto"/>
      <w:jc w:val="both"/>
      <w:outlineLvl w:val="3"/>
    </w:pPr>
    <w:rPr>
      <w:rFonts w:ascii="Calibri" w:hAnsi="Calibri" w:cs="Times New Roman"/>
      <w:kern w:val="2"/>
      <w:sz w:val="21"/>
      <w:szCs w:val="22"/>
      <w:lang w:val="zh-CN"/>
    </w:rPr>
  </w:style>
  <w:style w:type="character" w:customStyle="1" w:styleId="103">
    <w:name w:val="标题4 Char"/>
    <w:link w:val="102"/>
    <w:qFormat/>
    <w:uiPriority w:val="0"/>
    <w:rPr>
      <w:rFonts w:ascii="Calibri" w:hAnsi="Calibri" w:eastAsia="宋体" w:cs="Times New Roman"/>
      <w:lang w:val="zh-CN"/>
    </w:rPr>
  </w:style>
  <w:style w:type="paragraph" w:customStyle="1" w:styleId="104">
    <w:name w:val="Char Char1"/>
    <w:basedOn w:val="1"/>
    <w:qFormat/>
    <w:uiPriority w:val="99"/>
    <w:pPr>
      <w:spacing w:after="160" w:line="240" w:lineRule="exact"/>
    </w:pPr>
    <w:rPr>
      <w:rFonts w:ascii="仿宋" w:hAnsi="仿宋" w:cs="Times New Roman"/>
      <w:sz w:val="20"/>
      <w:szCs w:val="20"/>
      <w:lang w:eastAsia="en-US"/>
    </w:rPr>
  </w:style>
  <w:style w:type="paragraph" w:customStyle="1" w:styleId="105">
    <w:name w:val="Statement of Conf"/>
    <w:qFormat/>
    <w:uiPriority w:val="99"/>
    <w:pPr>
      <w:spacing w:before="120" w:after="120" w:line="360" w:lineRule="auto"/>
    </w:pPr>
    <w:rPr>
      <w:rFonts w:ascii="仿宋" w:hAnsi="仿宋" w:eastAsia="宋体" w:cs="Times New Roman"/>
      <w:color w:val="333399"/>
      <w:kern w:val="0"/>
      <w:sz w:val="24"/>
      <w:szCs w:val="20"/>
      <w:lang w:val="en-AU" w:eastAsia="en-US" w:bidi="ar-SA"/>
    </w:rPr>
  </w:style>
  <w:style w:type="paragraph" w:customStyle="1" w:styleId="106">
    <w:name w:val="默认段落字体 Para Char Char Char Char Char Char Char Char Char"/>
    <w:basedOn w:val="1"/>
    <w:qFormat/>
    <w:uiPriority w:val="99"/>
    <w:pPr>
      <w:widowControl w:val="0"/>
      <w:jc w:val="both"/>
    </w:pPr>
    <w:rPr>
      <w:rFonts w:ascii="仿宋" w:hAnsi="仿宋" w:eastAsia="Times New Roman" w:cs="Times New Roman"/>
      <w:kern w:val="2"/>
      <w:szCs w:val="20"/>
    </w:rPr>
  </w:style>
  <w:style w:type="paragraph" w:customStyle="1" w:styleId="107">
    <w:name w:val="正文1"/>
    <w:basedOn w:val="1"/>
    <w:qFormat/>
    <w:uiPriority w:val="99"/>
    <w:pPr>
      <w:widowControl w:val="0"/>
      <w:spacing w:line="360" w:lineRule="auto"/>
      <w:ind w:firstLine="540" w:firstLineChars="225"/>
      <w:jc w:val="both"/>
    </w:pPr>
    <w:rPr>
      <w:rFonts w:ascii="仿宋" w:hAnsi="仿宋" w:eastAsia="仿宋" w:cs="Times New Roman"/>
      <w:color w:val="000000"/>
      <w:kern w:val="2"/>
      <w:szCs w:val="28"/>
    </w:rPr>
  </w:style>
  <w:style w:type="paragraph" w:customStyle="1" w:styleId="108">
    <w:name w:val="默认段落字体 Para Char Char Char Char Char Char Char"/>
    <w:basedOn w:val="1"/>
    <w:qFormat/>
    <w:uiPriority w:val="99"/>
    <w:pPr>
      <w:widowControl w:val="0"/>
      <w:jc w:val="both"/>
    </w:pPr>
    <w:rPr>
      <w:rFonts w:ascii="仿宋" w:hAnsi="仿宋" w:cs="Times New Roman"/>
      <w:kern w:val="2"/>
      <w:szCs w:val="20"/>
    </w:rPr>
  </w:style>
  <w:style w:type="character" w:customStyle="1" w:styleId="109">
    <w:name w:val="a3"/>
    <w:basedOn w:val="44"/>
    <w:qFormat/>
    <w:uiPriority w:val="0"/>
  </w:style>
  <w:style w:type="paragraph" w:customStyle="1" w:styleId="110">
    <w:name w:val="my正文"/>
    <w:basedOn w:val="1"/>
    <w:link w:val="111"/>
    <w:qFormat/>
    <w:uiPriority w:val="0"/>
    <w:pPr>
      <w:widowControl w:val="0"/>
      <w:spacing w:line="360" w:lineRule="auto"/>
      <w:ind w:firstLine="480" w:firstLineChars="200"/>
      <w:jc w:val="both"/>
    </w:pPr>
    <w:rPr>
      <w:rFonts w:ascii="Calibri" w:hAnsi="Calibri" w:cs="Times New Roman"/>
      <w:kern w:val="2"/>
    </w:rPr>
  </w:style>
  <w:style w:type="character" w:customStyle="1" w:styleId="111">
    <w:name w:val="my正文 Char"/>
    <w:link w:val="110"/>
    <w:qFormat/>
    <w:uiPriority w:val="0"/>
    <w:rPr>
      <w:rFonts w:ascii="Calibri" w:hAnsi="Calibri" w:eastAsia="宋体" w:cs="Times New Roman"/>
      <w:sz w:val="24"/>
      <w:szCs w:val="24"/>
    </w:rPr>
  </w:style>
  <w:style w:type="character" w:customStyle="1" w:styleId="112">
    <w:name w:val="caps"/>
    <w:basedOn w:val="44"/>
    <w:qFormat/>
    <w:uiPriority w:val="0"/>
  </w:style>
  <w:style w:type="paragraph" w:customStyle="1" w:styleId="113">
    <w:name w:val="封面中部"/>
    <w:basedOn w:val="1"/>
    <w:qFormat/>
    <w:uiPriority w:val="99"/>
    <w:pPr>
      <w:widowControl w:val="0"/>
      <w:tabs>
        <w:tab w:val="left" w:pos="2977"/>
      </w:tabs>
      <w:adjustRightInd w:val="0"/>
      <w:spacing w:line="300" w:lineRule="auto"/>
      <w:jc w:val="both"/>
      <w:textAlignment w:val="baseline"/>
    </w:pPr>
    <w:rPr>
      <w:rFonts w:ascii="Arial" w:hAnsi="Times New Roman" w:eastAsia="仿宋" w:cs="Times New Roman"/>
      <w:sz w:val="32"/>
      <w:szCs w:val="20"/>
    </w:rPr>
  </w:style>
  <w:style w:type="paragraph" w:customStyle="1" w:styleId="114">
    <w:name w:val="样式 小四 行距: 1.5 倍行距"/>
    <w:basedOn w:val="1"/>
    <w:qFormat/>
    <w:uiPriority w:val="99"/>
    <w:pPr>
      <w:widowControl w:val="0"/>
      <w:spacing w:line="360" w:lineRule="auto"/>
      <w:ind w:firstLine="480" w:firstLineChars="200"/>
      <w:jc w:val="both"/>
    </w:pPr>
    <w:rPr>
      <w:rFonts w:ascii="Times New Roman" w:hAnsi="Times New Roman"/>
      <w:kern w:val="2"/>
      <w:szCs w:val="20"/>
    </w:rPr>
  </w:style>
  <w:style w:type="paragraph" w:customStyle="1" w:styleId="115">
    <w:name w:val="样式 仿宋_GB2312 四号 黑色 首行缩进:  1 厘米 行距: 固定值 28 磅"/>
    <w:basedOn w:val="1"/>
    <w:qFormat/>
    <w:uiPriority w:val="99"/>
    <w:pPr>
      <w:widowControl w:val="0"/>
      <w:spacing w:line="560" w:lineRule="exact"/>
      <w:ind w:firstLine="567"/>
      <w:jc w:val="both"/>
    </w:pPr>
    <w:rPr>
      <w:rFonts w:ascii="Times New Roman" w:hAnsi="Times New Roman" w:eastAsia="仿宋"/>
      <w:color w:val="000000"/>
      <w:kern w:val="2"/>
      <w:sz w:val="28"/>
      <w:szCs w:val="20"/>
    </w:rPr>
  </w:style>
  <w:style w:type="paragraph" w:customStyle="1" w:styleId="116">
    <w:name w:val="样式 仿宋_GB2312 四号 黑色 行距: 固定值 28 磅"/>
    <w:basedOn w:val="1"/>
    <w:qFormat/>
    <w:uiPriority w:val="99"/>
    <w:pPr>
      <w:widowControl w:val="0"/>
      <w:spacing w:line="560" w:lineRule="exact"/>
      <w:ind w:firstLine="560" w:firstLineChars="200"/>
      <w:jc w:val="both"/>
    </w:pPr>
    <w:rPr>
      <w:rFonts w:ascii="Times New Roman" w:hAnsi="Times New Roman" w:eastAsia="仿宋"/>
      <w:color w:val="000000"/>
      <w:kern w:val="2"/>
      <w:sz w:val="28"/>
      <w:szCs w:val="20"/>
    </w:rPr>
  </w:style>
  <w:style w:type="paragraph" w:customStyle="1" w:styleId="117">
    <w:name w:val="样式 首行缩进:  2 字符5"/>
    <w:basedOn w:val="1"/>
    <w:qFormat/>
    <w:uiPriority w:val="99"/>
    <w:pPr>
      <w:widowControl w:val="0"/>
      <w:spacing w:before="120" w:line="360" w:lineRule="auto"/>
      <w:ind w:firstLine="480" w:firstLineChars="200"/>
      <w:jc w:val="both"/>
    </w:pPr>
    <w:rPr>
      <w:rFonts w:ascii="Times New Roman" w:hAnsi="Times New Roman"/>
      <w:kern w:val="2"/>
      <w:szCs w:val="20"/>
    </w:rPr>
  </w:style>
  <w:style w:type="paragraph" w:customStyle="1" w:styleId="118">
    <w:name w:val="p0"/>
    <w:basedOn w:val="1"/>
    <w:qFormat/>
    <w:uiPriority w:val="99"/>
    <w:pPr>
      <w:jc w:val="both"/>
    </w:pPr>
    <w:rPr>
      <w:rFonts w:ascii="Times New Roman" w:hAnsi="Times New Roman" w:cs="Times New Roman"/>
      <w:sz w:val="21"/>
      <w:szCs w:val="20"/>
    </w:rPr>
  </w:style>
  <w:style w:type="character" w:customStyle="1" w:styleId="119">
    <w:name w:val="方案正文 Char"/>
    <w:link w:val="120"/>
    <w:qFormat/>
    <w:uiPriority w:val="0"/>
    <w:rPr>
      <w:sz w:val="24"/>
      <w:szCs w:val="24"/>
    </w:rPr>
  </w:style>
  <w:style w:type="paragraph" w:customStyle="1" w:styleId="120">
    <w:name w:val="方案正文"/>
    <w:basedOn w:val="1"/>
    <w:link w:val="119"/>
    <w:qFormat/>
    <w:uiPriority w:val="0"/>
    <w:pPr>
      <w:widowControl w:val="0"/>
      <w:spacing w:line="360" w:lineRule="auto"/>
      <w:jc w:val="both"/>
    </w:pPr>
    <w:rPr>
      <w:rFonts w:asciiTheme="minorHAnsi" w:hAnsiTheme="minorHAnsi" w:eastAsiaTheme="minorEastAsia" w:cstheme="minorBidi"/>
      <w:kern w:val="2"/>
    </w:rPr>
  </w:style>
  <w:style w:type="paragraph" w:customStyle="1" w:styleId="121">
    <w:name w:val="方案文档"/>
    <w:basedOn w:val="1"/>
    <w:qFormat/>
    <w:uiPriority w:val="99"/>
    <w:pPr>
      <w:widowControl w:val="0"/>
      <w:spacing w:before="120" w:after="120" w:line="360" w:lineRule="auto"/>
      <w:ind w:firstLine="225" w:firstLineChars="225"/>
      <w:jc w:val="both"/>
    </w:pPr>
    <w:rPr>
      <w:rFonts w:ascii="Arial" w:hAnsi="Arial" w:cs="Times New Roman"/>
      <w:kern w:val="2"/>
      <w:szCs w:val="20"/>
    </w:rPr>
  </w:style>
  <w:style w:type="paragraph" w:customStyle="1" w:styleId="122">
    <w:name w:val="Char1"/>
    <w:basedOn w:val="14"/>
    <w:qFormat/>
    <w:uiPriority w:val="99"/>
    <w:rPr>
      <w:rFonts w:ascii="仿宋" w:hAnsi="仿宋" w:eastAsia="仿宋"/>
      <w:sz w:val="24"/>
      <w:szCs w:val="28"/>
    </w:rPr>
  </w:style>
  <w:style w:type="paragraph" w:customStyle="1" w:styleId="123">
    <w:name w:val="font5"/>
    <w:basedOn w:val="1"/>
    <w:qFormat/>
    <w:uiPriority w:val="0"/>
    <w:pPr>
      <w:spacing w:before="100" w:beforeAutospacing="1" w:after="100" w:afterAutospacing="1"/>
    </w:pPr>
    <w:rPr>
      <w:sz w:val="18"/>
      <w:szCs w:val="18"/>
    </w:rPr>
  </w:style>
  <w:style w:type="paragraph" w:customStyle="1" w:styleId="124">
    <w:name w:val="font6"/>
    <w:basedOn w:val="1"/>
    <w:qFormat/>
    <w:uiPriority w:val="0"/>
    <w:pPr>
      <w:spacing w:before="100" w:beforeAutospacing="1" w:after="100" w:afterAutospacing="1"/>
    </w:pPr>
    <w:rPr>
      <w:rFonts w:ascii="仿宋" w:eastAsia="仿宋"/>
      <w:color w:val="000000"/>
    </w:rPr>
  </w:style>
  <w:style w:type="paragraph" w:customStyle="1" w:styleId="125">
    <w:name w:val="font7"/>
    <w:basedOn w:val="1"/>
    <w:qFormat/>
    <w:uiPriority w:val="0"/>
    <w:pPr>
      <w:spacing w:before="100" w:beforeAutospacing="1" w:after="100" w:afterAutospacing="1"/>
    </w:pPr>
    <w:rPr>
      <w:rFonts w:ascii="Times New Roman" w:hAnsi="Times New Roman" w:cs="Times New Roman"/>
      <w:color w:val="000000"/>
    </w:rPr>
  </w:style>
  <w:style w:type="paragraph" w:customStyle="1" w:styleId="126">
    <w:name w:val="font8"/>
    <w:basedOn w:val="1"/>
    <w:qFormat/>
    <w:uiPriority w:val="0"/>
    <w:pPr>
      <w:spacing w:before="100" w:beforeAutospacing="1" w:after="100" w:afterAutospacing="1"/>
    </w:pPr>
    <w:rPr>
      <w:rFonts w:ascii="仿宋" w:eastAsia="仿宋"/>
      <w:color w:val="000000"/>
      <w:sz w:val="32"/>
      <w:szCs w:val="32"/>
    </w:rPr>
  </w:style>
  <w:style w:type="paragraph" w:customStyle="1" w:styleId="127">
    <w:name w:val="font9"/>
    <w:basedOn w:val="1"/>
    <w:qFormat/>
    <w:uiPriority w:val="0"/>
    <w:pPr>
      <w:spacing w:before="100" w:beforeAutospacing="1" w:after="100" w:afterAutospacing="1"/>
    </w:pPr>
    <w:rPr>
      <w:rFonts w:ascii="Times New Roman" w:hAnsi="Times New Roman" w:cs="Times New Roman"/>
    </w:rPr>
  </w:style>
  <w:style w:type="paragraph" w:customStyle="1" w:styleId="128">
    <w:name w:val="font10"/>
    <w:basedOn w:val="1"/>
    <w:qFormat/>
    <w:uiPriority w:val="99"/>
    <w:pPr>
      <w:spacing w:before="100" w:beforeAutospacing="1" w:after="100" w:afterAutospacing="1"/>
    </w:pPr>
    <w:rPr>
      <w:rFonts w:ascii="仿宋" w:eastAsia="仿宋"/>
    </w:rPr>
  </w:style>
  <w:style w:type="paragraph" w:customStyle="1" w:styleId="129">
    <w:name w:val="xl65"/>
    <w:basedOn w:val="1"/>
    <w:qFormat/>
    <w:uiPriority w:val="0"/>
    <w:pPr>
      <w:spacing w:before="100" w:beforeAutospacing="1" w:after="100" w:afterAutospacing="1"/>
      <w:jc w:val="center"/>
    </w:pPr>
    <w:rPr>
      <w:rFonts w:ascii="Times New Roman" w:hAnsi="Times New Roman" w:cs="Times New Roman"/>
    </w:rPr>
  </w:style>
  <w:style w:type="paragraph" w:customStyle="1" w:styleId="130">
    <w:name w:val="xl66"/>
    <w:basedOn w:val="1"/>
    <w:qFormat/>
    <w:uiPriority w:val="0"/>
    <w:pPr>
      <w:spacing w:before="100" w:beforeAutospacing="1" w:after="100" w:afterAutospacing="1"/>
    </w:pPr>
    <w:rPr>
      <w:rFonts w:ascii="Times New Roman" w:hAnsi="Times New Roman" w:cs="Times New Roman"/>
    </w:rPr>
  </w:style>
  <w:style w:type="paragraph" w:customStyle="1" w:styleId="131">
    <w:name w:val="xl6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Times New Roman" w:hAnsi="Times New Roman" w:cs="Times New Roman"/>
    </w:rPr>
  </w:style>
  <w:style w:type="paragraph" w:customStyle="1" w:styleId="132">
    <w:name w:val="xl6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cs="Times New Roman"/>
    </w:rPr>
  </w:style>
  <w:style w:type="paragraph" w:customStyle="1" w:styleId="133">
    <w:name w:val="xl6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eastAsia="仿宋"/>
    </w:rPr>
  </w:style>
  <w:style w:type="paragraph" w:customStyle="1" w:styleId="134">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cs="Times New Roman"/>
    </w:rPr>
  </w:style>
  <w:style w:type="paragraph" w:customStyle="1" w:styleId="135">
    <w:name w:val="xl7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cs="Times New Roman"/>
    </w:rPr>
  </w:style>
  <w:style w:type="paragraph" w:customStyle="1" w:styleId="136">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cs="Times New Roman"/>
      <w:sz w:val="32"/>
      <w:szCs w:val="32"/>
    </w:rPr>
  </w:style>
  <w:style w:type="paragraph" w:customStyle="1" w:styleId="137">
    <w:name w:val="xl73"/>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Times New Roman" w:hAnsi="Times New Roman" w:cs="Times New Roman"/>
    </w:rPr>
  </w:style>
  <w:style w:type="paragraph" w:customStyle="1" w:styleId="138">
    <w:name w:val="xl74"/>
    <w:basedOn w:val="1"/>
    <w:qFormat/>
    <w:uiPriority w:val="0"/>
    <w:pPr>
      <w:pBdr>
        <w:left w:val="single" w:color="auto" w:sz="4" w:space="0"/>
        <w:right w:val="single" w:color="auto" w:sz="4" w:space="0"/>
      </w:pBdr>
      <w:spacing w:before="100" w:beforeAutospacing="1" w:after="100" w:afterAutospacing="1"/>
      <w:jc w:val="center"/>
    </w:pPr>
    <w:rPr>
      <w:rFonts w:ascii="Times New Roman" w:hAnsi="Times New Roman" w:cs="Times New Roman"/>
    </w:rPr>
  </w:style>
  <w:style w:type="paragraph" w:customStyle="1" w:styleId="139">
    <w:name w:val="xl7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cs="Times New Roman"/>
    </w:rPr>
  </w:style>
  <w:style w:type="paragraph" w:customStyle="1" w:styleId="140">
    <w:name w:val="Default"/>
    <w:qFormat/>
    <w:uiPriority w:val="99"/>
    <w:pPr>
      <w:widowControl w:val="0"/>
      <w:autoSpaceDE w:val="0"/>
      <w:autoSpaceDN w:val="0"/>
      <w:adjustRightInd w:val="0"/>
    </w:pPr>
    <w:rPr>
      <w:rFonts w:ascii="仿宋" w:hAnsi="仿宋" w:eastAsia="宋体" w:cs="仿宋"/>
      <w:color w:val="000000"/>
      <w:kern w:val="0"/>
      <w:sz w:val="24"/>
      <w:szCs w:val="24"/>
      <w:lang w:val="en-US" w:eastAsia="zh-CN" w:bidi="ar-SA"/>
    </w:rPr>
  </w:style>
  <w:style w:type="character" w:customStyle="1" w:styleId="141">
    <w:name w:val="标题 3 Char1"/>
    <w:qFormat/>
    <w:uiPriority w:val="0"/>
    <w:rPr>
      <w:rFonts w:ascii="Calibri" w:hAnsi="Calibri" w:eastAsia="仿宋"/>
      <w:bCs/>
      <w:kern w:val="2"/>
      <w:sz w:val="28"/>
      <w:szCs w:val="32"/>
      <w:lang w:val="en-US" w:eastAsia="zh-CN" w:bidi="ar-SA"/>
    </w:rPr>
  </w:style>
  <w:style w:type="paragraph" w:customStyle="1" w:styleId="142">
    <w:name w:val="图编号"/>
    <w:basedOn w:val="1"/>
    <w:link w:val="143"/>
    <w:qFormat/>
    <w:uiPriority w:val="0"/>
    <w:pPr>
      <w:widowControl w:val="0"/>
      <w:tabs>
        <w:tab w:val="left" w:pos="4920"/>
      </w:tabs>
      <w:spacing w:line="360" w:lineRule="auto"/>
      <w:ind w:left="4560"/>
      <w:jc w:val="center"/>
    </w:pPr>
    <w:rPr>
      <w:rFonts w:ascii="Times New Roman" w:hAnsi="Times New Roman" w:cs="Times New Roman"/>
      <w:kern w:val="2"/>
      <w:szCs w:val="20"/>
      <w:lang w:val="zh-CN"/>
    </w:rPr>
  </w:style>
  <w:style w:type="character" w:customStyle="1" w:styleId="143">
    <w:name w:val="图编号 Char"/>
    <w:link w:val="142"/>
    <w:qFormat/>
    <w:uiPriority w:val="0"/>
    <w:rPr>
      <w:rFonts w:ascii="Times New Roman" w:hAnsi="Times New Roman" w:eastAsia="宋体" w:cs="Times New Roman"/>
      <w:sz w:val="24"/>
      <w:szCs w:val="20"/>
      <w:lang w:val="zh-CN"/>
    </w:rPr>
  </w:style>
  <w:style w:type="paragraph" w:customStyle="1" w:styleId="144">
    <w:name w:val="样式 (西文) Arial (中文) 仿宋_GB2312 四号 段前: 0.4 行 段后: 0.4 行 行距: 1.5..."/>
    <w:basedOn w:val="1"/>
    <w:qFormat/>
    <w:uiPriority w:val="99"/>
    <w:pPr>
      <w:widowControl w:val="0"/>
      <w:spacing w:beforeLines="40" w:afterLines="40" w:line="360" w:lineRule="auto"/>
      <w:ind w:firstLine="560" w:firstLineChars="200"/>
      <w:jc w:val="both"/>
    </w:pPr>
    <w:rPr>
      <w:rFonts w:ascii="Arial" w:hAnsi="Arial"/>
      <w:kern w:val="2"/>
    </w:rPr>
  </w:style>
  <w:style w:type="paragraph" w:customStyle="1" w:styleId="145">
    <w:name w:val="reader-word-layer"/>
    <w:basedOn w:val="1"/>
    <w:qFormat/>
    <w:uiPriority w:val="99"/>
    <w:pPr>
      <w:spacing w:before="100" w:beforeAutospacing="1" w:after="100" w:afterAutospacing="1"/>
    </w:pPr>
  </w:style>
  <w:style w:type="character" w:customStyle="1" w:styleId="146">
    <w:name w:val="style3"/>
    <w:basedOn w:val="44"/>
    <w:qFormat/>
    <w:uiPriority w:val="0"/>
  </w:style>
  <w:style w:type="character" w:customStyle="1" w:styleId="147">
    <w:name w:val="apple-converted-space"/>
    <w:basedOn w:val="44"/>
    <w:qFormat/>
    <w:uiPriority w:val="0"/>
  </w:style>
  <w:style w:type="character" w:customStyle="1" w:styleId="148">
    <w:name w:val="apple-style-span"/>
    <w:basedOn w:val="44"/>
    <w:qFormat/>
    <w:uiPriority w:val="0"/>
  </w:style>
  <w:style w:type="paragraph" w:customStyle="1" w:styleId="149">
    <w:name w:val="Char Char Char Char"/>
    <w:basedOn w:val="1"/>
    <w:qFormat/>
    <w:uiPriority w:val="99"/>
    <w:pPr>
      <w:widowControl w:val="0"/>
      <w:jc w:val="both"/>
    </w:pPr>
    <w:rPr>
      <w:rFonts w:ascii="Times New Roman" w:hAnsi="Times New Roman" w:cs="Times New Roman"/>
      <w:kern w:val="2"/>
      <w:sz w:val="21"/>
    </w:rPr>
  </w:style>
  <w:style w:type="paragraph" w:customStyle="1" w:styleId="150">
    <w:name w:val="一级标题JSPTPD"/>
    <w:basedOn w:val="2"/>
    <w:link w:val="151"/>
    <w:qFormat/>
    <w:uiPriority w:val="0"/>
    <w:pPr>
      <w:spacing w:before="0" w:beforeLines="50" w:after="0" w:afterLines="50"/>
      <w:ind w:left="432" w:hanging="432"/>
    </w:pPr>
    <w:rPr>
      <w:rFonts w:ascii="Times New Roman" w:hAnsi="Times New Roman" w:eastAsia="黑体" w:cs="Times New Roman"/>
      <w:b w:val="0"/>
      <w:bCs w:val="0"/>
      <w:sz w:val="28"/>
      <w:szCs w:val="28"/>
    </w:rPr>
  </w:style>
  <w:style w:type="character" w:customStyle="1" w:styleId="151">
    <w:name w:val="一级标题JSPTPD Char"/>
    <w:link w:val="150"/>
    <w:qFormat/>
    <w:uiPriority w:val="0"/>
    <w:rPr>
      <w:rFonts w:ascii="Times New Roman" w:hAnsi="Times New Roman" w:eastAsia="黑体" w:cs="Times New Roman"/>
      <w:kern w:val="44"/>
      <w:sz w:val="28"/>
      <w:szCs w:val="28"/>
    </w:rPr>
  </w:style>
  <w:style w:type="paragraph" w:customStyle="1" w:styleId="152">
    <w:name w:val="二级标题JSPTPD"/>
    <w:basedOn w:val="3"/>
    <w:link w:val="153"/>
    <w:qFormat/>
    <w:uiPriority w:val="0"/>
    <w:pPr>
      <w:numPr>
        <w:ilvl w:val="1"/>
        <w:numId w:val="1"/>
      </w:numPr>
      <w:spacing w:beforeLines="50" w:afterLines="50"/>
    </w:pPr>
    <w:rPr>
      <w:rFonts w:ascii="黑体" w:hAnsi="黑体" w:eastAsia="黑体" w:cs="Times New Roman"/>
      <w:b w:val="0"/>
      <w:kern w:val="0"/>
      <w:sz w:val="28"/>
      <w:szCs w:val="28"/>
      <w:lang w:val="zh-CN"/>
    </w:rPr>
  </w:style>
  <w:style w:type="character" w:customStyle="1" w:styleId="153">
    <w:name w:val="二级标题JSPTPD Char"/>
    <w:link w:val="152"/>
    <w:qFormat/>
    <w:uiPriority w:val="0"/>
    <w:rPr>
      <w:rFonts w:ascii="黑体" w:hAnsi="黑体" w:eastAsia="黑体" w:cs="Times New Roman"/>
      <w:bCs/>
      <w:kern w:val="0"/>
      <w:sz w:val="28"/>
      <w:szCs w:val="28"/>
      <w:lang w:val="zh-CN"/>
    </w:rPr>
  </w:style>
  <w:style w:type="paragraph" w:customStyle="1" w:styleId="154">
    <w:name w:val="正文JSPTPD"/>
    <w:basedOn w:val="12"/>
    <w:link w:val="155"/>
    <w:qFormat/>
    <w:uiPriority w:val="0"/>
    <w:pPr>
      <w:spacing w:line="360" w:lineRule="auto"/>
      <w:ind w:firstLine="480" w:firstLineChars="200"/>
    </w:pPr>
    <w:rPr>
      <w:rFonts w:ascii="宋体" w:hAnsi="宋体"/>
      <w:sz w:val="24"/>
      <w:szCs w:val="24"/>
    </w:rPr>
  </w:style>
  <w:style w:type="character" w:customStyle="1" w:styleId="155">
    <w:name w:val="正文JSPTPD Char"/>
    <w:link w:val="154"/>
    <w:qFormat/>
    <w:uiPriority w:val="0"/>
    <w:rPr>
      <w:rFonts w:ascii="宋体" w:hAnsi="宋体" w:eastAsia="仿宋" w:cs="Times New Roman"/>
      <w:sz w:val="24"/>
      <w:szCs w:val="24"/>
      <w:lang w:val="zh-CN"/>
    </w:rPr>
  </w:style>
  <w:style w:type="character" w:customStyle="1" w:styleId="156">
    <w:name w:val="ask-title"/>
    <w:basedOn w:val="44"/>
    <w:qFormat/>
    <w:uiPriority w:val="0"/>
  </w:style>
  <w:style w:type="paragraph" w:customStyle="1" w:styleId="157">
    <w:name w:val="pic-info"/>
    <w:basedOn w:val="1"/>
    <w:qFormat/>
    <w:uiPriority w:val="99"/>
    <w:pPr>
      <w:spacing w:before="100" w:beforeAutospacing="1" w:after="100" w:afterAutospacing="1"/>
    </w:pPr>
  </w:style>
  <w:style w:type="paragraph" w:customStyle="1" w:styleId="158">
    <w:name w:val="页脚1"/>
    <w:basedOn w:val="1"/>
    <w:qFormat/>
    <w:uiPriority w:val="99"/>
    <w:pPr>
      <w:tabs>
        <w:tab w:val="center" w:pos="4153"/>
        <w:tab w:val="right" w:pos="8306"/>
      </w:tabs>
      <w:snapToGrid w:val="0"/>
    </w:pPr>
    <w:rPr>
      <w:rFonts w:ascii="Calibri" w:hAnsi="Calibri" w:cs="Times New Roman"/>
      <w:kern w:val="2"/>
      <w:sz w:val="18"/>
      <w:szCs w:val="18"/>
    </w:rPr>
  </w:style>
  <w:style w:type="character" w:customStyle="1" w:styleId="159">
    <w:name w:val="页码1"/>
    <w:basedOn w:val="44"/>
    <w:qFormat/>
    <w:uiPriority w:val="0"/>
  </w:style>
  <w:style w:type="paragraph" w:customStyle="1" w:styleId="160">
    <w:name w:val="标题 21"/>
    <w:basedOn w:val="1"/>
    <w:next w:val="1"/>
    <w:qFormat/>
    <w:uiPriority w:val="9"/>
    <w:pPr>
      <w:keepNext/>
      <w:adjustRightInd w:val="0"/>
      <w:snapToGrid w:val="0"/>
      <w:spacing w:line="360" w:lineRule="auto"/>
      <w:outlineLvl w:val="1"/>
    </w:pPr>
    <w:rPr>
      <w:rFonts w:ascii="Times New Roman" w:hAnsi="Times New Roman" w:eastAsia="黑体" w:cs="Times New Roman"/>
      <w:bCs/>
      <w:iCs/>
      <w:sz w:val="28"/>
      <w:szCs w:val="28"/>
    </w:rPr>
  </w:style>
  <w:style w:type="paragraph" w:customStyle="1" w:styleId="161">
    <w:name w:val="Char Char Char Char1"/>
    <w:basedOn w:val="1"/>
    <w:qFormat/>
    <w:uiPriority w:val="99"/>
    <w:pPr>
      <w:spacing w:after="160" w:line="240" w:lineRule="exact"/>
      <w:ind w:firstLine="200" w:firstLineChars="200"/>
    </w:pPr>
    <w:rPr>
      <w:rFonts w:ascii="仿宋" w:hAnsi="仿宋" w:cs="Times New Roman"/>
      <w:sz w:val="20"/>
      <w:szCs w:val="20"/>
      <w:lang w:eastAsia="en-US"/>
    </w:rPr>
  </w:style>
  <w:style w:type="paragraph" w:customStyle="1" w:styleId="162">
    <w:name w:val="p15"/>
    <w:basedOn w:val="1"/>
    <w:qFormat/>
    <w:uiPriority w:val="99"/>
    <w:pPr>
      <w:ind w:firstLine="200" w:firstLineChars="200"/>
      <w:jc w:val="both"/>
    </w:pPr>
    <w:rPr>
      <w:rFonts w:ascii="Times New Roman" w:hAnsi="Times New Roman" w:cs="Times New Roman"/>
      <w:sz w:val="32"/>
      <w:szCs w:val="32"/>
    </w:rPr>
  </w:style>
  <w:style w:type="character" w:customStyle="1" w:styleId="163">
    <w:name w:val="oblog_text"/>
    <w:qFormat/>
    <w:uiPriority w:val="0"/>
  </w:style>
  <w:style w:type="paragraph" w:customStyle="1" w:styleId="164">
    <w:name w:val="规划正文"/>
    <w:basedOn w:val="1"/>
    <w:qFormat/>
    <w:uiPriority w:val="99"/>
    <w:pPr>
      <w:widowControl w:val="0"/>
      <w:snapToGrid w:val="0"/>
      <w:spacing w:line="360" w:lineRule="auto"/>
      <w:ind w:firstLine="560" w:firstLineChars="200"/>
      <w:jc w:val="both"/>
    </w:pPr>
    <w:rPr>
      <w:rFonts w:ascii="仿宋" w:hAnsi="Times New Roman" w:eastAsia="仿宋" w:cs="Times New Roman"/>
      <w:kern w:val="2"/>
      <w:sz w:val="28"/>
      <w:szCs w:val="28"/>
    </w:rPr>
  </w:style>
  <w:style w:type="paragraph" w:customStyle="1" w:styleId="165">
    <w:name w:val="Char2"/>
    <w:basedOn w:val="1"/>
    <w:qFormat/>
    <w:uiPriority w:val="99"/>
    <w:pPr>
      <w:widowControl w:val="0"/>
      <w:jc w:val="both"/>
    </w:pPr>
    <w:rPr>
      <w:rFonts w:ascii="Times New Roman" w:hAnsi="Times New Roman" w:cs="Times New Roman"/>
      <w:kern w:val="2"/>
      <w:sz w:val="21"/>
    </w:rPr>
  </w:style>
  <w:style w:type="paragraph" w:customStyle="1" w:styleId="166">
    <w:name w:val="Char Char Char Char Char Char Char"/>
    <w:basedOn w:val="1"/>
    <w:qFormat/>
    <w:uiPriority w:val="99"/>
    <w:pPr>
      <w:widowControl w:val="0"/>
      <w:jc w:val="both"/>
    </w:pPr>
    <w:rPr>
      <w:rFonts w:ascii="Times New Roman" w:hAnsi="Times New Roman" w:cs="Times New Roman"/>
      <w:kern w:val="2"/>
      <w:sz w:val="21"/>
      <w:szCs w:val="21"/>
    </w:rPr>
  </w:style>
  <w:style w:type="paragraph" w:customStyle="1" w:styleId="167">
    <w:name w:val="Char Char Char Char Char Char Char Char Char Char Char Char Char Char Char Char Char Char"/>
    <w:basedOn w:val="1"/>
    <w:qFormat/>
    <w:uiPriority w:val="99"/>
    <w:pPr>
      <w:widowControl w:val="0"/>
      <w:jc w:val="both"/>
    </w:pPr>
    <w:rPr>
      <w:rFonts w:ascii="Times New Roman" w:hAnsi="Times New Roman" w:cs="Times New Roman"/>
      <w:snapToGrid w:val="0"/>
      <w:kern w:val="21"/>
      <w:sz w:val="21"/>
      <w:szCs w:val="21"/>
    </w:rPr>
  </w:style>
  <w:style w:type="paragraph" w:customStyle="1" w:styleId="168">
    <w:name w:val="默认段落字体 Para Char"/>
    <w:basedOn w:val="1"/>
    <w:qFormat/>
    <w:uiPriority w:val="99"/>
    <w:pPr>
      <w:widowControl w:val="0"/>
      <w:tabs>
        <w:tab w:val="left" w:pos="980"/>
      </w:tabs>
      <w:ind w:left="980" w:hanging="420"/>
      <w:jc w:val="both"/>
    </w:pPr>
    <w:rPr>
      <w:rFonts w:ascii="Times New Roman" w:hAnsi="Times New Roman" w:cs="Times New Roman"/>
      <w:kern w:val="2"/>
    </w:rPr>
  </w:style>
  <w:style w:type="paragraph" w:customStyle="1" w:styleId="169">
    <w:name w:val="p16"/>
    <w:basedOn w:val="1"/>
    <w:qFormat/>
    <w:uiPriority w:val="99"/>
    <w:pPr>
      <w:jc w:val="both"/>
    </w:pPr>
    <w:rPr>
      <w:rFonts w:ascii="Times New Roman" w:hAnsi="Times New Roman" w:cs="Times New Roman"/>
      <w:sz w:val="21"/>
      <w:szCs w:val="21"/>
    </w:rPr>
  </w:style>
  <w:style w:type="paragraph" w:customStyle="1" w:styleId="170">
    <w:name w:val="Bid_图表"/>
    <w:basedOn w:val="1"/>
    <w:link w:val="171"/>
    <w:qFormat/>
    <w:uiPriority w:val="0"/>
    <w:pPr>
      <w:widowControl w:val="0"/>
      <w:spacing w:afterLines="50" w:line="360" w:lineRule="auto"/>
      <w:jc w:val="center"/>
    </w:pPr>
    <w:rPr>
      <w:rFonts w:ascii="Times New Roman" w:hAnsi="Times New Roman" w:cs="Times New Roman"/>
      <w:b/>
      <w:szCs w:val="21"/>
      <w:lang w:val="zh-CN"/>
    </w:rPr>
  </w:style>
  <w:style w:type="character" w:customStyle="1" w:styleId="171">
    <w:name w:val="Bid_图表 Char"/>
    <w:link w:val="170"/>
    <w:qFormat/>
    <w:uiPriority w:val="0"/>
    <w:rPr>
      <w:rFonts w:ascii="Times New Roman" w:hAnsi="Times New Roman" w:eastAsia="宋体" w:cs="Times New Roman"/>
      <w:b/>
      <w:kern w:val="0"/>
      <w:sz w:val="24"/>
      <w:szCs w:val="21"/>
      <w:lang w:val="zh-CN"/>
    </w:rPr>
  </w:style>
  <w:style w:type="paragraph" w:customStyle="1" w:styleId="172">
    <w:name w:val="标题1"/>
    <w:basedOn w:val="2"/>
    <w:link w:val="173"/>
    <w:qFormat/>
    <w:uiPriority w:val="0"/>
    <w:pPr>
      <w:keepNext w:val="0"/>
      <w:keepLines w:val="0"/>
      <w:widowControl/>
      <w:numPr>
        <w:ilvl w:val="0"/>
        <w:numId w:val="5"/>
      </w:numPr>
      <w:spacing w:before="0" w:beforeLines="50" w:after="0" w:afterLines="50"/>
      <w:contextualSpacing/>
      <w:jc w:val="left"/>
    </w:pPr>
    <w:rPr>
      <w:rFonts w:ascii="宋体" w:hAnsi="宋体" w:eastAsia="黑体" w:cs="Times New Roman"/>
      <w:kern w:val="0"/>
      <w:sz w:val="24"/>
      <w:szCs w:val="24"/>
      <w:lang w:val="zh-CN" w:bidi="en-US"/>
    </w:rPr>
  </w:style>
  <w:style w:type="character" w:customStyle="1" w:styleId="173">
    <w:name w:val="标题1 Char"/>
    <w:link w:val="172"/>
    <w:qFormat/>
    <w:uiPriority w:val="0"/>
    <w:rPr>
      <w:rFonts w:ascii="宋体" w:hAnsi="宋体" w:eastAsia="黑体" w:cs="Times New Roman"/>
      <w:b/>
      <w:bCs/>
      <w:kern w:val="0"/>
      <w:sz w:val="24"/>
      <w:szCs w:val="24"/>
      <w:lang w:val="zh-CN" w:bidi="en-US"/>
    </w:rPr>
  </w:style>
  <w:style w:type="paragraph" w:customStyle="1" w:styleId="174">
    <w:name w:val="文档正文"/>
    <w:basedOn w:val="1"/>
    <w:qFormat/>
    <w:uiPriority w:val="99"/>
    <w:pPr>
      <w:widowControl w:val="0"/>
      <w:adjustRightInd w:val="0"/>
      <w:spacing w:line="500" w:lineRule="exact"/>
      <w:ind w:firstLine="480"/>
      <w:jc w:val="both"/>
      <w:textAlignment w:val="baseline"/>
    </w:pPr>
    <w:rPr>
      <w:rFonts w:hAnsi="Times New Roman" w:cs="Times New Roman"/>
      <w:szCs w:val="20"/>
    </w:rPr>
  </w:style>
  <w:style w:type="paragraph" w:customStyle="1" w:styleId="175">
    <w:name w:val="正文表格"/>
    <w:basedOn w:val="1"/>
    <w:link w:val="176"/>
    <w:qFormat/>
    <w:uiPriority w:val="0"/>
    <w:pPr>
      <w:widowControl w:val="0"/>
      <w:jc w:val="both"/>
    </w:pPr>
    <w:rPr>
      <w:rFonts w:ascii="Calibri" w:hAnsi="Calibri" w:eastAsia="仿宋" w:cs="Times New Roman"/>
      <w:kern w:val="2"/>
      <w:sz w:val="21"/>
      <w:szCs w:val="21"/>
    </w:rPr>
  </w:style>
  <w:style w:type="character" w:customStyle="1" w:styleId="176">
    <w:name w:val="正文表格 Char"/>
    <w:link w:val="175"/>
    <w:qFormat/>
    <w:uiPriority w:val="0"/>
    <w:rPr>
      <w:rFonts w:ascii="Calibri" w:hAnsi="Calibri" w:eastAsia="仿宋" w:cs="Times New Roman"/>
      <w:szCs w:val="21"/>
    </w:rPr>
  </w:style>
  <w:style w:type="character" w:customStyle="1" w:styleId="177">
    <w:name w:val="题注 字符"/>
    <w:qFormat/>
    <w:uiPriority w:val="0"/>
    <w:rPr>
      <w:rFonts w:ascii="Arial" w:hAnsi="Arial" w:eastAsia="仿宋"/>
      <w:sz w:val="28"/>
      <w:szCs w:val="20"/>
      <w:lang w:val="zh-CN" w:eastAsia="zh-CN"/>
    </w:rPr>
  </w:style>
  <w:style w:type="character" w:customStyle="1" w:styleId="178">
    <w:name w:val="列出段落 Char1"/>
    <w:link w:val="179"/>
    <w:qFormat/>
    <w:locked/>
    <w:uiPriority w:val="34"/>
  </w:style>
  <w:style w:type="paragraph" w:customStyle="1" w:styleId="179">
    <w:name w:val="列出段落2"/>
    <w:basedOn w:val="1"/>
    <w:link w:val="178"/>
    <w:qFormat/>
    <w:uiPriority w:val="34"/>
    <w:pPr>
      <w:widowControl w:val="0"/>
      <w:ind w:firstLine="420" w:firstLineChars="200"/>
      <w:jc w:val="both"/>
    </w:pPr>
    <w:rPr>
      <w:rFonts w:asciiTheme="minorHAnsi" w:hAnsiTheme="minorHAnsi" w:eastAsiaTheme="minorEastAsia" w:cstheme="minorBidi"/>
      <w:kern w:val="2"/>
      <w:sz w:val="21"/>
      <w:szCs w:val="22"/>
    </w:rPr>
  </w:style>
  <w:style w:type="paragraph" w:customStyle="1" w:styleId="180">
    <w:name w:val="1"/>
    <w:unhideWhenUsed/>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81">
    <w:name w:val="样式 *正文 + 四号 首行缩进:  2 字符 行距: 1.5 倍行距"/>
    <w:basedOn w:val="1"/>
    <w:qFormat/>
    <w:uiPriority w:val="99"/>
    <w:pPr>
      <w:widowControl w:val="0"/>
      <w:spacing w:line="360" w:lineRule="auto"/>
      <w:ind w:firstLine="560" w:firstLineChars="200"/>
      <w:jc w:val="both"/>
    </w:pPr>
    <w:rPr>
      <w:kern w:val="2"/>
      <w:sz w:val="28"/>
      <w:szCs w:val="20"/>
    </w:rPr>
  </w:style>
  <w:style w:type="paragraph" w:customStyle="1" w:styleId="182">
    <w:name w:val="正文缩进4"/>
    <w:basedOn w:val="1"/>
    <w:qFormat/>
    <w:uiPriority w:val="99"/>
    <w:pPr>
      <w:widowControl w:val="0"/>
      <w:spacing w:beforeLines="50" w:afterLines="50" w:line="300" w:lineRule="auto"/>
      <w:ind w:firstLine="480" w:firstLineChars="200"/>
      <w:jc w:val="both"/>
    </w:pPr>
    <w:rPr>
      <w:rFonts w:ascii="Times New Roman" w:hAnsi="Times New Roman" w:eastAsia="仿宋_GB2312" w:cs="Times New Roman"/>
      <w:lang w:val="zh-CN"/>
    </w:rPr>
  </w:style>
  <w:style w:type="paragraph" w:customStyle="1" w:styleId="183">
    <w:name w:val="列表项1"/>
    <w:basedOn w:val="1"/>
    <w:next w:val="1"/>
    <w:qFormat/>
    <w:uiPriority w:val="99"/>
    <w:pPr>
      <w:numPr>
        <w:ilvl w:val="0"/>
        <w:numId w:val="6"/>
      </w:numPr>
      <w:adjustRightInd w:val="0"/>
      <w:snapToGrid w:val="0"/>
      <w:spacing w:line="400" w:lineRule="exact"/>
      <w:ind w:firstLine="0"/>
      <w:jc w:val="both"/>
      <w:textAlignment w:val="baseline"/>
    </w:pPr>
    <w:rPr>
      <w:rFonts w:ascii="Times New Roman" w:hAnsi="Times New Roman" w:cs="Times New Roman"/>
      <w:szCs w:val="20"/>
    </w:rPr>
  </w:style>
  <w:style w:type="paragraph" w:customStyle="1" w:styleId="184">
    <w:name w:val="MSO_ListBullet1"/>
    <w:basedOn w:val="1"/>
    <w:qFormat/>
    <w:uiPriority w:val="99"/>
    <w:pPr>
      <w:numPr>
        <w:ilvl w:val="0"/>
        <w:numId w:val="7"/>
      </w:numPr>
      <w:autoSpaceDE w:val="0"/>
      <w:autoSpaceDN w:val="0"/>
      <w:adjustRightInd w:val="0"/>
      <w:spacing w:before="60" w:line="250" w:lineRule="atLeast"/>
    </w:pPr>
    <w:rPr>
      <w:rFonts w:ascii="Palatino Linotype" w:hAnsi="Palatino Linotype" w:cs="Palatino"/>
      <w:sz w:val="20"/>
      <w:szCs w:val="21"/>
      <w:lang w:eastAsia="en-US"/>
    </w:rPr>
  </w:style>
  <w:style w:type="paragraph" w:customStyle="1" w:styleId="185">
    <w:name w:val="Table Cell Text"/>
    <w:basedOn w:val="1"/>
    <w:qFormat/>
    <w:uiPriority w:val="99"/>
    <w:pPr>
      <w:widowControl w:val="0"/>
      <w:numPr>
        <w:ilvl w:val="0"/>
        <w:numId w:val="8"/>
      </w:numPr>
      <w:spacing w:before="120" w:after="120"/>
      <w:ind w:left="0" w:firstLine="0"/>
    </w:pPr>
    <w:rPr>
      <w:rFonts w:ascii="Arial" w:hAnsi="Arial" w:cs="Arial"/>
      <w:sz w:val="18"/>
      <w:szCs w:val="20"/>
      <w:lang w:eastAsia="en-US"/>
    </w:rPr>
  </w:style>
  <w:style w:type="paragraph" w:customStyle="1" w:styleId="186">
    <w:name w:val="并列项"/>
    <w:basedOn w:val="1"/>
    <w:qFormat/>
    <w:uiPriority w:val="99"/>
    <w:pPr>
      <w:widowControl w:val="0"/>
      <w:numPr>
        <w:ilvl w:val="2"/>
        <w:numId w:val="9"/>
      </w:numPr>
      <w:tabs>
        <w:tab w:val="left" w:pos="2998"/>
      </w:tabs>
      <w:snapToGrid w:val="0"/>
      <w:spacing w:line="360" w:lineRule="exact"/>
      <w:jc w:val="both"/>
    </w:pPr>
    <w:rPr>
      <w:rFonts w:ascii="Times New Roman" w:hAnsi="Times New Roman" w:cs="Times New Roman"/>
      <w:kern w:val="21"/>
      <w:szCs w:val="20"/>
    </w:rPr>
  </w:style>
  <w:style w:type="paragraph" w:customStyle="1" w:styleId="187">
    <w:name w:val="*正文"/>
    <w:basedOn w:val="1"/>
    <w:link w:val="188"/>
    <w:qFormat/>
    <w:uiPriority w:val="0"/>
    <w:pPr>
      <w:widowControl w:val="0"/>
      <w:spacing w:line="300" w:lineRule="auto"/>
      <w:ind w:firstLine="480" w:firstLineChars="200"/>
      <w:jc w:val="both"/>
    </w:pPr>
    <w:rPr>
      <w:rFonts w:cs="仿宋_GB2312"/>
      <w:kern w:val="2"/>
    </w:rPr>
  </w:style>
  <w:style w:type="character" w:customStyle="1" w:styleId="188">
    <w:name w:val="*正文 Char"/>
    <w:link w:val="187"/>
    <w:qFormat/>
    <w:uiPriority w:val="0"/>
    <w:rPr>
      <w:rFonts w:ascii="宋体" w:hAnsi="宋体" w:eastAsia="宋体" w:cs="仿宋_GB2312"/>
      <w:sz w:val="24"/>
      <w:szCs w:val="24"/>
    </w:rPr>
  </w:style>
  <w:style w:type="paragraph" w:customStyle="1" w:styleId="189">
    <w:name w:val="章正文 Char"/>
    <w:basedOn w:val="1"/>
    <w:qFormat/>
    <w:uiPriority w:val="99"/>
    <w:pPr>
      <w:widowControl w:val="0"/>
      <w:numPr>
        <w:ilvl w:val="0"/>
        <w:numId w:val="10"/>
      </w:numPr>
      <w:spacing w:afterLines="50" w:line="380" w:lineRule="exact"/>
      <w:jc w:val="both"/>
    </w:pPr>
    <w:rPr>
      <w:rFonts w:cs="Times New Roman"/>
      <w:spacing w:val="6"/>
      <w:kern w:val="2"/>
    </w:rPr>
  </w:style>
  <w:style w:type="paragraph" w:customStyle="1" w:styleId="190">
    <w:name w:val="编号"/>
    <w:basedOn w:val="1"/>
    <w:qFormat/>
    <w:uiPriority w:val="99"/>
    <w:pPr>
      <w:widowControl w:val="0"/>
      <w:numPr>
        <w:ilvl w:val="0"/>
        <w:numId w:val="11"/>
      </w:numPr>
      <w:spacing w:line="360" w:lineRule="auto"/>
      <w:jc w:val="both"/>
    </w:pPr>
    <w:rPr>
      <w:rFonts w:ascii="仿宋_GB2312" w:hAnsi="Times New Roman" w:eastAsia="仿宋_GB2312" w:cs="Times New Roman"/>
    </w:rPr>
  </w:style>
  <w:style w:type="paragraph" w:customStyle="1" w:styleId="191">
    <w:name w:val="标准正文"/>
    <w:basedOn w:val="1"/>
    <w:link w:val="192"/>
    <w:qFormat/>
    <w:uiPriority w:val="0"/>
    <w:pPr>
      <w:widowControl w:val="0"/>
      <w:spacing w:before="156" w:after="156" w:line="360" w:lineRule="auto"/>
      <w:ind w:left="420" w:firstLine="480" w:firstLineChars="200"/>
      <w:jc w:val="both"/>
    </w:pPr>
    <w:rPr>
      <w:rFonts w:ascii="Times New Roman" w:hAnsi="Times New Roman" w:cs="Times New Roman"/>
      <w:kern w:val="2"/>
      <w:szCs w:val="20"/>
    </w:rPr>
  </w:style>
  <w:style w:type="character" w:customStyle="1" w:styleId="192">
    <w:name w:val="标准正文 Char"/>
    <w:link w:val="191"/>
    <w:qFormat/>
    <w:uiPriority w:val="0"/>
    <w:rPr>
      <w:rFonts w:ascii="Times New Roman" w:hAnsi="Times New Roman" w:eastAsia="宋体" w:cs="Times New Roman"/>
      <w:sz w:val="24"/>
      <w:szCs w:val="20"/>
    </w:rPr>
  </w:style>
  <w:style w:type="paragraph" w:customStyle="1" w:styleId="193">
    <w:name w:val="55555"/>
    <w:basedOn w:val="179"/>
    <w:link w:val="194"/>
    <w:qFormat/>
    <w:uiPriority w:val="0"/>
    <w:pPr>
      <w:spacing w:line="360" w:lineRule="auto"/>
      <w:ind w:firstLine="560"/>
    </w:pPr>
    <w:rPr>
      <w:rFonts w:ascii="仿宋_GB2312" w:hAnsi="宋体" w:eastAsia="仿宋_GB2312"/>
      <w:sz w:val="28"/>
      <w:szCs w:val="28"/>
      <w:lang w:eastAsia="zh-TW"/>
    </w:rPr>
  </w:style>
  <w:style w:type="character" w:customStyle="1" w:styleId="194">
    <w:name w:val="55555 Char"/>
    <w:link w:val="193"/>
    <w:qFormat/>
    <w:uiPriority w:val="0"/>
    <w:rPr>
      <w:rFonts w:ascii="仿宋_GB2312" w:hAnsi="宋体" w:eastAsia="仿宋_GB2312"/>
      <w:sz w:val="28"/>
      <w:szCs w:val="28"/>
      <w:lang w:eastAsia="zh-TW"/>
    </w:rPr>
  </w:style>
  <w:style w:type="paragraph" w:customStyle="1" w:styleId="195">
    <w:name w:val="正文缩进41"/>
    <w:basedOn w:val="1"/>
    <w:qFormat/>
    <w:uiPriority w:val="99"/>
    <w:pPr>
      <w:widowControl w:val="0"/>
      <w:spacing w:beforeLines="50" w:afterLines="50" w:line="300" w:lineRule="auto"/>
      <w:ind w:firstLine="480" w:firstLineChars="200"/>
      <w:jc w:val="both"/>
    </w:pPr>
    <w:rPr>
      <w:rFonts w:ascii="Calibri" w:hAnsi="Calibri" w:eastAsia="仿宋_GB2312" w:cs="Times New Roman"/>
      <w:kern w:val="2"/>
      <w:sz w:val="21"/>
      <w:szCs w:val="22"/>
    </w:rPr>
  </w:style>
  <w:style w:type="paragraph" w:customStyle="1" w:styleId="196">
    <w:name w:val="签署页文字"/>
    <w:basedOn w:val="1"/>
    <w:qFormat/>
    <w:uiPriority w:val="99"/>
    <w:pPr>
      <w:adjustRightInd w:val="0"/>
      <w:snapToGrid w:val="0"/>
      <w:spacing w:before="480" w:line="360" w:lineRule="auto"/>
      <w:ind w:left="420"/>
      <w:jc w:val="both"/>
      <w:textAlignment w:val="baseline"/>
    </w:pPr>
    <w:rPr>
      <w:rFonts w:ascii="Times New Roman" w:hAnsi="Times New Roman"/>
      <w:sz w:val="30"/>
      <w:szCs w:val="20"/>
    </w:rPr>
  </w:style>
  <w:style w:type="paragraph" w:customStyle="1" w:styleId="197">
    <w:name w:val="标准编号（封面）"/>
    <w:basedOn w:val="1"/>
    <w:qFormat/>
    <w:uiPriority w:val="99"/>
    <w:pPr>
      <w:adjustRightInd w:val="0"/>
      <w:snapToGrid w:val="0"/>
      <w:spacing w:line="360" w:lineRule="auto"/>
      <w:jc w:val="center"/>
      <w:textAlignment w:val="baseline"/>
    </w:pPr>
    <w:rPr>
      <w:rFonts w:ascii="Times New Roman" w:hAnsi="Times New Roman" w:eastAsia="黑体"/>
      <w:b/>
      <w:bCs/>
      <w:sz w:val="30"/>
      <w:szCs w:val="20"/>
    </w:rPr>
  </w:style>
  <w:style w:type="paragraph" w:customStyle="1" w:styleId="198">
    <w:name w:val="公司名称"/>
    <w:basedOn w:val="1"/>
    <w:qFormat/>
    <w:uiPriority w:val="99"/>
    <w:pPr>
      <w:adjustRightInd w:val="0"/>
      <w:snapToGrid w:val="0"/>
      <w:spacing w:line="360" w:lineRule="auto"/>
      <w:jc w:val="center"/>
      <w:textAlignment w:val="baseline"/>
    </w:pPr>
    <w:rPr>
      <w:rFonts w:ascii="黑体" w:hAnsi="Times New Roman" w:eastAsia="黑体"/>
      <w:b/>
      <w:bCs/>
      <w:sz w:val="36"/>
      <w:szCs w:val="20"/>
    </w:rPr>
  </w:style>
  <w:style w:type="paragraph" w:customStyle="1" w:styleId="199">
    <w:name w:val="密级（秘密、机密、绝密）"/>
    <w:basedOn w:val="1"/>
    <w:link w:val="200"/>
    <w:qFormat/>
    <w:uiPriority w:val="0"/>
    <w:pPr>
      <w:widowControl w:val="0"/>
      <w:adjustRightInd w:val="0"/>
      <w:spacing w:line="360" w:lineRule="auto"/>
      <w:jc w:val="both"/>
      <w:textAlignment w:val="baseline"/>
    </w:pPr>
    <w:rPr>
      <w:rFonts w:ascii="Times New Roman" w:hAnsi="Times New Roman" w:eastAsia="黑体" w:cs="Times New Roman"/>
      <w:spacing w:val="-4"/>
      <w:sz w:val="36"/>
      <w:szCs w:val="32"/>
    </w:rPr>
  </w:style>
  <w:style w:type="character" w:customStyle="1" w:styleId="200">
    <w:name w:val="密级（秘密、机密、绝密） Char"/>
    <w:link w:val="199"/>
    <w:qFormat/>
    <w:uiPriority w:val="0"/>
    <w:rPr>
      <w:rFonts w:ascii="Times New Roman" w:hAnsi="Times New Roman" w:eastAsia="黑体" w:cs="Times New Roman"/>
      <w:spacing w:val="-4"/>
      <w:kern w:val="0"/>
      <w:sz w:val="36"/>
      <w:szCs w:val="32"/>
    </w:rPr>
  </w:style>
  <w:style w:type="paragraph" w:customStyle="1" w:styleId="201">
    <w:name w:val="文件名称"/>
    <w:basedOn w:val="1"/>
    <w:qFormat/>
    <w:uiPriority w:val="99"/>
    <w:pPr>
      <w:widowControl w:val="0"/>
      <w:adjustRightInd w:val="0"/>
      <w:snapToGrid w:val="0"/>
      <w:spacing w:line="360" w:lineRule="auto"/>
      <w:jc w:val="center"/>
      <w:textAlignment w:val="baseline"/>
    </w:pPr>
    <w:rPr>
      <w:rFonts w:ascii="Times New Roman" w:hAnsi="Times New Roman" w:eastAsia="黑体" w:cs="Times New Roman"/>
      <w:b/>
      <w:spacing w:val="-4"/>
      <w:sz w:val="44"/>
      <w:szCs w:val="44"/>
    </w:rPr>
  </w:style>
  <w:style w:type="paragraph" w:customStyle="1" w:styleId="202">
    <w:name w:val="项目名称"/>
    <w:basedOn w:val="1"/>
    <w:qFormat/>
    <w:uiPriority w:val="99"/>
    <w:pPr>
      <w:adjustRightInd w:val="0"/>
      <w:snapToGrid w:val="0"/>
      <w:spacing w:beforeLines="200" w:line="360" w:lineRule="auto"/>
      <w:jc w:val="center"/>
      <w:textAlignment w:val="baseline"/>
    </w:pPr>
    <w:rPr>
      <w:rFonts w:ascii="黑体" w:hAnsi="黑体" w:eastAsia="黑体"/>
      <w:b/>
      <w:bCs/>
      <w:spacing w:val="20"/>
      <w:sz w:val="44"/>
      <w:szCs w:val="20"/>
    </w:rPr>
  </w:style>
  <w:style w:type="paragraph" w:customStyle="1" w:styleId="203">
    <w:name w:val="年月日"/>
    <w:basedOn w:val="1"/>
    <w:qFormat/>
    <w:uiPriority w:val="99"/>
    <w:pPr>
      <w:adjustRightInd w:val="0"/>
      <w:snapToGrid w:val="0"/>
      <w:spacing w:line="360" w:lineRule="auto"/>
      <w:jc w:val="center"/>
      <w:textAlignment w:val="baseline"/>
    </w:pPr>
    <w:rPr>
      <w:rFonts w:ascii="黑体" w:hAnsi="Times New Roman" w:eastAsia="黑体"/>
      <w:b/>
      <w:bCs/>
      <w:sz w:val="32"/>
      <w:szCs w:val="20"/>
    </w:rPr>
  </w:style>
  <w:style w:type="character" w:customStyle="1" w:styleId="204">
    <w:name w:val="font41"/>
    <w:basedOn w:val="44"/>
    <w:qFormat/>
    <w:uiPriority w:val="0"/>
    <w:rPr>
      <w:rFonts w:hint="eastAsia" w:ascii="宋体" w:hAnsi="宋体" w:eastAsia="宋体" w:cs="宋体"/>
      <w:b/>
      <w:color w:val="000000"/>
      <w:sz w:val="18"/>
      <w:szCs w:val="18"/>
      <w:u w:val="none"/>
    </w:rPr>
  </w:style>
  <w:style w:type="character" w:customStyle="1" w:styleId="205">
    <w:name w:val="font31"/>
    <w:basedOn w:val="44"/>
    <w:qFormat/>
    <w:uiPriority w:val="0"/>
    <w:rPr>
      <w:rFonts w:hint="eastAsia" w:ascii="宋体" w:hAnsi="宋体" w:eastAsia="宋体" w:cs="宋体"/>
      <w:color w:val="000000"/>
      <w:sz w:val="18"/>
      <w:szCs w:val="18"/>
      <w:u w:val="none"/>
    </w:rPr>
  </w:style>
  <w:style w:type="paragraph" w:customStyle="1" w:styleId="206">
    <w:name w:val="修订1"/>
    <w:hidden/>
    <w:semiHidden/>
    <w:qFormat/>
    <w:uiPriority w:val="99"/>
    <w:rPr>
      <w:rFonts w:ascii="Calibri" w:hAnsi="Calibri" w:eastAsia="宋体" w:cs="Times New Roman"/>
      <w:kern w:val="2"/>
      <w:sz w:val="21"/>
      <w:szCs w:val="22"/>
      <w:lang w:val="en-US" w:eastAsia="zh-CN" w:bidi="ar-SA"/>
    </w:rPr>
  </w:style>
  <w:style w:type="paragraph" w:customStyle="1" w:styleId="207">
    <w:name w:val="xl64"/>
    <w:basedOn w:val="1"/>
    <w:qFormat/>
    <w:uiPriority w:val="0"/>
    <w:pPr>
      <w:shd w:val="clear" w:color="000000" w:fill="8EA9DB"/>
      <w:spacing w:before="100" w:beforeAutospacing="1" w:after="100" w:afterAutospacing="1"/>
      <w:jc w:val="center"/>
    </w:pPr>
    <w:rPr>
      <w:b/>
      <w:bCs/>
      <w:color w:val="000000"/>
      <w:sz w:val="21"/>
      <w:szCs w:val="21"/>
    </w:rPr>
  </w:style>
  <w:style w:type="character" w:customStyle="1" w:styleId="208">
    <w:name w:val="font11"/>
    <w:basedOn w:val="44"/>
    <w:qFormat/>
    <w:uiPriority w:val="0"/>
    <w:rPr>
      <w:rFonts w:hint="eastAsia" w:ascii="宋体" w:hAnsi="宋体" w:eastAsia="宋体" w:cs="宋体"/>
      <w:color w:val="000000"/>
      <w:sz w:val="21"/>
      <w:szCs w:val="21"/>
      <w:u w:val="none"/>
    </w:rPr>
  </w:style>
  <w:style w:type="paragraph" w:customStyle="1" w:styleId="209">
    <w:name w:val="列出段落3"/>
    <w:basedOn w:val="1"/>
    <w:qFormat/>
    <w:uiPriority w:val="34"/>
    <w:pPr>
      <w:widowControl w:val="0"/>
      <w:ind w:firstLine="420" w:firstLineChars="200"/>
      <w:jc w:val="both"/>
    </w:pPr>
    <w:rPr>
      <w:rFonts w:ascii="Calibri" w:hAnsi="Calibri" w:cs="Times New Roman"/>
      <w:kern w:val="2"/>
      <w:sz w:val="21"/>
      <w:szCs w:val="22"/>
    </w:rPr>
  </w:style>
  <w:style w:type="character" w:customStyle="1" w:styleId="210">
    <w:name w:val="font21"/>
    <w:basedOn w:val="44"/>
    <w:qFormat/>
    <w:uiPriority w:val="0"/>
    <w:rPr>
      <w:rFonts w:ascii="Calibri" w:hAnsi="Calibri" w:cs="Calibri"/>
      <w:color w:val="000000"/>
      <w:sz w:val="21"/>
      <w:szCs w:val="21"/>
      <w:u w:val="none"/>
    </w:rPr>
  </w:style>
  <w:style w:type="character" w:customStyle="1" w:styleId="211">
    <w:name w:val="页眉 字符1"/>
    <w:qFormat/>
    <w:uiPriority w:val="99"/>
    <w:rPr>
      <w:rFonts w:ascii="仿宋_GB2312" w:eastAsia="仿宋_GB2312"/>
      <w:kern w:val="2"/>
      <w:sz w:val="18"/>
      <w:szCs w:val="18"/>
    </w:rPr>
  </w:style>
  <w:style w:type="character" w:customStyle="1" w:styleId="212">
    <w:name w:val="页脚 字符1"/>
    <w:qFormat/>
    <w:uiPriority w:val="99"/>
    <w:rPr>
      <w:kern w:val="2"/>
      <w:sz w:val="18"/>
      <w:szCs w:val="18"/>
    </w:rPr>
  </w:style>
  <w:style w:type="paragraph" w:customStyle="1" w:styleId="213">
    <w:name w:val="s正文"/>
    <w:basedOn w:val="1"/>
    <w:link w:val="214"/>
    <w:qFormat/>
    <w:uiPriority w:val="0"/>
    <w:pPr>
      <w:widowControl w:val="0"/>
      <w:spacing w:line="360" w:lineRule="auto"/>
      <w:ind w:firstLine="480" w:firstLineChars="200"/>
      <w:jc w:val="both"/>
    </w:pPr>
    <w:rPr>
      <w:rFonts w:ascii="Times New Roman" w:hAnsi="Times New Roman" w:eastAsia="仿宋_GB2312" w:cstheme="minorBidi"/>
      <w:kern w:val="2"/>
      <w:szCs w:val="22"/>
    </w:rPr>
  </w:style>
  <w:style w:type="character" w:customStyle="1" w:styleId="214">
    <w:name w:val="s正文 Char"/>
    <w:basedOn w:val="44"/>
    <w:link w:val="213"/>
    <w:qFormat/>
    <w:uiPriority w:val="0"/>
    <w:rPr>
      <w:rFonts w:ascii="Times New Roman" w:hAnsi="Times New Roman" w:eastAsia="仿宋_GB2312"/>
      <w:sz w:val="24"/>
    </w:rPr>
  </w:style>
  <w:style w:type="paragraph" w:customStyle="1" w:styleId="215">
    <w:name w:val="正文2"/>
    <w:basedOn w:val="1"/>
    <w:link w:val="216"/>
    <w:qFormat/>
    <w:uiPriority w:val="0"/>
    <w:pPr>
      <w:widowControl w:val="0"/>
      <w:spacing w:line="360" w:lineRule="auto"/>
      <w:ind w:firstLine="420" w:firstLineChars="200"/>
      <w:jc w:val="both"/>
    </w:pPr>
    <w:rPr>
      <w:rFonts w:ascii="Times New Roman" w:hAnsi="Times New Roman" w:cs="Times New Roman"/>
      <w:kern w:val="2"/>
      <w:sz w:val="21"/>
    </w:rPr>
  </w:style>
  <w:style w:type="character" w:customStyle="1" w:styleId="216">
    <w:name w:val="正文2 字符"/>
    <w:basedOn w:val="44"/>
    <w:link w:val="215"/>
    <w:qFormat/>
    <w:uiPriority w:val="0"/>
    <w:rPr>
      <w:rFonts w:ascii="Times New Roman" w:hAnsi="Times New Roman" w:eastAsia="宋体" w:cs="Times New Roman"/>
      <w:szCs w:val="24"/>
    </w:rPr>
  </w:style>
  <w:style w:type="paragraph" w:customStyle="1" w:styleId="217">
    <w:name w:val="正文_模板"/>
    <w:basedOn w:val="1"/>
    <w:qFormat/>
    <w:uiPriority w:val="99"/>
    <w:pPr>
      <w:widowControl w:val="0"/>
      <w:spacing w:line="300" w:lineRule="auto"/>
      <w:ind w:firstLine="200" w:firstLineChars="200"/>
      <w:jc w:val="both"/>
    </w:pPr>
    <w:rPr>
      <w:rFonts w:ascii="Times New Roman" w:hAnsi="Times New Roman" w:cs="Times New Roman"/>
      <w:kern w:val="2"/>
    </w:rPr>
  </w:style>
  <w:style w:type="character" w:customStyle="1" w:styleId="218">
    <w:name w:val="彩色列表 - 着色 1 字符"/>
    <w:link w:val="219"/>
    <w:qFormat/>
    <w:locked/>
    <w:uiPriority w:val="34"/>
  </w:style>
  <w:style w:type="paragraph" w:customStyle="1" w:styleId="219">
    <w:name w:val="彩色列表 - 着色 11"/>
    <w:basedOn w:val="1"/>
    <w:link w:val="218"/>
    <w:qFormat/>
    <w:uiPriority w:val="34"/>
    <w:pPr>
      <w:widowControl w:val="0"/>
      <w:ind w:firstLine="420" w:firstLineChars="200"/>
      <w:jc w:val="both"/>
    </w:pPr>
    <w:rPr>
      <w:rFonts w:asciiTheme="minorHAnsi" w:hAnsiTheme="minorHAnsi" w:eastAsiaTheme="minorEastAsia" w:cstheme="minorBidi"/>
      <w:kern w:val="2"/>
      <w:sz w:val="21"/>
      <w:szCs w:val="22"/>
    </w:rPr>
  </w:style>
  <w:style w:type="paragraph" w:customStyle="1" w:styleId="220">
    <w:name w:val="xl7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SimSun-ExtB" w:hAnsi="SimSun-ExtB" w:eastAsia="SimSun-ExtB"/>
      <w:sz w:val="20"/>
      <w:szCs w:val="20"/>
    </w:rPr>
  </w:style>
  <w:style w:type="paragraph" w:customStyle="1" w:styleId="221">
    <w:name w:val="xl7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sz w:val="20"/>
      <w:szCs w:val="20"/>
    </w:rPr>
  </w:style>
  <w:style w:type="paragraph" w:customStyle="1" w:styleId="222">
    <w:name w:val="xl7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sz w:val="20"/>
      <w:szCs w:val="20"/>
    </w:rPr>
  </w:style>
  <w:style w:type="paragraph" w:customStyle="1" w:styleId="223">
    <w:name w:val="xl7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ascii="SimSun-ExtB" w:hAnsi="SimSun-ExtB" w:eastAsia="SimSun-ExtB"/>
      <w:sz w:val="20"/>
      <w:szCs w:val="20"/>
    </w:rPr>
  </w:style>
  <w:style w:type="paragraph" w:customStyle="1" w:styleId="224">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sz w:val="20"/>
      <w:szCs w:val="20"/>
    </w:rPr>
  </w:style>
  <w:style w:type="character" w:customStyle="1" w:styleId="225">
    <w:name w:val="msoins"/>
    <w:qFormat/>
    <w:uiPriority w:val="0"/>
  </w:style>
  <w:style w:type="character" w:customStyle="1" w:styleId="226">
    <w:name w:val="题注 Char1"/>
    <w:qFormat/>
    <w:uiPriority w:val="0"/>
    <w:rPr>
      <w:rFonts w:ascii="仿宋" w:hAnsi="仿宋" w:eastAsia="黑体"/>
      <w:kern w:val="2"/>
      <w:sz w:val="20"/>
    </w:rPr>
  </w:style>
  <w:style w:type="character" w:customStyle="1" w:styleId="227">
    <w:name w:val="题注 Char2"/>
    <w:qFormat/>
    <w:uiPriority w:val="0"/>
    <w:rPr>
      <w:rFonts w:ascii="仿宋" w:hAnsi="仿宋" w:eastAsia="黑体"/>
      <w:kern w:val="2"/>
    </w:rPr>
  </w:style>
  <w:style w:type="character" w:customStyle="1" w:styleId="228">
    <w:name w:val="无格式表格 41"/>
    <w:qFormat/>
    <w:uiPriority w:val="21"/>
    <w:rPr>
      <w:b/>
      <w:bCs/>
      <w:i/>
      <w:iCs/>
      <w:color w:val="4F81BD"/>
    </w:rPr>
  </w:style>
  <w:style w:type="character" w:customStyle="1" w:styleId="229">
    <w:name w:val="引用 Char1"/>
    <w:qFormat/>
    <w:uiPriority w:val="29"/>
    <w:rPr>
      <w:i/>
      <w:iCs/>
      <w:color w:val="000000"/>
      <w:kern w:val="2"/>
      <w:sz w:val="21"/>
      <w:szCs w:val="21"/>
    </w:rPr>
  </w:style>
  <w:style w:type="character" w:customStyle="1" w:styleId="230">
    <w:name w:val="彩色网格 - 着色 1 字符"/>
    <w:link w:val="231"/>
    <w:qFormat/>
    <w:uiPriority w:val="29"/>
    <w:rPr>
      <w:i/>
      <w:iCs/>
      <w:color w:val="000000"/>
    </w:rPr>
  </w:style>
  <w:style w:type="paragraph" w:customStyle="1" w:styleId="231">
    <w:name w:val="彩色网格 - 着色 11"/>
    <w:basedOn w:val="1"/>
    <w:next w:val="1"/>
    <w:link w:val="230"/>
    <w:qFormat/>
    <w:uiPriority w:val="29"/>
    <w:rPr>
      <w:rFonts w:asciiTheme="minorHAnsi" w:hAnsiTheme="minorHAnsi" w:eastAsiaTheme="minorEastAsia" w:cstheme="minorBidi"/>
      <w:i/>
      <w:iCs/>
      <w:color w:val="000000"/>
      <w:kern w:val="2"/>
      <w:sz w:val="21"/>
      <w:szCs w:val="22"/>
    </w:rPr>
  </w:style>
  <w:style w:type="character" w:customStyle="1" w:styleId="232">
    <w:name w:val="无格式表格 51"/>
    <w:qFormat/>
    <w:uiPriority w:val="31"/>
    <w:rPr>
      <w:smallCaps/>
      <w:color w:val="C0504D"/>
      <w:u w:val="single"/>
    </w:rPr>
  </w:style>
  <w:style w:type="character" w:customStyle="1" w:styleId="233">
    <w:name w:val="明显引用 Char1"/>
    <w:qFormat/>
    <w:uiPriority w:val="30"/>
    <w:rPr>
      <w:b/>
      <w:bCs/>
      <w:i/>
      <w:iCs/>
      <w:color w:val="5B9BD5"/>
      <w:kern w:val="2"/>
      <w:sz w:val="21"/>
      <w:szCs w:val="21"/>
    </w:rPr>
  </w:style>
  <w:style w:type="character" w:customStyle="1" w:styleId="234">
    <w:name w:val="网格表 1 浅色1"/>
    <w:qFormat/>
    <w:uiPriority w:val="33"/>
    <w:rPr>
      <w:b/>
      <w:bCs/>
      <w:smallCaps/>
      <w:spacing w:val="5"/>
    </w:rPr>
  </w:style>
  <w:style w:type="character" w:customStyle="1" w:styleId="235">
    <w:name w:val="纯文本 字符"/>
    <w:link w:val="20"/>
    <w:qFormat/>
    <w:locked/>
    <w:uiPriority w:val="99"/>
    <w:rPr>
      <w:rFonts w:ascii="宋体" w:hAnsi="宋体" w:cs="宋体"/>
      <w:sz w:val="24"/>
      <w:szCs w:val="24"/>
    </w:rPr>
  </w:style>
  <w:style w:type="character" w:customStyle="1" w:styleId="236">
    <w:name w:val="纯文本 Char1"/>
    <w:basedOn w:val="44"/>
    <w:semiHidden/>
    <w:qFormat/>
    <w:uiPriority w:val="99"/>
    <w:rPr>
      <w:rFonts w:ascii="宋体" w:hAnsi="Courier New" w:eastAsia="宋体" w:cs="Courier New"/>
      <w:szCs w:val="21"/>
    </w:rPr>
  </w:style>
  <w:style w:type="character" w:customStyle="1" w:styleId="237">
    <w:name w:val="列出段落 字符"/>
    <w:qFormat/>
    <w:locked/>
    <w:uiPriority w:val="34"/>
    <w:rPr>
      <w:kern w:val="2"/>
      <w:sz w:val="21"/>
      <w:szCs w:val="22"/>
    </w:rPr>
  </w:style>
  <w:style w:type="character" w:customStyle="1" w:styleId="238">
    <w:name w:val="标准正文 Char1"/>
    <w:qFormat/>
    <w:uiPriority w:val="0"/>
    <w:rPr>
      <w:rFonts w:ascii="Times New Roman" w:hAnsi="Times New Roman" w:eastAsia="宋体" w:cs="Times New Roman"/>
      <w:sz w:val="24"/>
      <w:szCs w:val="20"/>
    </w:rPr>
  </w:style>
  <w:style w:type="character" w:customStyle="1" w:styleId="239">
    <w:name w:val="副标题 Char1"/>
    <w:qFormat/>
    <w:uiPriority w:val="11"/>
    <w:rPr>
      <w:rFonts w:ascii="Calibri Light" w:hAnsi="Calibri Light" w:cs="Times New Roman"/>
      <w:b/>
      <w:bCs/>
      <w:kern w:val="28"/>
      <w:sz w:val="32"/>
      <w:szCs w:val="32"/>
    </w:rPr>
  </w:style>
  <w:style w:type="character" w:customStyle="1" w:styleId="240">
    <w:name w:val="编号，小四 Char"/>
    <w:link w:val="241"/>
    <w:qFormat/>
    <w:locked/>
    <w:uiPriority w:val="0"/>
    <w:rPr>
      <w:rFonts w:ascii="Verdana" w:hAnsi="Verdana"/>
      <w:sz w:val="24"/>
    </w:rPr>
  </w:style>
  <w:style w:type="paragraph" w:customStyle="1" w:styleId="241">
    <w:name w:val="编号，小四"/>
    <w:basedOn w:val="1"/>
    <w:link w:val="240"/>
    <w:qFormat/>
    <w:uiPriority w:val="0"/>
    <w:pPr>
      <w:tabs>
        <w:tab w:val="left" w:pos="720"/>
      </w:tabs>
      <w:spacing w:line="360" w:lineRule="auto"/>
      <w:ind w:left="720" w:hanging="360"/>
    </w:pPr>
    <w:rPr>
      <w:rFonts w:ascii="Verdana" w:hAnsi="Verdana" w:eastAsiaTheme="minorEastAsia" w:cstheme="minorBidi"/>
      <w:kern w:val="2"/>
      <w:szCs w:val="22"/>
    </w:rPr>
  </w:style>
  <w:style w:type="character" w:customStyle="1" w:styleId="242">
    <w:name w:val="浅色底纹 - 着色 2 字符"/>
    <w:link w:val="243"/>
    <w:qFormat/>
    <w:uiPriority w:val="30"/>
    <w:rPr>
      <w:b/>
      <w:bCs/>
      <w:i/>
      <w:iCs/>
      <w:color w:val="4F81BD"/>
    </w:rPr>
  </w:style>
  <w:style w:type="paragraph" w:customStyle="1" w:styleId="243">
    <w:name w:val="浅色底纹 - 着色 21"/>
    <w:basedOn w:val="1"/>
    <w:next w:val="1"/>
    <w:link w:val="242"/>
    <w:qFormat/>
    <w:uiPriority w:val="30"/>
    <w:pPr>
      <w:pBdr>
        <w:bottom w:val="single" w:color="4F81BD" w:sz="4" w:space="4"/>
      </w:pBdr>
      <w:spacing w:before="200" w:after="280"/>
      <w:ind w:left="936" w:right="936"/>
    </w:pPr>
    <w:rPr>
      <w:rFonts w:asciiTheme="minorHAnsi" w:hAnsiTheme="minorHAnsi" w:eastAsiaTheme="minorEastAsia" w:cstheme="minorBidi"/>
      <w:b/>
      <w:bCs/>
      <w:i/>
      <w:iCs/>
      <w:color w:val="4F81BD"/>
      <w:kern w:val="2"/>
      <w:sz w:val="21"/>
      <w:szCs w:val="22"/>
    </w:rPr>
  </w:style>
  <w:style w:type="character" w:customStyle="1" w:styleId="244">
    <w:name w:val="标题 1 Char1"/>
    <w:qFormat/>
    <w:uiPriority w:val="9"/>
    <w:rPr>
      <w:rFonts w:hint="default" w:ascii="Calibri" w:hAnsi="Calibri" w:eastAsia="宋体" w:cs="Calibri"/>
      <w:b/>
      <w:bCs/>
      <w:kern w:val="44"/>
      <w:sz w:val="44"/>
      <w:szCs w:val="44"/>
    </w:rPr>
  </w:style>
  <w:style w:type="character" w:customStyle="1" w:styleId="245">
    <w:name w:val="经委正文 Char"/>
    <w:link w:val="246"/>
    <w:qFormat/>
    <w:uiPriority w:val="0"/>
    <w:rPr>
      <w:rFonts w:ascii="仿宋_GB2312" w:hAnsi="宋体" w:eastAsia="仿宋_GB2312" w:cs="宋体"/>
      <w:color w:val="000000"/>
      <w:position w:val="6"/>
      <w:sz w:val="32"/>
      <w:szCs w:val="30"/>
      <w:lang w:val="zh-CN"/>
    </w:rPr>
  </w:style>
  <w:style w:type="paragraph" w:customStyle="1" w:styleId="246">
    <w:name w:val="经委正文"/>
    <w:basedOn w:val="1"/>
    <w:link w:val="245"/>
    <w:qFormat/>
    <w:uiPriority w:val="0"/>
    <w:pPr>
      <w:topLinePunct/>
      <w:adjustRightInd w:val="0"/>
      <w:ind w:firstLine="200" w:firstLineChars="200"/>
    </w:pPr>
    <w:rPr>
      <w:rFonts w:ascii="仿宋_GB2312" w:eastAsia="仿宋_GB2312"/>
      <w:color w:val="000000"/>
      <w:kern w:val="2"/>
      <w:position w:val="6"/>
      <w:sz w:val="32"/>
      <w:szCs w:val="30"/>
      <w:lang w:val="zh-CN"/>
    </w:rPr>
  </w:style>
  <w:style w:type="character" w:customStyle="1" w:styleId="247">
    <w:name w:val="z-窗体顶端 字符"/>
    <w:link w:val="248"/>
    <w:qFormat/>
    <w:uiPriority w:val="34"/>
  </w:style>
  <w:style w:type="paragraph" w:customStyle="1" w:styleId="248">
    <w:name w:val="HTML Top of Form"/>
    <w:basedOn w:val="1"/>
    <w:link w:val="247"/>
    <w:qFormat/>
    <w:uiPriority w:val="34"/>
    <w:pPr>
      <w:ind w:firstLine="420" w:firstLineChars="200"/>
    </w:pPr>
    <w:rPr>
      <w:rFonts w:asciiTheme="minorHAnsi" w:hAnsiTheme="minorHAnsi" w:eastAsiaTheme="minorEastAsia" w:cstheme="minorBidi"/>
      <w:kern w:val="2"/>
      <w:sz w:val="21"/>
      <w:szCs w:val="22"/>
    </w:rPr>
  </w:style>
  <w:style w:type="character" w:customStyle="1" w:styleId="249">
    <w:name w:val="z-窗体顶端 Char1"/>
    <w:basedOn w:val="44"/>
    <w:semiHidden/>
    <w:qFormat/>
    <w:uiPriority w:val="99"/>
    <w:rPr>
      <w:rFonts w:ascii="Arial" w:hAnsi="Arial" w:cs="Arial"/>
      <w:vanish/>
      <w:sz w:val="16"/>
      <w:szCs w:val="16"/>
    </w:rPr>
  </w:style>
  <w:style w:type="character" w:customStyle="1" w:styleId="250">
    <w:name w:val="中等深浅网格 2 字符"/>
    <w:link w:val="251"/>
    <w:qFormat/>
    <w:uiPriority w:val="1"/>
  </w:style>
  <w:style w:type="paragraph" w:customStyle="1" w:styleId="251">
    <w:name w:val="中等深浅网格 21"/>
    <w:link w:val="250"/>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252">
    <w:name w:val="网格型浅色1"/>
    <w:qFormat/>
    <w:uiPriority w:val="32"/>
    <w:rPr>
      <w:b/>
      <w:bCs/>
      <w:smallCaps/>
      <w:color w:val="C0504D"/>
      <w:spacing w:val="5"/>
      <w:u w:val="single"/>
    </w:rPr>
  </w:style>
  <w:style w:type="character" w:customStyle="1" w:styleId="253">
    <w:name w:val="msodel"/>
    <w:qFormat/>
    <w:uiPriority w:val="0"/>
  </w:style>
  <w:style w:type="character" w:customStyle="1" w:styleId="254">
    <w:name w:val="标题 Char1"/>
    <w:qFormat/>
    <w:uiPriority w:val="10"/>
    <w:rPr>
      <w:rFonts w:ascii="Calibri Light" w:hAnsi="Calibri Light" w:cs="Times New Roman"/>
      <w:b/>
      <w:bCs/>
      <w:kern w:val="2"/>
      <w:sz w:val="32"/>
      <w:szCs w:val="32"/>
    </w:rPr>
  </w:style>
  <w:style w:type="character" w:customStyle="1" w:styleId="255">
    <w:name w:val="文字 Char"/>
    <w:link w:val="256"/>
    <w:qFormat/>
    <w:locked/>
    <w:uiPriority w:val="0"/>
    <w:rPr>
      <w:rFonts w:ascii="楷体_GB2312" w:eastAsia="楷体_GB2312"/>
      <w:sz w:val="28"/>
      <w:szCs w:val="24"/>
    </w:rPr>
  </w:style>
  <w:style w:type="paragraph" w:customStyle="1" w:styleId="256">
    <w:name w:val="文字"/>
    <w:basedOn w:val="1"/>
    <w:link w:val="255"/>
    <w:qFormat/>
    <w:uiPriority w:val="0"/>
    <w:pPr>
      <w:tabs>
        <w:tab w:val="left" w:pos="8520"/>
      </w:tabs>
      <w:spacing w:line="312" w:lineRule="auto"/>
      <w:ind w:right="-210" w:firstLine="556"/>
    </w:pPr>
    <w:rPr>
      <w:rFonts w:ascii="楷体_GB2312" w:eastAsia="楷体_GB2312" w:hAnsiTheme="minorHAnsi" w:cstheme="minorBidi"/>
      <w:kern w:val="2"/>
      <w:sz w:val="28"/>
    </w:rPr>
  </w:style>
  <w:style w:type="character" w:customStyle="1" w:styleId="257">
    <w:name w:val="无格式表格 31"/>
    <w:qFormat/>
    <w:uiPriority w:val="19"/>
    <w:rPr>
      <w:i/>
      <w:iCs/>
      <w:color w:val="808080"/>
    </w:rPr>
  </w:style>
  <w:style w:type="character" w:customStyle="1" w:styleId="258">
    <w:name w:val="样式 首行缩进:  2 字符1 Char"/>
    <w:link w:val="259"/>
    <w:qFormat/>
    <w:locked/>
    <w:uiPriority w:val="0"/>
    <w:rPr>
      <w:rFonts w:cs="宋体"/>
      <w:sz w:val="24"/>
    </w:rPr>
  </w:style>
  <w:style w:type="paragraph" w:customStyle="1" w:styleId="259">
    <w:name w:val="样式 首行缩进:  2 字符1"/>
    <w:basedOn w:val="1"/>
    <w:link w:val="258"/>
    <w:qFormat/>
    <w:uiPriority w:val="0"/>
    <w:pPr>
      <w:spacing w:line="360" w:lineRule="auto"/>
      <w:ind w:firstLine="480" w:firstLineChars="200"/>
    </w:pPr>
    <w:rPr>
      <w:rFonts w:asciiTheme="minorHAnsi" w:hAnsiTheme="minorHAnsi" w:eastAsiaTheme="minorEastAsia"/>
      <w:kern w:val="2"/>
      <w:szCs w:val="22"/>
    </w:rPr>
  </w:style>
  <w:style w:type="paragraph" w:customStyle="1" w:styleId="260">
    <w:name w:val="GP正文(首行缩进)"/>
    <w:basedOn w:val="1"/>
    <w:qFormat/>
    <w:uiPriority w:val="99"/>
    <w:pPr>
      <w:spacing w:line="360" w:lineRule="auto"/>
      <w:ind w:firstLine="521" w:firstLineChars="217"/>
    </w:pPr>
  </w:style>
  <w:style w:type="paragraph" w:customStyle="1" w:styleId="261">
    <w:name w:val="B表头样式"/>
    <w:next w:val="1"/>
    <w:qFormat/>
    <w:uiPriority w:val="99"/>
    <w:pPr>
      <w:spacing w:line="360" w:lineRule="auto"/>
      <w:jc w:val="center"/>
    </w:pPr>
    <w:rPr>
      <w:rFonts w:ascii="Cambria Math" w:hAnsi="Cambria Math" w:eastAsia="Calibri Light" w:cs="Microsoft New Tai Lue"/>
      <w:b/>
      <w:kern w:val="2"/>
      <w:sz w:val="21"/>
      <w:szCs w:val="21"/>
      <w:lang w:val="en-US" w:eastAsia="zh-CN" w:bidi="ar-SA"/>
    </w:rPr>
  </w:style>
  <w:style w:type="paragraph" w:customStyle="1" w:styleId="262">
    <w:name w:val="xl10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b/>
      <w:bCs/>
      <w:sz w:val="18"/>
      <w:szCs w:val="18"/>
    </w:rPr>
  </w:style>
  <w:style w:type="paragraph" w:customStyle="1" w:styleId="263">
    <w:name w:val="xl107"/>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olor w:val="000000"/>
      <w:sz w:val="18"/>
      <w:szCs w:val="18"/>
    </w:rPr>
  </w:style>
  <w:style w:type="paragraph" w:customStyle="1" w:styleId="264">
    <w:name w:val="xl85"/>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65">
    <w:name w:val="xl98"/>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66">
    <w:name w:val="xl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olor w:val="000000"/>
      <w:sz w:val="18"/>
      <w:szCs w:val="18"/>
    </w:rPr>
  </w:style>
  <w:style w:type="paragraph" w:customStyle="1" w:styleId="267">
    <w:name w:val="xl103"/>
    <w:basedOn w:val="1"/>
    <w:qFormat/>
    <w:uiPriority w:val="0"/>
    <w:pPr>
      <w:pBdr>
        <w:left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68">
    <w:name w:val="xl108"/>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olor w:val="000000"/>
      <w:sz w:val="18"/>
      <w:szCs w:val="18"/>
    </w:rPr>
  </w:style>
  <w:style w:type="paragraph" w:customStyle="1" w:styleId="269">
    <w:name w:val="xl9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olor w:val="000000"/>
      <w:sz w:val="18"/>
      <w:szCs w:val="18"/>
    </w:rPr>
  </w:style>
  <w:style w:type="paragraph" w:customStyle="1" w:styleId="270">
    <w:name w:val="样式 首行缩进:  0 字符"/>
    <w:basedOn w:val="1"/>
    <w:qFormat/>
    <w:uiPriority w:val="99"/>
    <w:pPr>
      <w:spacing w:line="360" w:lineRule="auto"/>
      <w:ind w:firstLine="200" w:firstLineChars="200"/>
    </w:pPr>
    <w:rPr>
      <w:rFonts w:ascii="Arial" w:hAnsi="Arial"/>
      <w:szCs w:val="20"/>
    </w:rPr>
  </w:style>
  <w:style w:type="paragraph" w:customStyle="1" w:styleId="271">
    <w:name w:val="xl102"/>
    <w:basedOn w:val="1"/>
    <w:qFormat/>
    <w:uiPriority w:val="0"/>
    <w:pPr>
      <w:pBdr>
        <w:top w:val="single" w:color="auto" w:sz="4" w:space="0"/>
        <w:left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72">
    <w:name w:val="Style Verdana First line:  2 ch"/>
    <w:basedOn w:val="1"/>
    <w:qFormat/>
    <w:uiPriority w:val="99"/>
    <w:pPr>
      <w:spacing w:line="360" w:lineRule="auto"/>
      <w:ind w:firstLine="480" w:firstLineChars="200"/>
    </w:pPr>
    <w:rPr>
      <w:rFonts w:ascii="Verdana" w:hAnsi="Verdana" w:eastAsia="仿宋"/>
      <w:sz w:val="28"/>
      <w:szCs w:val="20"/>
    </w:rPr>
  </w:style>
  <w:style w:type="paragraph" w:customStyle="1" w:styleId="273">
    <w:name w:val="xl90"/>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74">
    <w:name w:val="xl96"/>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75">
    <w:name w:val="xl101"/>
    <w:basedOn w:val="1"/>
    <w:qFormat/>
    <w:uiPriority w:val="0"/>
    <w:pPr>
      <w:pBdr>
        <w:top w:val="single" w:color="auto" w:sz="4" w:space="0"/>
        <w:left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76">
    <w:name w:val="xl10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textAlignment w:val="center"/>
    </w:pPr>
    <w:rPr>
      <w:rFonts w:ascii="微软雅黑" w:hAnsi="微软雅黑" w:eastAsia="微软雅黑"/>
      <w:color w:val="000000"/>
      <w:sz w:val="18"/>
      <w:szCs w:val="18"/>
    </w:rPr>
  </w:style>
  <w:style w:type="paragraph" w:customStyle="1" w:styleId="277">
    <w:name w:val="xl95"/>
    <w:basedOn w:val="1"/>
    <w:qFormat/>
    <w:uiPriority w:val="0"/>
    <w:pPr>
      <w:pBdr>
        <w:left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7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79">
    <w:name w:val="xl63"/>
    <w:basedOn w:val="1"/>
    <w:qFormat/>
    <w:uiPriority w:val="0"/>
    <w:pPr>
      <w:spacing w:before="100" w:beforeAutospacing="1" w:after="100" w:afterAutospacing="1"/>
      <w:textAlignment w:val="center"/>
    </w:pPr>
  </w:style>
  <w:style w:type="paragraph" w:customStyle="1" w:styleId="280">
    <w:name w:val="xl8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81">
    <w:name w:val="网格表 31"/>
    <w:basedOn w:val="2"/>
    <w:next w:val="1"/>
    <w:qFormat/>
    <w:uiPriority w:val="39"/>
    <w:pPr>
      <w:widowControl/>
      <w:numPr>
        <w:numId w:val="0"/>
      </w:numPr>
      <w:tabs>
        <w:tab w:val="left" w:pos="720"/>
      </w:tabs>
      <w:spacing w:before="0" w:beforeLines="50" w:after="0" w:afterLines="50"/>
      <w:ind w:left="432" w:hanging="432"/>
      <w:jc w:val="left"/>
      <w:outlineLvl w:val="9"/>
    </w:pPr>
    <w:rPr>
      <w:rFonts w:ascii="黑体" w:hAnsi="黑体" w:eastAsia="黑体" w:cs="宋体"/>
      <w:sz w:val="30"/>
      <w:szCs w:val="30"/>
    </w:rPr>
  </w:style>
  <w:style w:type="paragraph" w:customStyle="1" w:styleId="282">
    <w:name w:val="xl8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83">
    <w:name w:val="xl8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84">
    <w:name w:val="xl9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85">
    <w:name w:val="Char Char Char Char Char Char"/>
    <w:basedOn w:val="1"/>
    <w:qFormat/>
    <w:uiPriority w:val="99"/>
    <w:pPr>
      <w:spacing w:after="160" w:line="240" w:lineRule="exact"/>
    </w:pPr>
    <w:rPr>
      <w:rFonts w:ascii="Arial" w:hAnsi="Arial" w:eastAsia="Times New Roman" w:cs="Verdana"/>
      <w:b/>
      <w:szCs w:val="20"/>
      <w:lang w:eastAsia="en-US"/>
    </w:rPr>
  </w:style>
  <w:style w:type="paragraph" w:customStyle="1" w:styleId="286">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87">
    <w:name w:val="B表格题注"/>
    <w:next w:val="1"/>
    <w:qFormat/>
    <w:uiPriority w:val="99"/>
    <w:pPr>
      <w:tabs>
        <w:tab w:val="left" w:pos="1134"/>
      </w:tabs>
      <w:spacing w:line="360" w:lineRule="auto"/>
      <w:ind w:firstLine="400"/>
      <w:jc w:val="center"/>
    </w:pPr>
    <w:rPr>
      <w:rFonts w:ascii="Calibri" w:hAnsi="Calibri" w:eastAsia="黑体" w:cs="Times New Roman"/>
      <w:b/>
      <w:kern w:val="2"/>
      <w:sz w:val="21"/>
      <w:szCs w:val="21"/>
      <w:lang w:val="en-US" w:eastAsia="zh-CN" w:bidi="ar-SA"/>
    </w:rPr>
  </w:style>
  <w:style w:type="paragraph" w:customStyle="1" w:styleId="288">
    <w:name w:val="xl94"/>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89">
    <w:name w:val="xl106"/>
    <w:basedOn w:val="1"/>
    <w:qFormat/>
    <w:uiPriority w:val="0"/>
    <w:pPr>
      <w:spacing w:before="100" w:beforeAutospacing="1" w:after="100" w:afterAutospacing="1"/>
    </w:pPr>
  </w:style>
  <w:style w:type="paragraph" w:customStyle="1" w:styleId="290">
    <w:name w:val="xl104"/>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91">
    <w:name w:val="所标正文"/>
    <w:basedOn w:val="1"/>
    <w:qFormat/>
    <w:uiPriority w:val="99"/>
    <w:pPr>
      <w:spacing w:line="360" w:lineRule="auto"/>
      <w:ind w:firstLine="200" w:firstLineChars="200"/>
    </w:pPr>
    <w:rPr>
      <w:rFonts w:ascii="仿宋_GB2312" w:eastAsia="仿宋_GB2312"/>
      <w:sz w:val="30"/>
      <w:szCs w:val="28"/>
    </w:rPr>
  </w:style>
  <w:style w:type="paragraph" w:customStyle="1" w:styleId="292">
    <w:name w:val="xl99"/>
    <w:basedOn w:val="1"/>
    <w:qFormat/>
    <w:uiPriority w:val="0"/>
    <w:pPr>
      <w:pBdr>
        <w:left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93">
    <w:name w:val="xl100"/>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294">
    <w:name w:val="样式 标题 4H4PIM 4Ref Heading 1rh1Heading sqlsect 1.2.3.4Firs..."/>
    <w:basedOn w:val="1"/>
    <w:qFormat/>
    <w:uiPriority w:val="99"/>
    <w:pPr>
      <w:keepNext/>
      <w:spacing w:line="360" w:lineRule="auto"/>
      <w:ind w:firstLine="200" w:firstLineChars="200"/>
    </w:pPr>
    <w:rPr>
      <w:rFonts w:ascii="仿宋_GB2312" w:hAnsi="黑体" w:eastAsia="仿宋_GB2312" w:cs="黑体"/>
      <w:sz w:val="28"/>
      <w:szCs w:val="28"/>
    </w:rPr>
  </w:style>
  <w:style w:type="paragraph" w:customStyle="1" w:styleId="295">
    <w:name w:val="xl9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96">
    <w:name w:val="表编号"/>
    <w:basedOn w:val="1"/>
    <w:next w:val="1"/>
    <w:qFormat/>
    <w:uiPriority w:val="99"/>
    <w:pPr>
      <w:spacing w:line="360" w:lineRule="auto"/>
      <w:ind w:left="1272" w:firstLine="288"/>
      <w:jc w:val="center"/>
    </w:pPr>
    <w:rPr>
      <w:rFonts w:ascii="Times New Roman" w:hAnsi="Times New Roman"/>
      <w:szCs w:val="20"/>
    </w:rPr>
  </w:style>
  <w:style w:type="paragraph" w:customStyle="1" w:styleId="297">
    <w:name w:val="_Style 136"/>
    <w:qFormat/>
    <w:uiPriority w:val="34"/>
    <w:rPr>
      <w:rFonts w:ascii="Microsoft New Tai Lue" w:hAnsi="Microsoft New Tai Lue" w:eastAsia="宋体" w:cs="Microsoft New Tai Lue"/>
      <w:kern w:val="0"/>
      <w:sz w:val="24"/>
      <w:szCs w:val="20"/>
      <w:lang w:val="en-US" w:eastAsia="zh-CN" w:bidi="ar-SA"/>
    </w:rPr>
  </w:style>
  <w:style w:type="paragraph" w:customStyle="1" w:styleId="298">
    <w:name w:val="xl89"/>
    <w:basedOn w:val="1"/>
    <w:qFormat/>
    <w:uiPriority w:val="0"/>
    <w:pPr>
      <w:pBdr>
        <w:left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299">
    <w:name w:val="B表格正文"/>
    <w:qFormat/>
    <w:uiPriority w:val="99"/>
    <w:rPr>
      <w:rFonts w:ascii="Cambria Math" w:hAnsi="Cambria Math" w:eastAsia="Calibri Light" w:cs="Microsoft New Tai Lue"/>
      <w:kern w:val="2"/>
      <w:sz w:val="21"/>
      <w:szCs w:val="21"/>
      <w:lang w:val="en-US" w:eastAsia="zh-CN" w:bidi="ar-SA"/>
    </w:rPr>
  </w:style>
  <w:style w:type="paragraph" w:customStyle="1" w:styleId="300">
    <w:name w:val="B表格序号"/>
    <w:basedOn w:val="1"/>
    <w:qFormat/>
    <w:uiPriority w:val="99"/>
    <w:pPr>
      <w:jc w:val="center"/>
    </w:pPr>
    <w:rPr>
      <w:rFonts w:ascii="Cambria Math" w:hAnsi="Cambria Math" w:eastAsia="Calibri Light" w:cs="Microsoft New Tai Lue"/>
      <w:szCs w:val="21"/>
    </w:rPr>
  </w:style>
  <w:style w:type="paragraph" w:customStyle="1" w:styleId="301">
    <w:name w:val="xl86"/>
    <w:basedOn w:val="1"/>
    <w:qFormat/>
    <w:uiPriority w:val="0"/>
    <w:pPr>
      <w:pBdr>
        <w:top w:val="single" w:color="auto" w:sz="4" w:space="0"/>
        <w:left w:val="single" w:color="auto" w:sz="4" w:space="0"/>
        <w:right w:val="single" w:color="auto" w:sz="4" w:space="0"/>
      </w:pBdr>
      <w:spacing w:before="100" w:beforeAutospacing="1" w:after="100" w:afterAutospacing="1"/>
      <w:textAlignment w:val="center"/>
    </w:pPr>
    <w:rPr>
      <w:rFonts w:ascii="微软雅黑" w:hAnsi="微软雅黑" w:eastAsia="微软雅黑"/>
      <w:sz w:val="18"/>
      <w:szCs w:val="18"/>
    </w:rPr>
  </w:style>
  <w:style w:type="paragraph" w:customStyle="1" w:styleId="302">
    <w:name w:val="xl84"/>
    <w:basedOn w:val="1"/>
    <w:qFormat/>
    <w:uiPriority w:val="0"/>
    <w:pPr>
      <w:pBdr>
        <w:left w:val="single" w:color="auto" w:sz="4" w:space="0"/>
        <w:right w:val="single" w:color="auto" w:sz="4" w:space="0"/>
      </w:pBdr>
      <w:spacing w:before="100" w:beforeAutospacing="1" w:after="100" w:afterAutospacing="1"/>
      <w:jc w:val="center"/>
      <w:textAlignment w:val="center"/>
    </w:pPr>
    <w:rPr>
      <w:rFonts w:ascii="微软雅黑" w:hAnsi="微软雅黑" w:eastAsia="微软雅黑"/>
      <w:sz w:val="18"/>
      <w:szCs w:val="18"/>
    </w:rPr>
  </w:style>
  <w:style w:type="paragraph" w:customStyle="1" w:styleId="303">
    <w:name w:val="T图形居中"/>
    <w:next w:val="1"/>
    <w:qFormat/>
    <w:uiPriority w:val="99"/>
    <w:pPr>
      <w:jc w:val="center"/>
    </w:pPr>
    <w:rPr>
      <w:rFonts w:ascii="Calibri" w:hAnsi="Calibri" w:eastAsia="宋体" w:cs="Times New Roman"/>
      <w:kern w:val="2"/>
      <w:sz w:val="24"/>
      <w:szCs w:val="21"/>
      <w:lang w:val="en-US" w:eastAsia="zh-CN" w:bidi="ar-SA"/>
    </w:rPr>
  </w:style>
  <w:style w:type="character" w:customStyle="1" w:styleId="304">
    <w:name w:val="font161"/>
    <w:basedOn w:val="44"/>
    <w:qFormat/>
    <w:uiPriority w:val="0"/>
    <w:rPr>
      <w:rFonts w:hint="eastAsia" w:ascii="宋体" w:hAnsi="宋体" w:eastAsia="宋体"/>
      <w:color w:val="000000"/>
      <w:sz w:val="22"/>
      <w:szCs w:val="22"/>
      <w:u w:val="none"/>
    </w:rPr>
  </w:style>
  <w:style w:type="character" w:customStyle="1" w:styleId="305">
    <w:name w:val="font01"/>
    <w:basedOn w:val="44"/>
    <w:qFormat/>
    <w:uiPriority w:val="0"/>
    <w:rPr>
      <w:rFonts w:hint="eastAsia" w:ascii="宋体" w:hAnsi="宋体" w:eastAsia="宋体"/>
      <w:color w:val="000000"/>
      <w:sz w:val="22"/>
      <w:szCs w:val="22"/>
      <w:u w:val="none"/>
    </w:rPr>
  </w:style>
  <w:style w:type="character" w:customStyle="1" w:styleId="306">
    <w:name w:val="标题 5 Char1"/>
    <w:qFormat/>
    <w:uiPriority w:val="9"/>
    <w:rPr>
      <w:rFonts w:hint="default" w:ascii="Calibri" w:hAnsi="Calibri" w:eastAsia="宋体" w:cs="Calibri"/>
      <w:b/>
      <w:bCs/>
      <w:kern w:val="2"/>
      <w:sz w:val="28"/>
      <w:szCs w:val="28"/>
    </w:rPr>
  </w:style>
  <w:style w:type="paragraph" w:customStyle="1" w:styleId="307">
    <w:name w:val="彩色底纹 - 着色 11"/>
    <w:semiHidden/>
    <w:qFormat/>
    <w:uiPriority w:val="99"/>
    <w:rPr>
      <w:rFonts w:ascii="Calibri" w:hAnsi="Calibri" w:eastAsia="宋体" w:cs="Times New Roman"/>
      <w:kern w:val="2"/>
      <w:sz w:val="21"/>
      <w:szCs w:val="22"/>
      <w:lang w:val="en-US" w:eastAsia="zh-CN" w:bidi="ar-SA"/>
    </w:rPr>
  </w:style>
  <w:style w:type="paragraph" w:customStyle="1" w:styleId="308">
    <w:name w:val="msonormal"/>
    <w:basedOn w:val="1"/>
    <w:qFormat/>
    <w:uiPriority w:val="0"/>
    <w:pPr>
      <w:spacing w:before="100" w:beforeAutospacing="1" w:after="100" w:afterAutospacing="1"/>
    </w:pPr>
  </w:style>
  <w:style w:type="paragraph" w:customStyle="1" w:styleId="309">
    <w:name w:val="2"/>
    <w:basedOn w:val="1"/>
    <w:next w:val="63"/>
    <w:qFormat/>
    <w:uiPriority w:val="99"/>
    <w:pPr>
      <w:widowControl w:val="0"/>
      <w:ind w:firstLine="420" w:firstLineChars="200"/>
      <w:jc w:val="both"/>
    </w:pPr>
    <w:rPr>
      <w:rFonts w:ascii="Calibri" w:hAnsi="Calibri" w:cs="Times New Roman"/>
      <w:kern w:val="2"/>
      <w:sz w:val="21"/>
      <w:szCs w:val="22"/>
    </w:rPr>
  </w:style>
  <w:style w:type="paragraph" w:customStyle="1" w:styleId="310">
    <w:name w:val="TOC Heading"/>
    <w:basedOn w:val="2"/>
    <w:next w:val="1"/>
    <w:semiHidden/>
    <w:unhideWhenUsed/>
    <w:qFormat/>
    <w:uiPriority w:val="39"/>
    <w:pPr>
      <w:widowControl/>
      <w:numPr>
        <w:numId w:val="0"/>
      </w:numPr>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paragraph" w:customStyle="1" w:styleId="311">
    <w:name w:val="样式2"/>
    <w:qFormat/>
    <w:uiPriority w:val="0"/>
    <w:pPr>
      <w:framePr w:wrap="notBeside" w:vAnchor="text" w:hAnchor="text" w:y="1"/>
      <w:numPr>
        <w:ilvl w:val="0"/>
        <w:numId w:val="12"/>
      </w:numPr>
      <w:spacing w:line="440" w:lineRule="exact"/>
    </w:pPr>
    <w:rPr>
      <w:rFonts w:ascii="宋体" w:hAnsi="宋体" w:cs="宋体" w:eastAsiaTheme="minorHAnsi"/>
      <w:spacing w:val="24"/>
      <w:kern w:val="44"/>
      <w:sz w:val="24"/>
      <w:szCs w:val="24"/>
      <w:lang w:val="en-US" w:eastAsia="zh-CN" w:bidi="ar-SA"/>
    </w:rPr>
  </w:style>
  <w:style w:type="character" w:customStyle="1" w:styleId="312">
    <w:name w:val="bjh-p"/>
    <w:basedOn w:val="44"/>
    <w:qFormat/>
    <w:uiPriority w:val="0"/>
  </w:style>
  <w:style w:type="character" w:customStyle="1" w:styleId="313">
    <w:name w:val="NormalCharacter"/>
    <w:semiHidden/>
    <w:qFormat/>
    <w:uiPriority w:val="99"/>
    <w:rPr>
      <w:rFonts w:ascii="Calibri" w:hAnsi="Calibri" w:eastAsia="宋体"/>
      <w:kern w:val="2"/>
      <w:sz w:val="24"/>
      <w:lang w:val="en-US" w:eastAsia="zh-CN"/>
    </w:rPr>
  </w:style>
  <w:style w:type="character" w:customStyle="1" w:styleId="314">
    <w:name w:val="bjh-strong"/>
    <w:basedOn w:val="44"/>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5C4C7-CCD7-4BE3-B1CA-438CFE72A4ED}">
  <ds:schemaRefs/>
</ds:datastoreItem>
</file>

<file path=docProps/app.xml><?xml version="1.0" encoding="utf-8"?>
<Properties xmlns="http://schemas.openxmlformats.org/officeDocument/2006/extended-properties" xmlns:vt="http://schemas.openxmlformats.org/officeDocument/2006/docPropsVTypes">
  <Template>Normal</Template>
  <Pages>109</Pages>
  <Words>70793</Words>
  <Characters>73155</Characters>
  <Lines>572</Lines>
  <Paragraphs>161</Paragraphs>
  <TotalTime>6</TotalTime>
  <ScaleCrop>false</ScaleCrop>
  <LinksUpToDate>false</LinksUpToDate>
  <CharactersWithSpaces>73668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2021-07-24T08:34:00Z</dcterms:created>
  <dc:creator>pam jocelyn</dc:creator>
  <cp:lastModifiedBy>麦子没熟</cp:lastModifiedBy>
  <cp:lastPrinted>2022-01-05T05:01:00Z</cp:lastPrinted>
  <dcterms:modified xsi:type="dcterms:W3CDTF">2022-09-26T06:56:32Z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A9E0F223B37646D9991F66B1B6B1C073</vt:lpwstr>
  </property>
</Properties>
</file>