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8E1D97">
      <w:pPr>
        <w:keepNext w:val="0"/>
        <w:keepLines w:val="0"/>
        <w:pageBreakBefore w:val="0"/>
        <w:widowControl w:val="0"/>
        <w:kinsoku/>
        <w:wordWrap/>
        <w:overflowPunct/>
        <w:topLinePunct w:val="0"/>
        <w:autoSpaceDE/>
        <w:autoSpaceDN/>
        <w:bidi w:val="0"/>
        <w:adjustRightInd/>
        <w:snapToGrid/>
        <w:spacing w:line="579" w:lineRule="exact"/>
        <w:textAlignment w:val="auto"/>
        <w:outlineLvl w:val="9"/>
        <w:rPr>
          <w:rFonts w:hint="eastAsia" w:ascii="黑体" w:hAnsi="黑体" w:eastAsia="黑体" w:cs="黑体"/>
          <w:color w:val="000000"/>
          <w:sz w:val="44"/>
          <w:szCs w:val="44"/>
          <w:lang w:val="en-US"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p>
    <w:p w14:paraId="377C086E">
      <w:pPr>
        <w:spacing w:line="600" w:lineRule="exact"/>
        <w:jc w:val="both"/>
        <w:rPr>
          <w:rFonts w:hint="eastAsia" w:ascii="方正小标宋简体" w:hAnsi="方正小标宋简体" w:eastAsia="方正小标宋简体" w:cs="方正小标宋简体"/>
          <w:bCs/>
          <w:color w:val="000000" w:themeColor="text1"/>
          <w:spacing w:val="-6"/>
          <w:sz w:val="44"/>
          <w:szCs w:val="44"/>
          <w14:textFill>
            <w14:solidFill>
              <w14:schemeClr w14:val="tx1"/>
            </w14:solidFill>
          </w14:textFill>
        </w:rPr>
      </w:pPr>
    </w:p>
    <w:p w14:paraId="13A96140">
      <w:pPr>
        <w:spacing w:line="600" w:lineRule="exact"/>
        <w:jc w:val="center"/>
        <w:rPr>
          <w:rFonts w:ascii="方正小标宋简体" w:hAnsi="方正小标宋简体" w:eastAsia="方正小标宋简体" w:cs="方正小标宋简体"/>
          <w:bCs/>
          <w:color w:val="000000" w:themeColor="text1"/>
          <w:spacing w:val="-6"/>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pacing w:val="-6"/>
          <w:sz w:val="44"/>
          <w:szCs w:val="44"/>
          <w14:textFill>
            <w14:solidFill>
              <w14:schemeClr w14:val="tx1"/>
            </w14:solidFill>
          </w14:textFill>
        </w:rPr>
        <w:t>长沙市望城区推动制造业高质量发展若干政策</w:t>
      </w:r>
    </w:p>
    <w:p w14:paraId="77AB461B">
      <w:pPr>
        <w:spacing w:line="600" w:lineRule="exact"/>
        <w:ind w:firstLine="640" w:firstLineChars="200"/>
        <w:jc w:val="center"/>
        <w:rPr>
          <w:rFonts w:hint="eastAsia" w:ascii="仿宋_GB2312" w:eastAsia="仿宋_GB2312" w:cs="仿宋_GB2312"/>
          <w:color w:val="000000" w:themeColor="text1"/>
          <w:lang w:eastAsia="zh-CN"/>
          <w14:textFill>
            <w14:solidFill>
              <w14:schemeClr w14:val="tx1"/>
            </w14:solidFill>
          </w14:textFill>
        </w:rPr>
      </w:pPr>
      <w:r>
        <w:rPr>
          <w:rFonts w:hint="eastAsia" w:ascii="仿宋_GB2312" w:cs="仿宋_GB2312"/>
          <w:color w:val="000000" w:themeColor="text1"/>
          <w:lang w:eastAsia="zh-CN"/>
          <w14:textFill>
            <w14:solidFill>
              <w14:schemeClr w14:val="tx1"/>
            </w14:solidFill>
          </w14:textFill>
        </w:rPr>
        <w:t>（征求意见稿）</w:t>
      </w:r>
    </w:p>
    <w:p w14:paraId="5EC08AC8">
      <w:pPr>
        <w:spacing w:line="600" w:lineRule="exact"/>
        <w:ind w:firstLine="640" w:firstLineChars="200"/>
        <w:jc w:val="center"/>
        <w:rPr>
          <w:rFonts w:ascii="仿宋_GB2312" w:cs="仿宋_GB2312"/>
          <w:color w:val="000000" w:themeColor="text1"/>
          <w14:textFill>
            <w14:solidFill>
              <w14:schemeClr w14:val="tx1"/>
            </w14:solidFill>
          </w14:textFill>
        </w:rPr>
      </w:pPr>
    </w:p>
    <w:p w14:paraId="3834B3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为</w:t>
      </w:r>
      <w:r>
        <w:rPr>
          <w:rFonts w:hint="eastAsia" w:ascii="仿宋_GB2312" w:hAnsi="仿宋_GB2312" w:cs="仿宋_GB2312"/>
          <w:color w:val="000000" w:themeColor="text1"/>
          <w:lang w:val="en-US" w:eastAsia="zh-CN"/>
          <w14:textFill>
            <w14:solidFill>
              <w14:schemeClr w14:val="tx1"/>
            </w14:solidFill>
          </w14:textFill>
        </w:rPr>
        <w:t>贯彻落实党的二十大和二十届二中、三中全会精神，全面实现</w:t>
      </w:r>
      <w:r>
        <w:rPr>
          <w:rFonts w:hint="eastAsia" w:ascii="仿宋_GB2312" w:hAnsi="仿宋_GB2312" w:cs="仿宋_GB2312"/>
          <w:color w:val="000000" w:themeColor="text1"/>
          <w14:textFill>
            <w14:solidFill>
              <w14:schemeClr w14:val="tx1"/>
            </w14:solidFill>
          </w14:textFill>
        </w:rPr>
        <w:t>“三高四新”</w:t>
      </w:r>
      <w:r>
        <w:rPr>
          <w:rFonts w:hint="eastAsia" w:ascii="仿宋_GB2312" w:hAnsi="仿宋_GB2312" w:cs="仿宋_GB2312"/>
          <w:color w:val="000000" w:themeColor="text1"/>
          <w:lang w:eastAsia="zh-CN"/>
          <w14:textFill>
            <w14:solidFill>
              <w14:schemeClr w14:val="tx1"/>
            </w14:solidFill>
          </w14:textFill>
        </w:rPr>
        <w:t>美好蓝图</w:t>
      </w:r>
      <w:r>
        <w:rPr>
          <w:rFonts w:hint="eastAsia" w:ascii="仿宋_GB2312" w:hAnsi="仿宋_GB2312" w:cs="仿宋_GB2312"/>
          <w:color w:val="000000" w:themeColor="text1"/>
          <w14:textFill>
            <w14:solidFill>
              <w14:schemeClr w14:val="tx1"/>
            </w14:solidFill>
          </w14:textFill>
        </w:rPr>
        <w:t>，着力打造国家重要先进制造业高地，</w:t>
      </w:r>
      <w:r>
        <w:rPr>
          <w:rFonts w:hint="eastAsia" w:ascii="仿宋_GB2312" w:hAnsi="仿宋_GB2312" w:cs="仿宋_GB2312"/>
          <w:color w:val="000000" w:themeColor="text1"/>
          <w:lang w:val="en-US" w:eastAsia="zh-CN"/>
          <w14:textFill>
            <w14:solidFill>
              <w14:schemeClr w14:val="tx1"/>
            </w14:solidFill>
          </w14:textFill>
        </w:rPr>
        <w:t>持续践行</w:t>
      </w:r>
      <w:r>
        <w:rPr>
          <w:rFonts w:hint="eastAsia" w:ascii="仿宋_GB2312" w:hAnsi="仿宋_GB2312" w:cs="仿宋_GB2312"/>
          <w:color w:val="000000" w:themeColor="text1"/>
          <w:lang w:eastAsia="zh-CN"/>
          <w14:textFill>
            <w14:solidFill>
              <w14:schemeClr w14:val="tx1"/>
            </w14:solidFill>
          </w14:textFill>
        </w:rPr>
        <w:t>一二三六发展思路，</w:t>
      </w:r>
      <w:r>
        <w:rPr>
          <w:rFonts w:hint="eastAsia" w:ascii="仿宋_GB2312" w:hAnsi="仿宋_GB2312" w:cs="仿宋_GB2312"/>
          <w:color w:val="000000" w:themeColor="text1"/>
          <w:lang w:val="en-US" w:eastAsia="zh-CN"/>
          <w14:textFill>
            <w14:solidFill>
              <w14:schemeClr w14:val="tx1"/>
            </w14:solidFill>
          </w14:textFill>
        </w:rPr>
        <w:t>培育</w:t>
      </w:r>
      <w:r>
        <w:rPr>
          <w:rFonts w:hint="eastAsia" w:ascii="仿宋_GB2312" w:hAnsi="仿宋_GB2312" w:cs="仿宋_GB2312"/>
          <w:color w:val="000000" w:themeColor="text1"/>
          <w14:textFill>
            <w14:solidFill>
              <w14:schemeClr w14:val="tx1"/>
            </w14:solidFill>
          </w14:textFill>
        </w:rPr>
        <w:t>发展新质生产力，加快推进新型工业化，根据上级有关政策文件，结合望城区产业实际，特制定本政策。</w:t>
      </w:r>
    </w:p>
    <w:p w14:paraId="7759F5DB">
      <w:pPr>
        <w:pStyle w:val="3"/>
        <w:keepNext w:val="0"/>
        <w:keepLines w:val="0"/>
        <w:pageBreakBefore w:val="0"/>
        <w:widowControl w:val="0"/>
        <w:numPr>
          <w:ilvl w:val="0"/>
          <w:numId w:val="1"/>
        </w:numPr>
        <w:kinsoku/>
        <w:wordWrap/>
        <w:overflowPunct/>
        <w:topLinePunct w:val="0"/>
        <w:autoSpaceDE w:val="0"/>
        <w:autoSpaceDN w:val="0"/>
        <w:bidi w:val="0"/>
        <w:adjustRightInd/>
        <w:snapToGrid/>
        <w:spacing w:before="0" w:line="560" w:lineRule="exact"/>
        <w:ind w:firstLine="640" w:firstLineChars="200"/>
        <w:jc w:val="both"/>
        <w:textAlignment w:val="auto"/>
        <w:outlineLvl w:val="9"/>
        <w:rPr>
          <w:rFonts w:hint="eastAsia" w:eastAsia="黑体"/>
          <w:color w:val="000000" w:themeColor="text1"/>
          <w14:textFill>
            <w14:solidFill>
              <w14:schemeClr w14:val="tx1"/>
            </w14:solidFill>
          </w14:textFill>
        </w:rPr>
      </w:pPr>
      <w:r>
        <w:rPr>
          <w:rFonts w:hint="eastAsia" w:eastAsia="黑体"/>
          <w:color w:val="000000" w:themeColor="text1"/>
          <w:lang w:eastAsia="zh-CN"/>
          <w14:textFill>
            <w14:solidFill>
              <w14:schemeClr w14:val="tx1"/>
            </w14:solidFill>
          </w14:textFill>
        </w:rPr>
        <w:t>适用范围</w:t>
      </w:r>
    </w:p>
    <w:p w14:paraId="12E0E53D">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firstLine="640" w:firstLineChars="200"/>
        <w:jc w:val="both"/>
        <w:textAlignment w:val="auto"/>
        <w:outlineLvl w:val="9"/>
        <w:rPr>
          <w:rFonts w:hint="eastAsia" w:eastAsia="黑体"/>
          <w:color w:val="000000" w:themeColor="text1"/>
          <w:lang w:val="en-US" w:eastAsia="zh-CN"/>
          <w14:textFill>
            <w14:solidFill>
              <w14:schemeClr w14:val="tx1"/>
            </w14:solidFill>
          </w14:textFill>
        </w:rPr>
      </w:pPr>
      <w:r>
        <w:rPr>
          <w:rFonts w:hint="eastAsia" w:cs="仿宋_GB2312"/>
          <w:b w:val="0"/>
          <w:bCs w:val="0"/>
          <w:color w:val="000000" w:themeColor="text1"/>
          <w:kern w:val="2"/>
          <w:sz w:val="32"/>
          <w:szCs w:val="32"/>
          <w:highlight w:val="none"/>
          <w:lang w:val="en-US" w:eastAsia="zh-CN" w:bidi="ar-SA"/>
          <w14:textFill>
            <w14:solidFill>
              <w14:schemeClr w14:val="tx1"/>
            </w14:solidFill>
          </w14:textFill>
        </w:rPr>
        <w:t>本政策适用奖补对象，必须是在望城注册经营并依法纳税、具有独立法人资格、工业和信息化领域企业以及符合要求的服务机构等。</w:t>
      </w:r>
    </w:p>
    <w:p w14:paraId="27096A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华文仿宋" w:eastAsia="楷体_GB2312"/>
          <w:b/>
          <w:color w:val="000000" w:themeColor="text1"/>
          <w:lang w:val="en-US" w:eastAsia="zh-CN"/>
          <w14:textFill>
            <w14:solidFill>
              <w14:schemeClr w14:val="tx1"/>
            </w14:solidFill>
          </w14:textFill>
        </w:rPr>
      </w:pPr>
      <w:r>
        <w:rPr>
          <w:rFonts w:hint="eastAsia" w:eastAsia="黑体"/>
          <w:color w:val="000000" w:themeColor="text1"/>
          <w:lang w:eastAsia="zh-CN"/>
          <w14:textFill>
            <w14:solidFill>
              <w14:schemeClr w14:val="tx1"/>
            </w14:solidFill>
          </w14:textFill>
        </w:rPr>
        <w:t>二、</w:t>
      </w:r>
      <w:r>
        <w:rPr>
          <w:rFonts w:hint="eastAsia" w:eastAsia="黑体"/>
          <w:color w:val="000000" w:themeColor="text1"/>
          <w14:textFill>
            <w14:solidFill>
              <w14:schemeClr w14:val="tx1"/>
            </w14:solidFill>
          </w14:textFill>
        </w:rPr>
        <w:t>奖项设置</w:t>
      </w:r>
    </w:p>
    <w:p w14:paraId="5784E2C5">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olor w:val="000000" w:themeColor="text1"/>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1.促做大做强。</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支持升规提质。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对当年度认定为规模以上工业企业的，给予20万元奖励</w:t>
      </w:r>
      <w:r>
        <w:rPr>
          <w:rFonts w:hint="eastAsia" w:ascii="仿宋_GB2312" w:hAnsi="仿宋_GB2312" w:cs="仿宋_GB2312"/>
          <w:color w:val="000000" w:themeColor="text1"/>
          <w:sz w:val="32"/>
          <w:szCs w:val="32"/>
          <w:lang w:val="en-US" w:eastAsia="zh-CN"/>
          <w14:textFill>
            <w14:solidFill>
              <w14:schemeClr w14:val="tx1"/>
            </w14:solidFill>
          </w14:textFill>
        </w:rPr>
        <w:t>。</w:t>
      </w:r>
      <w:r>
        <w:rPr>
          <w:rFonts w:hint="eastAsia" w:ascii="仿宋_GB2312" w:hAnsi="仿宋_GB2312" w:cs="仿宋_GB2312"/>
          <w:b w:val="0"/>
          <w:bCs w:val="0"/>
          <w:color w:val="000000" w:themeColor="text1"/>
          <w:lang w:val="en-US" w:eastAsia="zh-CN"/>
          <w14:textFill>
            <w14:solidFill>
              <w14:schemeClr w14:val="tx1"/>
            </w14:solidFill>
          </w14:textFill>
        </w:rPr>
        <w:t>（牵头单位：区工信局）</w:t>
      </w:r>
    </w:p>
    <w:p w14:paraId="6F496A19">
      <w:pPr>
        <w:keepNext w:val="0"/>
        <w:keepLines w:val="0"/>
        <w:pageBreakBefore w:val="0"/>
        <w:widowControl w:val="0"/>
        <w:shd w:val="clear" w:color="auto" w:fill="FFFFFF"/>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支持稳产增产。</w:t>
      </w:r>
      <w:r>
        <w:rPr>
          <w:rFonts w:hint="eastAsia" w:ascii="仿宋_GB2312" w:hAnsi="仿宋_GB2312" w:eastAsia="仿宋_GB2312" w:cs="仿宋_GB2312"/>
          <w:color w:val="000000" w:themeColor="text1"/>
          <w:sz w:val="32"/>
          <w:szCs w:val="32"/>
          <w:lang w:eastAsia="zh-CN"/>
          <w14:textFill>
            <w14:solidFill>
              <w14:schemeClr w14:val="tx1"/>
            </w14:solidFill>
          </w14:textFill>
        </w:rPr>
        <w:t>对当年产值或营业收入</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cs="仿宋_GB2312"/>
          <w:color w:val="000000" w:themeColor="text1"/>
          <w:sz w:val="32"/>
          <w:szCs w:val="32"/>
          <w:vertAlign w:val="superscript"/>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稳住200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lang w:eastAsia="zh-CN"/>
          <w14:textFill>
            <w14:solidFill>
              <w14:schemeClr w14:val="tx1"/>
            </w14:solidFill>
          </w14:textFill>
        </w:rPr>
        <w:t>亿元规模且保持正增长的企业分别奖励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元；对当年产值或营业收入首次达到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30亿</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、15亿</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、10亿</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、5亿</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、1亿</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台阶的企业，分别奖励30万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、15万</w:t>
      </w:r>
      <w:r>
        <w:rPr>
          <w:rFonts w:hint="eastAsia" w:ascii="仿宋_GB2312" w:hAnsi="仿宋_GB2312" w:eastAsia="仿宋_GB2312" w:cs="仿宋_GB2312"/>
          <w:color w:val="000000" w:themeColor="text1"/>
          <w:sz w:val="32"/>
          <w:szCs w:val="32"/>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10万元、5万元、1万元；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对当年产值或营业收入净增1亿元以上（含1亿元）的企业，按照每净增1亿元奖励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万元的标准给予奖励，单个企业每年最高不超过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0万元。</w:t>
      </w:r>
      <w:r>
        <w:rPr>
          <w:rFonts w:hint="eastAsia" w:ascii="仿宋_GB2312" w:hAnsi="仿宋_GB2312" w:eastAsia="仿宋_GB2312" w:cs="仿宋_GB2312"/>
          <w:color w:val="auto"/>
          <w:kern w:val="0"/>
          <w:sz w:val="32"/>
          <w:szCs w:val="32"/>
          <w:shd w:val="clear" w:color="auto" w:fill="FFFFFF"/>
          <w:lang w:eastAsia="zh-CN" w:bidi="ar"/>
        </w:rPr>
        <w:t>对入规三年以上的企业，上年度产值规模为</w:t>
      </w:r>
      <w:r>
        <w:rPr>
          <w:rFonts w:hint="eastAsia" w:ascii="仿宋_GB2312" w:hAnsi="仿宋_GB2312" w:eastAsia="仿宋_GB2312" w:cs="仿宋_GB2312"/>
          <w:color w:val="auto"/>
          <w:kern w:val="0"/>
          <w:sz w:val="32"/>
          <w:szCs w:val="32"/>
          <w:shd w:val="clear" w:color="auto" w:fill="FFFFFF"/>
          <w:lang w:val="en-US" w:eastAsia="zh-CN" w:bidi="ar"/>
        </w:rPr>
        <w:t>2亿元（含）-10亿元且当年增速超过15%、</w:t>
      </w:r>
      <w:r>
        <w:rPr>
          <w:rFonts w:hint="eastAsia" w:ascii="仿宋_GB2312" w:hAnsi="仿宋_GB2312" w:eastAsia="仿宋_GB2312" w:cs="仿宋_GB2312"/>
          <w:color w:val="auto"/>
          <w:kern w:val="0"/>
          <w:sz w:val="32"/>
          <w:szCs w:val="32"/>
          <w:shd w:val="clear" w:color="auto" w:fill="FFFFFF"/>
          <w:lang w:eastAsia="zh-CN" w:bidi="ar"/>
        </w:rPr>
        <w:t>产值规模为</w:t>
      </w:r>
      <w:r>
        <w:rPr>
          <w:rFonts w:hint="eastAsia" w:ascii="仿宋_GB2312" w:hAnsi="仿宋_GB2312" w:eastAsia="仿宋_GB2312" w:cs="仿宋_GB2312"/>
          <w:color w:val="auto"/>
          <w:kern w:val="0"/>
          <w:sz w:val="32"/>
          <w:szCs w:val="32"/>
          <w:shd w:val="clear" w:color="auto" w:fill="FFFFFF"/>
          <w:lang w:val="en-US" w:eastAsia="zh-CN" w:bidi="ar"/>
        </w:rPr>
        <w:t>10亿元（含）-20亿元且当年增速超过12%、</w:t>
      </w:r>
      <w:r>
        <w:rPr>
          <w:rFonts w:hint="eastAsia" w:ascii="仿宋_GB2312" w:hAnsi="仿宋_GB2312" w:eastAsia="仿宋_GB2312" w:cs="仿宋_GB2312"/>
          <w:color w:val="auto"/>
          <w:kern w:val="0"/>
          <w:sz w:val="32"/>
          <w:szCs w:val="32"/>
          <w:shd w:val="clear" w:color="auto" w:fill="FFFFFF"/>
          <w:lang w:eastAsia="zh-CN" w:bidi="ar"/>
        </w:rPr>
        <w:t>产值规模为</w:t>
      </w:r>
      <w:r>
        <w:rPr>
          <w:rFonts w:hint="eastAsia" w:ascii="仿宋_GB2312" w:hAnsi="仿宋_GB2312" w:eastAsia="仿宋_GB2312" w:cs="仿宋_GB2312"/>
          <w:color w:val="auto"/>
          <w:kern w:val="0"/>
          <w:sz w:val="32"/>
          <w:szCs w:val="32"/>
          <w:shd w:val="clear" w:color="auto" w:fill="FFFFFF"/>
          <w:lang w:val="en-US" w:eastAsia="zh-CN" w:bidi="ar"/>
        </w:rPr>
        <w:t>20亿元（含）-50亿元且增速超过10%、</w:t>
      </w:r>
      <w:r>
        <w:rPr>
          <w:rFonts w:hint="eastAsia" w:ascii="仿宋_GB2312" w:hAnsi="仿宋_GB2312" w:eastAsia="仿宋_GB2312" w:cs="仿宋_GB2312"/>
          <w:color w:val="auto"/>
          <w:kern w:val="0"/>
          <w:sz w:val="32"/>
          <w:szCs w:val="32"/>
          <w:shd w:val="clear" w:color="auto" w:fill="FFFFFF"/>
          <w:lang w:eastAsia="zh-CN" w:bidi="ar"/>
        </w:rPr>
        <w:t>产值规模为</w:t>
      </w:r>
      <w:r>
        <w:rPr>
          <w:rFonts w:hint="eastAsia" w:ascii="仿宋_GB2312" w:hAnsi="仿宋_GB2312" w:eastAsia="仿宋_GB2312" w:cs="仿宋_GB2312"/>
          <w:color w:val="auto"/>
          <w:kern w:val="0"/>
          <w:sz w:val="32"/>
          <w:szCs w:val="32"/>
          <w:shd w:val="clear" w:color="auto" w:fill="FFFFFF"/>
          <w:lang w:val="en-US" w:eastAsia="zh-CN" w:bidi="ar"/>
        </w:rPr>
        <w:t>50亿元（含）-100亿元且当年增速超过10%的，按照新增</w:t>
      </w:r>
      <w:r>
        <w:rPr>
          <w:rFonts w:hint="eastAsia" w:ascii="仿宋_GB2312" w:hAnsi="仿宋_GB2312" w:eastAsia="仿宋_GB2312" w:cs="仿宋_GB2312"/>
          <w:color w:val="auto"/>
          <w:kern w:val="0"/>
          <w:sz w:val="32"/>
          <w:szCs w:val="32"/>
          <w:shd w:val="clear" w:color="auto" w:fill="FFFFFF"/>
          <w:lang w:bidi="ar"/>
        </w:rPr>
        <w:t>工业产值的</w:t>
      </w:r>
      <w:r>
        <w:rPr>
          <w:rFonts w:hint="eastAsia" w:ascii="仿宋_GB2312" w:hAnsi="仿宋_GB2312" w:eastAsia="仿宋_GB2312" w:cs="仿宋_GB2312"/>
          <w:color w:val="auto"/>
          <w:kern w:val="0"/>
          <w:sz w:val="32"/>
          <w:szCs w:val="32"/>
          <w:shd w:val="clear" w:color="auto" w:fill="FFFFFF"/>
          <w:lang w:val="en-US" w:eastAsia="zh-CN" w:bidi="ar"/>
        </w:rPr>
        <w:t>1.5</w:t>
      </w:r>
      <w:r>
        <w:rPr>
          <w:rFonts w:hint="eastAsia" w:ascii="仿宋_GB2312" w:hAnsi="仿宋_GB2312" w:eastAsia="仿宋_GB2312" w:cs="仿宋_GB2312"/>
          <w:color w:val="auto"/>
          <w:kern w:val="0"/>
          <w:sz w:val="32"/>
          <w:szCs w:val="32"/>
          <w:shd w:val="clear" w:color="auto" w:fill="FFFFFF"/>
          <w:lang w:bidi="ar"/>
        </w:rPr>
        <w:t>‰给予奖励</w:t>
      </w:r>
      <w:r>
        <w:rPr>
          <w:rFonts w:hint="eastAsia" w:ascii="仿宋_GB2312" w:hAnsi="仿宋_GB2312" w:eastAsia="仿宋_GB2312" w:cs="仿宋_GB2312"/>
          <w:color w:val="auto"/>
          <w:kern w:val="0"/>
          <w:sz w:val="32"/>
          <w:szCs w:val="32"/>
          <w:shd w:val="clear" w:color="auto" w:fill="FFFFFF"/>
          <w:lang w:eastAsia="zh-CN" w:bidi="ar"/>
        </w:rPr>
        <w:t>；对上年度产值规模为</w:t>
      </w:r>
      <w:r>
        <w:rPr>
          <w:rFonts w:hint="eastAsia" w:ascii="仿宋_GB2312" w:hAnsi="仿宋_GB2312" w:eastAsia="仿宋_GB2312" w:cs="仿宋_GB2312"/>
          <w:color w:val="auto"/>
          <w:kern w:val="0"/>
          <w:sz w:val="32"/>
          <w:szCs w:val="32"/>
          <w:shd w:val="clear" w:color="auto" w:fill="FFFFFF"/>
          <w:lang w:val="en-US" w:eastAsia="zh-CN" w:bidi="ar"/>
        </w:rPr>
        <w:t>100亿元（含）以上，当年增速超过10%、30%的企业，按照新增</w:t>
      </w:r>
      <w:r>
        <w:rPr>
          <w:rFonts w:hint="eastAsia" w:ascii="仿宋_GB2312" w:hAnsi="仿宋_GB2312" w:eastAsia="仿宋_GB2312" w:cs="仿宋_GB2312"/>
          <w:color w:val="auto"/>
          <w:kern w:val="0"/>
          <w:sz w:val="32"/>
          <w:szCs w:val="32"/>
          <w:shd w:val="clear" w:color="auto" w:fill="FFFFFF"/>
          <w:lang w:bidi="ar"/>
        </w:rPr>
        <w:t>工业产值的</w:t>
      </w:r>
      <w:r>
        <w:rPr>
          <w:rFonts w:hint="eastAsia" w:ascii="仿宋_GB2312" w:hAnsi="仿宋_GB2312" w:eastAsia="仿宋_GB2312" w:cs="仿宋_GB2312"/>
          <w:color w:val="auto"/>
          <w:kern w:val="0"/>
          <w:sz w:val="32"/>
          <w:szCs w:val="32"/>
          <w:shd w:val="clear" w:color="auto" w:fill="FFFFFF"/>
          <w:lang w:val="en-US" w:eastAsia="zh-CN" w:bidi="ar"/>
        </w:rPr>
        <w:t>1</w:t>
      </w:r>
      <w:r>
        <w:rPr>
          <w:rFonts w:hint="eastAsia" w:ascii="仿宋_GB2312" w:hAnsi="仿宋_GB2312" w:eastAsia="仿宋_GB2312" w:cs="仿宋_GB2312"/>
          <w:color w:val="auto"/>
          <w:kern w:val="0"/>
          <w:sz w:val="32"/>
          <w:szCs w:val="32"/>
          <w:shd w:val="clear" w:color="auto" w:fill="FFFFFF"/>
          <w:lang w:bidi="ar"/>
        </w:rPr>
        <w:t>‰</w:t>
      </w:r>
      <w:r>
        <w:rPr>
          <w:rFonts w:hint="eastAsia" w:ascii="仿宋_GB2312" w:hAnsi="仿宋_GB2312" w:eastAsia="仿宋_GB2312" w:cs="仿宋_GB2312"/>
          <w:color w:val="auto"/>
          <w:kern w:val="0"/>
          <w:sz w:val="32"/>
          <w:szCs w:val="32"/>
          <w:shd w:val="clear" w:color="auto" w:fill="FFFFFF"/>
          <w:lang w:eastAsia="zh-CN" w:bidi="ar"/>
        </w:rPr>
        <w:t>、</w:t>
      </w:r>
      <w:r>
        <w:rPr>
          <w:rFonts w:hint="eastAsia" w:ascii="仿宋_GB2312" w:hAnsi="仿宋_GB2312" w:eastAsia="仿宋_GB2312" w:cs="仿宋_GB2312"/>
          <w:color w:val="auto"/>
          <w:kern w:val="0"/>
          <w:sz w:val="32"/>
          <w:szCs w:val="32"/>
          <w:shd w:val="clear" w:color="auto" w:fill="FFFFFF"/>
          <w:lang w:val="en-US" w:eastAsia="zh-CN" w:bidi="ar"/>
        </w:rPr>
        <w:t>2</w:t>
      </w:r>
      <w:r>
        <w:rPr>
          <w:rFonts w:hint="eastAsia" w:ascii="仿宋_GB2312" w:hAnsi="仿宋_GB2312" w:eastAsia="仿宋_GB2312" w:cs="仿宋_GB2312"/>
          <w:color w:val="auto"/>
          <w:kern w:val="0"/>
          <w:sz w:val="32"/>
          <w:szCs w:val="32"/>
          <w:shd w:val="clear" w:color="auto" w:fill="FFFFFF"/>
          <w:lang w:bidi="ar"/>
        </w:rPr>
        <w:t>‰给予奖励</w:t>
      </w:r>
      <w:r>
        <w:rPr>
          <w:rFonts w:hint="eastAsia" w:ascii="仿宋_GB2312" w:hAnsi="仿宋_GB2312" w:eastAsia="仿宋_GB2312" w:cs="仿宋_GB2312"/>
          <w:color w:val="auto"/>
          <w:kern w:val="0"/>
          <w:sz w:val="32"/>
          <w:szCs w:val="32"/>
          <w:shd w:val="clear" w:color="auto" w:fill="FFFFFF"/>
          <w:lang w:val="en-US" w:eastAsia="zh-CN" w:bidi="ar"/>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（牵头单位：区工信局）</w:t>
      </w:r>
    </w:p>
    <w:p w14:paraId="7984BA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2.促创新突破。</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（3）鼓励打造科技平台。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对当年获批国家级重点实验室、工程技术研究中心、工程研究中心、技术创新中心、企业技术中心、制造业创新中心、工业设计中心等创新平台</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cs="仿宋_GB2312"/>
          <w:color w:val="000000" w:themeColor="text1"/>
          <w:sz w:val="32"/>
          <w:szCs w:val="32"/>
          <w:vertAlign w:val="superscript"/>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企业，奖励100万元；对当年认定为省、市级工程技术研究中心、工程研究中心、技术创新中心、企业技术中心、新型研发机构等创新平台的企业，分别奖励20万元、10万元；对认定为省、市中试基地的企业，分别奖励50万元、30万元</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对企业新设立且经认定批准的院士工作站，给予30万元奖励；对企业新设立且经认定批准的博士后科研工作站，给予20万元奖励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。（牵头单位：区工信局、区科技局、区科协、区发改局、区人社局）</w:t>
      </w:r>
    </w:p>
    <w:p w14:paraId="0AB509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（4）鼓励创建孵化载体。</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对企业新设立且经认定批准的专家工作站、海智工作站给予5万元奖励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对当年新认定为国家级、省级、市级科技企业孵化器的企业，分别给予50万元、40万元、30万元奖励；新备案（认定）的国家级、省级、市级众创空间的企业，分别给予30万元、20万元、10万元奖励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。（牵头单位：区科技局、区科协）</w:t>
      </w:r>
    </w:p>
    <w:p w14:paraId="0835E0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（5）支持技术攻关。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立项国家级、省级、市级“揭榜挂帅”重大科技项目企业，分别给予30万元、20万元、10万元的奖励；对立项国家级、省级、市级科技重大专项、重点研发计划等项目的企业，按国家级30万元、省级市级5万元的标准奖励，单个企业年度最高不超过40万元。获得国家自然科学奖、技术发明奖、科学技术进步奖特等奖的企业奖励100万元，一等奖的奖励50万元，二等奖的奖励30万元；对当年获得湖南省科学技术杰出贡献奖的企业，奖励50万元；获得湖南省自然科学奖、技术发明奖、科学技术进步奖特等奖的企业奖励50万元，一等奖的奖励30万元，二等奖的奖励20万元，三等奖的奖励10万元。非第一完成单位奖励减半，同一单位同一年度按最高获奖项进行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牵头单位：区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科技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局</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p>
    <w:p w14:paraId="60B1EF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（6）支持公共服务。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对取得国家、省、市认定的公共服务平台、核心服务机构、产业促进组织等，根据服务企业数量、服务效果、活动开展等方面进行综合评价，给予最高20万元奖励。（牵头单位：</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区工信局、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科技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局）</w:t>
      </w:r>
    </w:p>
    <w:p w14:paraId="438D65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（7）支持技术合作。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开展技术输出（含技术开发、技术转让、技术许可、技术服务、技术咨询）的企业、科研院所等创新主体，经认定登记后，按照技术合同认定成交额的一定比例给予补助，单个企业最高不超过50万元（政府项目合同不包含在内）。（牵头单位：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科技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局）</w:t>
      </w:r>
    </w:p>
    <w:p w14:paraId="2676A9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cs="仿宋_GB2312"/>
          <w:b w:val="0"/>
          <w:bCs/>
          <w:color w:val="000000" w:themeColor="text1"/>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（8）鼓励首创首试。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对当年获评国家、省、市首台（套）技术设备、首批次新材料、首版次高端软件、首轮次工程流片芯片、首套件基础电子元器件产品的企业，分别给予20万元、15万元、10万元奖励。</w:t>
      </w:r>
      <w:r>
        <w:rPr>
          <w:rFonts w:hint="eastAsia" w:ascii="仿宋_GB2312" w:hAnsi="仿宋_GB2312" w:cs="仿宋_GB2312"/>
          <w:b w:val="0"/>
          <w:bCs/>
          <w:color w:val="000000" w:themeColor="text1"/>
          <w14:textFill>
            <w14:solidFill>
              <w14:schemeClr w14:val="tx1"/>
            </w14:solidFill>
          </w14:textFill>
        </w:rPr>
        <w:t>（牵头单位：区工信局）</w:t>
      </w:r>
    </w:p>
    <w:p w14:paraId="1BEBC8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cs="Times New Roman"/>
          <w:b/>
          <w:color w:val="000000" w:themeColor="text1"/>
          <w:lang w:val="en-US" w:eastAsia="zh-CN"/>
          <w14:textFill>
            <w14:solidFill>
              <w14:schemeClr w14:val="tx1"/>
            </w14:solidFill>
          </w14:textFill>
        </w:rPr>
        <w:t>3.促转化应用。</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（9）支持科技成果转化。</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对当年通过购买、转让、许可、作价入股等方式与高校、科研院所、企业签订知识产权转化合同并实现成果转化的企业，按有效合同实际执行金额的10%给予奖励，单个企业最高不超过10万元。</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（牵头单位：区</w:t>
      </w:r>
      <w:r>
        <w:rPr>
          <w:rFonts w:hint="eastAsia" w:ascii="仿宋_GB2312" w:hAnsi="仿宋_GB2312" w:cs="仿宋_GB2312"/>
          <w:b w:val="0"/>
          <w:bCs w:val="0"/>
          <w:color w:val="000000" w:themeColor="text1"/>
          <w:sz w:val="32"/>
          <w:szCs w:val="32"/>
          <w:highlight w:val="none"/>
          <w:lang w:val="en-US" w:eastAsia="zh-CN"/>
          <w14:textFill>
            <w14:solidFill>
              <w14:schemeClr w14:val="tx1"/>
            </w14:solidFill>
          </w14:textFill>
        </w:rPr>
        <w:t>市场监管</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局）</w:t>
      </w:r>
    </w:p>
    <w:p w14:paraId="688C5D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（10）鼓励专利争优。</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对当年获得中国专利或中国外观设计金奖、银奖、优秀奖的企业，分别给予30万元、20万元、10万元奖励；获得湖南省专利特别奖、一等奖、二等奖、三等奖的企业，分别给予10万元、8万元、5万元、2万元奖励。</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（牵头单位：区</w:t>
      </w:r>
      <w:r>
        <w:rPr>
          <w:rFonts w:hint="eastAsia" w:ascii="仿宋_GB2312" w:hAnsi="仿宋_GB2312" w:cs="仿宋_GB2312"/>
          <w:b w:val="0"/>
          <w:bCs w:val="0"/>
          <w:color w:val="000000" w:themeColor="text1"/>
          <w:sz w:val="32"/>
          <w:szCs w:val="32"/>
          <w:highlight w:val="none"/>
          <w:lang w:val="en-US" w:eastAsia="zh-CN"/>
          <w14:textFill>
            <w14:solidFill>
              <w14:schemeClr w14:val="tx1"/>
            </w14:solidFill>
          </w14:textFill>
        </w:rPr>
        <w:t>市场监管</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局）</w:t>
      </w:r>
    </w:p>
    <w:p w14:paraId="48F22E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（11）支持示范引领。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认定为国家知识产权示范企业和优势企业的，分别给予30万元、20万元奖励；对获得省级知识产权强链护链、海外保护、商业秘密保护示范等的企业，给予上级奖励资金总额50%的奖励，最高不超过20万元；对获得市级培育知识产权优势企业、高价值专利组合培育、知识产权保护能力提升、专利导航等的企业，给予上级奖励资金总额50%的奖励，最高不超过20万元。</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（牵头单位：区</w:t>
      </w:r>
      <w:r>
        <w:rPr>
          <w:rFonts w:hint="eastAsia" w:ascii="仿宋_GB2312" w:hAnsi="仿宋_GB2312" w:cs="仿宋_GB2312"/>
          <w:b w:val="0"/>
          <w:bCs w:val="0"/>
          <w:color w:val="000000" w:themeColor="text1"/>
          <w:sz w:val="32"/>
          <w:szCs w:val="32"/>
          <w:highlight w:val="none"/>
          <w:lang w:val="en-US" w:eastAsia="zh-CN"/>
          <w14:textFill>
            <w14:solidFill>
              <w14:schemeClr w14:val="tx1"/>
            </w14:solidFill>
          </w14:textFill>
        </w:rPr>
        <w:t>市场监管</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局）</w:t>
      </w:r>
    </w:p>
    <w:p w14:paraId="0C93CE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cs="仿宋_GB2312"/>
          <w:b w:val="0"/>
          <w:bCs/>
          <w:color w:val="000000" w:themeColor="text1"/>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（12）支持质押贴息。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对获得知识产权质押贷款的企业，给予年度内实际支付贷款利息50%的补助，单个企业最高不超过20万元（与其他贷款贴息政策不重复享受），首次开展知识产权质押贷款的企业，另行奖励2万元。</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（牵头单位：区</w:t>
      </w:r>
      <w:r>
        <w:rPr>
          <w:rFonts w:hint="eastAsia" w:ascii="仿宋_GB2312" w:hAnsi="仿宋_GB2312" w:cs="仿宋_GB2312"/>
          <w:b w:val="0"/>
          <w:bCs w:val="0"/>
          <w:color w:val="000000" w:themeColor="text1"/>
          <w:sz w:val="32"/>
          <w:szCs w:val="32"/>
          <w:highlight w:val="none"/>
          <w:lang w:val="en-US" w:eastAsia="zh-CN"/>
          <w14:textFill>
            <w14:solidFill>
              <w14:schemeClr w14:val="tx1"/>
            </w14:solidFill>
          </w14:textFill>
        </w:rPr>
        <w:t>市场监管</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局）</w:t>
      </w:r>
    </w:p>
    <w:p w14:paraId="3DE4F6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4.促融合发展。</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（13）支持两化融合。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通过工信部“两化融合”管理体系贯标评定，达到AAA级、AA级、A级的企业，分别给予15万元、10万元、5万元奖励；对当年通过工信部数字化转型贯标企业，星级评估达到五星级、四星级、三星级、二星级、一星级分别给予50万元、40万元、30万元、20万元、10万元奖励。（牵头单位：区工信局）</w:t>
      </w:r>
    </w:p>
    <w:p w14:paraId="4F93DE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（14）支持军民融合。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对当年首次获得“军工三证”（武器装备科研生产保密资格认证、武器装备科研生产许可证、装备承制单位资格认证）的企业，每证给予15万元奖励。（牵头单位：区工信局）</w:t>
      </w:r>
    </w:p>
    <w:p w14:paraId="025361B2">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仿宋_GB2312" w:hAnsi="仿宋_GB2312" w:cs="仿宋_GB2312"/>
          <w:b w:val="0"/>
          <w:bCs/>
          <w:color w:val="000000" w:themeColor="text1"/>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5.促智改数转。</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（15）支持扩能升级。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对当年进行工位智能化改造的企业，按照实际智能化设备投资总额的10%给予奖励，单个企业最高30万元</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对当年进行产线智能化改造的企业，按照实际智能化设备投资总额的10%给予奖励，单个企业最高40万元</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；对当年进行车间智能化改造的企业，按照实际智能化设备投资总额的10%给予奖励，单个企业最高50万元。</w:t>
      </w:r>
      <w:r>
        <w:rPr>
          <w:rFonts w:hint="eastAsia" w:ascii="仿宋_GB2312" w:hAnsi="仿宋_GB2312" w:cs="仿宋_GB2312"/>
          <w:b w:val="0"/>
          <w:bCs/>
          <w:color w:val="000000" w:themeColor="text1"/>
          <w14:textFill>
            <w14:solidFill>
              <w14:schemeClr w14:val="tx1"/>
            </w14:solidFill>
          </w14:textFill>
        </w:rPr>
        <w:t>（牵头单位：区工信局）</w:t>
      </w:r>
    </w:p>
    <w:p w14:paraId="4F591E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（16）支持数字化发展。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对获得国家、省、市工业互联网平台建设和应用项目的企业，分别给予30万元、20万元、10万元奖励；对获得省级“5G+工业互联网”示范工厂的、工业互联网平台项目的，给予20万元奖励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对当年搭建、参与建设工业互联网标识解析二级节点，并取得工业互联网标识注册服务机构许可证的企业，给予10万元补贴；对当年获评国家、省级“链式”转型荣誉或优秀案例的企业，分别给予30万元、10万元奖励；对当年服务企业开展工业互联网网络安全分类分级或工业领域数据安全管理且取得资质认定的服务商，根据认定企业的数量，给予2万元/家的奖励，最高不超过30万元。</w:t>
      </w:r>
      <w:r>
        <w:rPr>
          <w:rFonts w:hint="eastAsia" w:ascii="仿宋_GB2312" w:hAnsi="仿宋_GB2312" w:cs="仿宋_GB2312"/>
          <w:color w:val="000000" w:themeColor="text1"/>
          <w14:textFill>
            <w14:solidFill>
              <w14:schemeClr w14:val="tx1"/>
            </w14:solidFill>
          </w14:textFill>
        </w:rPr>
        <w:t>（牵头单位：区工信局）</w:t>
      </w:r>
    </w:p>
    <w:p w14:paraId="0C8B675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（17）鼓励智能化发展。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对当年获评先进级、卓越级、领航级智能工厂的企业，按照晋级补差的原则分别奖励10万元、30万元、50万元</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对当年新认定为国家级、省级智能制造、未来产业、数实融合等典型应用案例的企业，分别奖励10万元、5万元。（牵头单位：区工信局）</w:t>
      </w:r>
    </w:p>
    <w:p w14:paraId="1241F9C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楷体_GB2312" w:hAnsi="华文仿宋" w:eastAsia="楷体_GB2312"/>
          <w:b/>
          <w:color w:val="000000" w:themeColor="text1"/>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（18）支持绿色化发展。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对当年获得国家级、省级绿色工厂、零碳工厂、绿色供应链管理企业、节水型单位等的企业，分别给予30万元、10万元的奖励；对首次通过自愿性清洁生产审核验收的企业，给予5万元奖励。</w:t>
      </w:r>
      <w:r>
        <w:rPr>
          <w:rFonts w:hint="eastAsia" w:ascii="仿宋_GB2312" w:hAnsi="仿宋_GB2312" w:cs="仿宋_GB2312"/>
          <w:b w:val="0"/>
          <w:bCs/>
          <w:color w:val="000000" w:themeColor="text1"/>
          <w14:textFill>
            <w14:solidFill>
              <w14:schemeClr w14:val="tx1"/>
            </w14:solidFill>
          </w14:textFill>
        </w:rPr>
        <w:t>（牵头单位：区工信局）</w:t>
      </w:r>
    </w:p>
    <w:p w14:paraId="5E5283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6.促做精做新。</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（19）鼓励向专精特新方向发展。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对当年新认定为工信部专精特新</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小巨人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企业、省级专精特新中小企业，分别给予30万元、10万元奖励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对当年重新认定为工信部专精特新</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小巨人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企业的，奖励10万元</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w:t>
      </w:r>
      <w:bookmarkStart w:id="0" w:name="_GoBack"/>
      <w:bookmarkEnd w:id="0"/>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当年认定为国家级、省级制造业单项冠军企业（产品），分别给予50万元、20万元奖励，同一企业不同产品可累计奖励，同一产品新认定与复核不重复奖励。</w:t>
      </w:r>
      <w:r>
        <w:rPr>
          <w:rFonts w:hint="eastAsia" w:ascii="仿宋_GB2312" w:hAnsi="仿宋_GB2312" w:cs="仿宋_GB2312"/>
          <w:color w:val="000000" w:themeColor="text1"/>
          <w14:textFill>
            <w14:solidFill>
              <w14:schemeClr w14:val="tx1"/>
            </w14:solidFill>
          </w14:textFill>
        </w:rPr>
        <w:t>（牵头单位：区工信局）</w:t>
      </w:r>
    </w:p>
    <w:p w14:paraId="300537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（20）支持高新技术企业认定。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对当年首次认定为高新技术企业的，给予10万元奖励；对重新认定为高新技术企业的，给予5万元奖励。（牵头单位：区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科技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局）</w:t>
      </w:r>
    </w:p>
    <w:p w14:paraId="5FF884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楷体_GB2312" w:hAnsi="华文仿宋" w:eastAsia="楷体_GB2312"/>
          <w:b/>
          <w:color w:val="000000" w:themeColor="text1"/>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（21）鼓励上榜晋级。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对当年首次认定为市级独角兽企业、独角兽培育企业、独角兽种子企业、瞪羚企业、瞪羚培育企业的，分别给于10万元、8万元、6万元、4万元、2万元奖励。（牵头单位：区</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发改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局）</w:t>
      </w:r>
    </w:p>
    <w:p w14:paraId="63C33F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b w:val="0"/>
          <w:bCs/>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7.促质效提升。</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（22）支持提升品质。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得中国质量奖、省长质量奖、市长质量奖的企业，分别奖励50万元、30万元、20万元，对获奖个人分别奖励10万元、8万元、5万元；对当年获得中国质量奖提名奖、省长质量奖提名奖、市长质量奖提名奖的企业，分别奖励30万元、20万元、10万元。（牵头单位：区市场监管局）</w:t>
      </w:r>
    </w:p>
    <w:p w14:paraId="21C451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（23）支持打造标杆。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对当年获得国家、省级质量标杆、品牌培育示范、“三品”标杆的企业，分别给予30万元、10万元奖励</w:t>
      </w:r>
      <w:r>
        <w:rPr>
          <w:rFonts w:hint="eastAsia" w:ascii="仿宋_GB2312" w:hAnsi="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（牵头单位：区市场监管局）</w:t>
      </w:r>
    </w:p>
    <w:p w14:paraId="6C7C99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（24）支持创造标准。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对当年牵头主导制定</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cs="仿宋_GB2312"/>
          <w:color w:val="000000" w:themeColor="text1"/>
          <w:sz w:val="32"/>
          <w:szCs w:val="32"/>
          <w:vertAlign w:val="superscript"/>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国际标准、国家（行业）标准、地方标准的企业，每项标准分别给予30万元、15万元、10万元奖励；对参与制定</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cs="仿宋_GB2312"/>
          <w:color w:val="000000" w:themeColor="text1"/>
          <w:sz w:val="32"/>
          <w:szCs w:val="32"/>
          <w:vertAlign w:val="superscript"/>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国际标准、国家（行业）标准的企业，每项标准分别给予10万元、5万元奖励；对牵头起草湖南省省直部门批准发布的地方标准或团体标准的企业，每项标准给予1万元奖励，最高不超过30万元。（牵头单位：区市场监管局）</w:t>
      </w:r>
    </w:p>
    <w:p w14:paraId="01917C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楷体_GB2312" w:hAnsi="华文仿宋" w:eastAsia="楷体_GB2312"/>
          <w:b/>
          <w:color w:val="000000" w:themeColor="text1"/>
          <w:lang w:val="en-US" w:eastAsia="zh-CN"/>
          <w14:textFill>
            <w14:solidFill>
              <w14:schemeClr w14:val="tx1"/>
            </w14:solidFill>
          </w14:textFill>
        </w:rPr>
        <w:t>8.促合作开放。</w:t>
      </w: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（25）支持产业链配套。</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为提升望城区产业集聚效应，支持企业采购重点产业链企业研发、制造、制造的技术产品</w:t>
      </w:r>
      <w:r>
        <w:rPr>
          <w:rFonts w:hint="eastAsia" w:ascii="仿宋_GB2312" w:hAnsi="仿宋_GB2312" w:eastAsia="仿宋_GB2312" w:cs="仿宋_GB2312"/>
          <w:b w:val="0"/>
          <w:bCs w:val="0"/>
          <w:color w:val="000000" w:themeColor="text1"/>
          <w:sz w:val="32"/>
          <w:szCs w:val="32"/>
          <w:highlight w:val="none"/>
          <w:vertAlign w:val="superscript"/>
          <w:lang w:val="en-US" w:eastAsia="zh-CN"/>
          <w14:textFill>
            <w14:solidFill>
              <w14:schemeClr w14:val="tx1"/>
            </w14:solidFill>
          </w14:textFill>
        </w:rPr>
        <w:t>[</w:t>
      </w:r>
      <w:r>
        <w:rPr>
          <w:rFonts w:hint="eastAsia" w:ascii="仿宋_GB2312" w:hAnsi="仿宋_GB2312" w:cs="仿宋_GB2312"/>
          <w:b w:val="0"/>
          <w:bCs w:val="0"/>
          <w:color w:val="000000" w:themeColor="text1"/>
          <w:sz w:val="32"/>
          <w:szCs w:val="32"/>
          <w:highlight w:val="none"/>
          <w:vertAlign w:val="superscript"/>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z w:val="32"/>
          <w:szCs w:val="32"/>
          <w:highlight w:val="none"/>
          <w:vertAlign w:val="superscript"/>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或高新技术服务</w:t>
      </w:r>
      <w:r>
        <w:rPr>
          <w:rFonts w:hint="eastAsia" w:ascii="仿宋_GB2312" w:hAnsi="仿宋_GB2312" w:eastAsia="仿宋_GB2312" w:cs="仿宋_GB2312"/>
          <w:b/>
          <w:bCs/>
          <w:color w:val="000000" w:themeColor="text1"/>
          <w:sz w:val="32"/>
          <w:szCs w:val="32"/>
          <w:highlight w:val="none"/>
          <w:vertAlign w:val="superscript"/>
          <w:lang w:val="en-US" w:eastAsia="zh-CN"/>
          <w14:textFill>
            <w14:solidFill>
              <w14:schemeClr w14:val="tx1"/>
            </w14:solidFill>
          </w14:textFill>
        </w:rPr>
        <w:t>[</w:t>
      </w:r>
      <w:r>
        <w:rPr>
          <w:rFonts w:hint="eastAsia" w:ascii="仿宋_GB2312" w:hAnsi="仿宋_GB2312" w:cs="仿宋_GB2312"/>
          <w:b/>
          <w:bCs/>
          <w:color w:val="000000" w:themeColor="text1"/>
          <w:sz w:val="32"/>
          <w:szCs w:val="32"/>
          <w:highlight w:val="none"/>
          <w:vertAlign w:val="superscript"/>
          <w:lang w:val="en-US" w:eastAsia="zh-CN"/>
          <w14:textFill>
            <w14:solidFill>
              <w14:schemeClr w14:val="tx1"/>
            </w14:solidFill>
          </w14:textFill>
        </w:rPr>
        <w:t>6</w:t>
      </w:r>
      <w:r>
        <w:rPr>
          <w:rFonts w:hint="eastAsia" w:ascii="仿宋_GB2312" w:hAnsi="仿宋_GB2312" w:eastAsia="仿宋_GB2312" w:cs="仿宋_GB2312"/>
          <w:b/>
          <w:bCs/>
          <w:color w:val="000000" w:themeColor="text1"/>
          <w:sz w:val="32"/>
          <w:szCs w:val="32"/>
          <w:highlight w:val="none"/>
          <w:vertAlign w:val="superscript"/>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（不含砂石、混凝土、燃气、砖瓦），</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根据合同和发票金额给予奖励（不含税金）。发票</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金额在100（含）-500万元的，一次性给予2万元奖励；金额在500（含）-1000万元的，一次性给予5万元奖励；金额在1000（含）-2000万元的，一次性给予10万元奖励；金额在2000（含）万元以上的，一次性给予20万元奖励。（牵头单位：区工信局）</w:t>
      </w:r>
    </w:p>
    <w:p w14:paraId="1FF796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楷体_GB2312" w:hAnsi="华文仿宋" w:eastAsia="楷体_GB2312"/>
          <w:b/>
          <w:color w:val="000000" w:themeColor="text1"/>
          <w:lang w:val="en-US" w:eastAsia="zh-CN"/>
          <w14:textFill>
            <w14:solidFill>
              <w14:schemeClr w14:val="tx1"/>
            </w14:solidFill>
          </w14:textFill>
        </w:rPr>
      </w:pPr>
      <w:r>
        <w:rPr>
          <w:rFonts w:hint="eastAsia" w:ascii="仿宋_GB2312" w:hAnsi="仿宋_GB2312" w:cs="仿宋_GB2312"/>
          <w:b/>
          <w:bCs/>
          <w:color w:val="000000" w:themeColor="text1"/>
          <w:sz w:val="32"/>
          <w:szCs w:val="32"/>
          <w:highlight w:val="none"/>
          <w:lang w:val="en-US" w:eastAsia="zh-CN"/>
          <w14:textFill>
            <w14:solidFill>
              <w14:schemeClr w14:val="tx1"/>
            </w14:solidFill>
          </w14:textFill>
        </w:rPr>
        <w:t>（26）支持走出去。</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对当年参加国内外行业大会、专业（专题）展会、博览会</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cs="仿宋_GB2312"/>
          <w:color w:val="000000" w:themeColor="text1"/>
          <w:sz w:val="32"/>
          <w:szCs w:val="32"/>
          <w:vertAlign w:val="superscript"/>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vertAlign w:val="superscript"/>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的企业，按展位费（含布展费）发票金额（不含税金）50%给予最高不超过20万元/次的补助，单个企业每年最高不超过20万元；对当年在区内牵头组织举办全球、全国、全省性行业大会的企业，按照实际投入的发票金额（不含税金）50%给予最高不超过20万元/次的补助，单个企业每年最高不超过30万元。</w:t>
      </w:r>
      <w:r>
        <w:rPr>
          <w:rFonts w:hint="eastAsia" w:ascii="仿宋_GB2312" w:hAnsi="仿宋_GB2312" w:cs="仿宋_GB2312"/>
          <w:color w:val="000000" w:themeColor="text1"/>
          <w:highlight w:val="none"/>
          <w14:textFill>
            <w14:solidFill>
              <w14:schemeClr w14:val="tx1"/>
            </w14:solidFill>
          </w14:textFill>
        </w:rPr>
        <w:t>（牵头单位：区工信局）</w:t>
      </w:r>
    </w:p>
    <w:p w14:paraId="4BE337C0">
      <w:pPr>
        <w:pStyle w:val="8"/>
        <w:keepNext w:val="0"/>
        <w:keepLines w:val="0"/>
        <w:pageBreakBefore w:val="0"/>
        <w:widowControl/>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000000" w:themeColor="text1"/>
          <w:kern w:val="0"/>
          <w:sz w:val="32"/>
          <w:szCs w:val="32"/>
          <w:lang w:bidi="ar"/>
          <w14:textFill>
            <w14:solidFill>
              <w14:schemeClr w14:val="tx1"/>
            </w14:solidFill>
          </w14:textFill>
        </w:rPr>
      </w:pPr>
      <w:r>
        <w:rPr>
          <w:rFonts w:hint="eastAsia" w:ascii="楷体_GB2312" w:hAnsi="华文仿宋" w:eastAsia="楷体_GB2312"/>
          <w:b/>
          <w:color w:val="000000" w:themeColor="text1"/>
          <w:sz w:val="32"/>
          <w:szCs w:val="32"/>
          <w:lang w:val="en-US" w:eastAsia="zh-CN"/>
          <w14:textFill>
            <w14:solidFill>
              <w14:schemeClr w14:val="tx1"/>
            </w14:solidFill>
          </w14:textFill>
        </w:rPr>
        <w:t>9.促人才引进。</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（27）支持引进产业领军</w:t>
      </w:r>
      <w:r>
        <w:rPr>
          <w:rFonts w:hint="eastAsia" w:ascii="仿宋_GB2312" w:hAnsi="仿宋_GB2312" w:eastAsia="仿宋_GB2312" w:cs="仿宋_GB2312"/>
          <w:b/>
          <w:bCs/>
          <w:color w:val="000000" w:themeColor="text1"/>
          <w:kern w:val="0"/>
          <w:sz w:val="32"/>
          <w:szCs w:val="32"/>
          <w:lang w:bidi="ar"/>
          <w14:textFill>
            <w14:solidFill>
              <w14:schemeClr w14:val="tx1"/>
            </w14:solidFill>
          </w14:textFill>
        </w:rPr>
        <w:t>人才。</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对入选长沙市高精尖产业人才领跑工程的人才，最高给予200万元奖励补贴和200平方米标准以入选当月全市商品住房同期市场均价的全额购房补贴;入选高精尖产业领军人才团队项目，最高给予150万元支持。</w:t>
      </w:r>
      <w:r>
        <w:rPr>
          <w:rFonts w:hint="eastAsia" w:ascii="仿宋_GB2312" w:hAnsi="仿宋_GB2312" w:eastAsia="仿宋_GB2312" w:cs="仿宋_GB2312"/>
          <w:color w:val="000000" w:themeColor="text1"/>
          <w:sz w:val="32"/>
          <w:szCs w:val="32"/>
          <w14:textFill>
            <w14:solidFill>
              <w14:schemeClr w14:val="tx1"/>
            </w14:solidFill>
          </w14:textFill>
        </w:rPr>
        <w:t>（牵头单位：区委组织部）</w:t>
      </w:r>
    </w:p>
    <w:p w14:paraId="550552BF">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lang w:bidi="ar"/>
          <w14:textFill>
            <w14:solidFill>
              <w14:schemeClr w14:val="tx1"/>
            </w14:solidFill>
          </w14:textFill>
        </w:rPr>
        <w:t>（</w:t>
      </w:r>
      <w:r>
        <w:rPr>
          <w:rFonts w:hint="eastAsia" w:ascii="仿宋_GB2312" w:hAnsi="仿宋_GB2312" w:cs="仿宋_GB2312"/>
          <w:b/>
          <w:bCs/>
          <w:color w:val="000000" w:themeColor="text1"/>
          <w:kern w:val="0"/>
          <w:sz w:val="32"/>
          <w:szCs w:val="32"/>
          <w:lang w:val="en-US" w:eastAsia="zh-CN" w:bidi="ar"/>
          <w14:textFill>
            <w14:solidFill>
              <w14:schemeClr w14:val="tx1"/>
            </w14:solidFill>
          </w14:textFill>
        </w:rPr>
        <w:t>28</w:t>
      </w:r>
      <w:r>
        <w:rPr>
          <w:rFonts w:hint="eastAsia" w:ascii="仿宋_GB2312" w:hAnsi="仿宋_GB2312" w:eastAsia="仿宋_GB2312" w:cs="仿宋_GB2312"/>
          <w:b/>
          <w:bCs/>
          <w:color w:val="000000" w:themeColor="text1"/>
          <w:kern w:val="0"/>
          <w:sz w:val="32"/>
          <w:szCs w:val="32"/>
          <w:lang w:bidi="ar"/>
          <w14:textFill>
            <w14:solidFill>
              <w14:schemeClr w14:val="tx1"/>
            </w14:solidFill>
          </w14:textFill>
        </w:rPr>
        <w:t>）支持引进紧缺急需人才。</w:t>
      </w:r>
      <w:r>
        <w:rPr>
          <w:rFonts w:hint="eastAsia" w:ascii="仿宋_GB2312" w:hAnsi="仿宋_GB2312" w:eastAsia="仿宋_GB2312" w:cs="仿宋_GB2312"/>
          <w:b w:val="0"/>
          <w:bCs w:val="0"/>
          <w:color w:val="000000" w:themeColor="text1"/>
          <w:kern w:val="0"/>
          <w:sz w:val="32"/>
          <w:szCs w:val="32"/>
          <w:lang w:bidi="ar"/>
          <w14:textFill>
            <w14:solidFill>
              <w14:schemeClr w14:val="tx1"/>
            </w14:solidFill>
          </w14:textFill>
        </w:rPr>
        <w:t>对认定的长沙市紧缺急需产业人才，最高给予50万元奖励补贴;入选紧缺急需产业人才创业团队项目，最高给予80万元。</w:t>
      </w:r>
      <w:r>
        <w:rPr>
          <w:rFonts w:hint="eastAsia" w:ascii="仿宋_GB2312" w:hAnsi="仿宋_GB2312" w:eastAsia="仿宋_GB2312" w:cs="仿宋_GB2312"/>
          <w:color w:val="000000" w:themeColor="text1"/>
          <w:sz w:val="32"/>
          <w:szCs w:val="32"/>
          <w14:textFill>
            <w14:solidFill>
              <w14:schemeClr w14:val="tx1"/>
            </w14:solidFill>
          </w14:textFill>
        </w:rPr>
        <w:t>（牵头单位：区委组织部）</w:t>
      </w:r>
    </w:p>
    <w:p w14:paraId="4899A43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29</w:t>
      </w: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支持引进产业攻坚博士</w:t>
      </w:r>
      <w:r>
        <w:rPr>
          <w:rFonts w:hint="eastAsia" w:ascii="仿宋_GB2312" w:hAnsi="仿宋_GB2312" w:eastAsia="仿宋_GB2312" w:cs="仿宋_GB2312"/>
          <w:color w:val="000000" w:themeColor="text1"/>
          <w:sz w:val="32"/>
          <w:szCs w:val="32"/>
          <w14:textFill>
            <w14:solidFill>
              <w14:schemeClr w14:val="tx1"/>
            </w14:solidFill>
          </w14:textFill>
        </w:rPr>
        <w:t>。对根据我区产业攻坚博士需求目录引进的博士，最高给予30万元生活补贴。（牵头单位：区委组织部）</w:t>
      </w:r>
    </w:p>
    <w:p w14:paraId="006DA9E4">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30</w:t>
      </w: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支持引进技能人才。</w:t>
      </w:r>
      <w:r>
        <w:rPr>
          <w:rFonts w:hint="eastAsia" w:ascii="仿宋_GB2312" w:hAnsi="仿宋_GB2312" w:eastAsia="仿宋_GB2312" w:cs="仿宋_GB2312"/>
          <w:color w:val="000000" w:themeColor="text1"/>
          <w:sz w:val="32"/>
          <w:szCs w:val="32"/>
          <w14:textFill>
            <w14:solidFill>
              <w14:schemeClr w14:val="tx1"/>
            </w14:solidFill>
          </w14:textFill>
        </w:rPr>
        <w:t>对企业新引进或新获得技师职业技能等级证书(职业资格证书)的人才，符合相关条件的，最高给予2万元一次性奖励;对新获得正高级工程师、高级工程师职称的人才，符合相关条件的，分别给予1万元、5000元一次性奖励。（牵头单位：区委组织部）</w:t>
      </w:r>
    </w:p>
    <w:p w14:paraId="621C2A5D">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cs="仿宋_GB2312"/>
          <w:b/>
          <w:bCs/>
          <w:color w:val="000000" w:themeColor="text1"/>
          <w:sz w:val="32"/>
          <w:szCs w:val="32"/>
          <w:lang w:val="en-US" w:eastAsia="zh-CN"/>
          <w14:textFill>
            <w14:solidFill>
              <w14:schemeClr w14:val="tx1"/>
            </w14:solidFill>
          </w14:textFill>
        </w:rPr>
        <w:t>31</w:t>
      </w:r>
      <w:r>
        <w:rPr>
          <w:rFonts w:hint="eastAsia" w:ascii="仿宋_GB2312" w:hAnsi="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14:textFill>
            <w14:solidFill>
              <w14:schemeClr w14:val="tx1"/>
            </w14:solidFill>
          </w14:textFill>
        </w:rPr>
        <w:t>支持引进青年俊才。</w:t>
      </w:r>
      <w:r>
        <w:rPr>
          <w:rFonts w:hint="eastAsia" w:ascii="仿宋_GB2312" w:hAnsi="仿宋_GB2312" w:eastAsia="仿宋_GB2312" w:cs="仿宋_GB2312"/>
          <w:color w:val="000000" w:themeColor="text1"/>
          <w:sz w:val="32"/>
          <w:szCs w:val="32"/>
          <w14:textFill>
            <w14:solidFill>
              <w14:schemeClr w14:val="tx1"/>
            </w14:solidFill>
          </w14:textFill>
        </w:rPr>
        <w:t>对35周岁(含)以下毕业两年内，落户并在长沙工作的博士、硕士、全日制本科毕业生，分别给予3万元、2万元、1.2万元租房和生活补贴。对落户并在长沙工作的境外高校博士毕业生，租房和生活补贴提高至10万元。对35周岁(含)以下、新来长沙工作的博士、硕士毕业生，首次购房符合相关条件的，分别给予12万元、4万元购房补贴(境外高校博士毕业生不限年龄)。（牵头单位：区委组织部）</w:t>
      </w:r>
    </w:p>
    <w:p w14:paraId="1AC352FD">
      <w:pPr>
        <w:spacing w:line="600" w:lineRule="exact"/>
        <w:ind w:firstLine="640" w:firstLineChars="200"/>
        <w:rPr>
          <w:rFonts w:ascii="华文仿宋" w:hAnsi="华文仿宋" w:eastAsia="华文仿宋"/>
          <w:color w:val="000000" w:themeColor="text1"/>
          <w14:textFill>
            <w14:solidFill>
              <w14:schemeClr w14:val="tx1"/>
            </w14:solidFill>
          </w14:textFill>
        </w:rPr>
      </w:pPr>
      <w:r>
        <w:rPr>
          <w:rFonts w:hint="eastAsia" w:eastAsia="黑体"/>
          <w:color w:val="000000" w:themeColor="text1"/>
          <w:lang w:eastAsia="zh-CN"/>
          <w14:textFill>
            <w14:solidFill>
              <w14:schemeClr w14:val="tx1"/>
            </w14:solidFill>
          </w14:textFill>
        </w:rPr>
        <w:t>三</w:t>
      </w:r>
      <w:r>
        <w:rPr>
          <w:rFonts w:hint="eastAsia" w:eastAsia="黑体"/>
          <w:color w:val="000000" w:themeColor="text1"/>
          <w14:textFill>
            <w14:solidFill>
              <w14:schemeClr w14:val="tx1"/>
            </w14:solidFill>
          </w14:textFill>
        </w:rPr>
        <w:t>、其他事项</w:t>
      </w:r>
    </w:p>
    <w:p w14:paraId="4823583B">
      <w:pPr>
        <w:spacing w:line="600" w:lineRule="exact"/>
        <w:ind w:firstLine="616" w:firstLineChars="200"/>
        <w:rPr>
          <w:rFonts w:hint="eastAsia" w:ascii="仿宋_GB2312" w:hAnsi="仿宋_GB2312" w:cs="仿宋_GB2312"/>
          <w:color w:val="000000" w:themeColor="text1"/>
          <w:spacing w:val="-6"/>
          <w14:textFill>
            <w14:solidFill>
              <w14:schemeClr w14:val="tx1"/>
            </w14:solidFill>
          </w14:textFill>
        </w:rPr>
      </w:pPr>
      <w:r>
        <w:rPr>
          <w:rFonts w:hint="eastAsia" w:ascii="仿宋_GB2312" w:hAnsi="仿宋_GB2312" w:cs="仿宋_GB2312"/>
          <w:color w:val="000000" w:themeColor="text1"/>
          <w:spacing w:val="-6"/>
          <w:lang w:val="en-US" w:eastAsia="zh-CN"/>
          <w14:textFill>
            <w14:solidFill>
              <w14:schemeClr w14:val="tx1"/>
            </w14:solidFill>
          </w14:textFill>
        </w:rPr>
        <w:t>1.</w:t>
      </w:r>
      <w:r>
        <w:rPr>
          <w:rFonts w:hint="eastAsia" w:ascii="仿宋_GB2312" w:hAnsi="仿宋_GB2312" w:cs="仿宋_GB2312"/>
          <w:color w:val="000000" w:themeColor="text1"/>
          <w:spacing w:val="-6"/>
          <w14:textFill>
            <w14:solidFill>
              <w14:schemeClr w14:val="tx1"/>
            </w14:solidFill>
          </w14:textFill>
        </w:rPr>
        <w:t>本政策将按照免申即享</w:t>
      </w:r>
      <w:r>
        <w:rPr>
          <w:rFonts w:hint="eastAsia" w:ascii="仿宋_GB2312" w:hAnsi="仿宋_GB2312" w:cs="仿宋_GB2312"/>
          <w:color w:val="000000" w:themeColor="text1"/>
          <w:vertAlign w:val="superscript"/>
          <w14:textFill>
            <w14:solidFill>
              <w14:schemeClr w14:val="tx1"/>
            </w14:solidFill>
          </w14:textFill>
        </w:rPr>
        <w:t>［</w:t>
      </w:r>
      <w:r>
        <w:rPr>
          <w:rFonts w:hint="eastAsia" w:ascii="仿宋_GB2312" w:hAnsi="仿宋_GB2312" w:cs="仿宋_GB2312"/>
          <w:color w:val="000000" w:themeColor="text1"/>
          <w:vertAlign w:val="superscript"/>
          <w:lang w:val="en-US" w:eastAsia="zh-CN"/>
          <w14:textFill>
            <w14:solidFill>
              <w14:schemeClr w14:val="tx1"/>
            </w14:solidFill>
          </w14:textFill>
        </w:rPr>
        <w:t>8</w:t>
      </w:r>
      <w:r>
        <w:rPr>
          <w:rFonts w:hint="eastAsia" w:ascii="仿宋_GB2312" w:hAnsi="仿宋_GB2312" w:cs="仿宋_GB2312"/>
          <w:color w:val="000000" w:themeColor="text1"/>
          <w:vertAlign w:val="superscript"/>
          <w14:textFill>
            <w14:solidFill>
              <w14:schemeClr w14:val="tx1"/>
            </w14:solidFill>
          </w14:textFill>
        </w:rPr>
        <w:t>］</w:t>
      </w:r>
      <w:r>
        <w:rPr>
          <w:rFonts w:hint="eastAsia" w:ascii="仿宋_GB2312" w:hAnsi="仿宋_GB2312" w:cs="仿宋_GB2312"/>
          <w:color w:val="000000" w:themeColor="text1"/>
          <w:spacing w:val="-6"/>
          <w14:textFill>
            <w14:solidFill>
              <w14:schemeClr w14:val="tx1"/>
            </w14:solidFill>
          </w14:textFill>
        </w:rPr>
        <w:t>和集中申报的方式进行兑现，免申即享政策无需企业提交申报资料，由各政策牵头单位负责组织企业申报</w:t>
      </w:r>
      <w:r>
        <w:rPr>
          <w:rFonts w:hint="eastAsia" w:ascii="仿宋_GB2312" w:hAnsi="仿宋_GB2312" w:cs="仿宋_GB2312"/>
          <w:color w:val="000000" w:themeColor="text1"/>
          <w:spacing w:val="-6"/>
          <w:lang w:eastAsia="zh-CN"/>
          <w14:textFill>
            <w14:solidFill>
              <w14:schemeClr w14:val="tx1"/>
            </w14:solidFill>
          </w14:textFill>
        </w:rPr>
        <w:t>、</w:t>
      </w:r>
      <w:r>
        <w:rPr>
          <w:rFonts w:hint="eastAsia" w:ascii="仿宋_GB2312" w:hAnsi="仿宋_GB2312" w:cs="仿宋_GB2312"/>
          <w:color w:val="000000" w:themeColor="text1"/>
          <w:spacing w:val="-6"/>
          <w14:textFill>
            <w14:solidFill>
              <w14:schemeClr w14:val="tx1"/>
            </w14:solidFill>
          </w14:textFill>
        </w:rPr>
        <w:t>审核</w:t>
      </w:r>
      <w:r>
        <w:rPr>
          <w:rFonts w:hint="eastAsia" w:ascii="仿宋_GB2312" w:hAnsi="仿宋_GB2312" w:cs="仿宋_GB2312"/>
          <w:color w:val="000000" w:themeColor="text1"/>
          <w:spacing w:val="-6"/>
          <w:lang w:val="en-US" w:eastAsia="zh-CN"/>
          <w14:textFill>
            <w14:solidFill>
              <w14:schemeClr w14:val="tx1"/>
            </w14:solidFill>
          </w14:textFill>
        </w:rPr>
        <w:t>和兑现</w:t>
      </w:r>
      <w:r>
        <w:rPr>
          <w:rFonts w:hint="eastAsia" w:ascii="仿宋_GB2312" w:hAnsi="仿宋_GB2312" w:cs="仿宋_GB2312"/>
          <w:color w:val="000000" w:themeColor="text1"/>
          <w:spacing w:val="-6"/>
          <w14:textFill>
            <w14:solidFill>
              <w14:schemeClr w14:val="tx1"/>
            </w14:solidFill>
          </w14:textFill>
        </w:rPr>
        <w:t>，</w:t>
      </w:r>
      <w:r>
        <w:rPr>
          <w:rFonts w:hint="eastAsia" w:ascii="仿宋_GB2312" w:hAnsi="仿宋_GB2312" w:cs="仿宋_GB2312"/>
          <w:color w:val="000000" w:themeColor="text1"/>
          <w:spacing w:val="-6"/>
          <w:lang w:val="en-US" w:eastAsia="zh-CN"/>
          <w14:textFill>
            <w14:solidFill>
              <w14:schemeClr w14:val="tx1"/>
            </w14:solidFill>
          </w14:textFill>
        </w:rPr>
        <w:t>最终</w:t>
      </w:r>
      <w:r>
        <w:rPr>
          <w:rFonts w:hint="eastAsia" w:ascii="仿宋_GB2312" w:hAnsi="仿宋_GB2312" w:cs="仿宋_GB2312"/>
          <w:color w:val="000000" w:themeColor="text1"/>
          <w:spacing w:val="-6"/>
          <w14:textFill>
            <w14:solidFill>
              <w14:schemeClr w14:val="tx1"/>
            </w14:solidFill>
          </w14:textFill>
        </w:rPr>
        <w:t>结果报区工信局，由区工信局报区政府审批，区财政局及时保障拨付资金；集中申报原则上一年进行一次，由区工信局联合各政策牵头单位组织实施。</w:t>
      </w:r>
    </w:p>
    <w:p w14:paraId="7880D471">
      <w:pPr>
        <w:spacing w:line="600" w:lineRule="exact"/>
        <w:ind w:firstLine="640"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lang w:val="en-US" w:eastAsia="zh-CN"/>
          <w14:textFill>
            <w14:solidFill>
              <w14:schemeClr w14:val="tx1"/>
            </w14:solidFill>
          </w14:textFill>
        </w:rPr>
        <w:t>2</w:t>
      </w:r>
      <w:r>
        <w:rPr>
          <w:rFonts w:hint="eastAsia" w:ascii="仿宋_GB2312" w:hAnsi="仿宋_GB2312" w:cs="仿宋_GB2312"/>
          <w:color w:val="000000" w:themeColor="text1"/>
          <w:lang w:eastAsia="zh-CN"/>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同一企业的同一奖项与望城经开区及其他部门奖补政策规定重复的，按照就高不重复原则执行。企业在一个年度内获得多个同类认定的，只按照其获得认定的最高级别予以奖励。涉及望城经开区企业的奖项由区财政局与望城经开区按区园体制做好统筹结算。</w:t>
      </w:r>
    </w:p>
    <w:p w14:paraId="52D1EAEE">
      <w:pPr>
        <w:keepNext w:val="0"/>
        <w:keepLines w:val="0"/>
        <w:widowControl/>
        <w:suppressLineNumbers w:val="0"/>
        <w:spacing w:line="600" w:lineRule="exact"/>
        <w:ind w:firstLine="640" w:firstLineChars="200"/>
        <w:jc w:val="left"/>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rPr>
        <w:t>本政策条款</w:t>
      </w:r>
      <w:r>
        <w:rPr>
          <w:rFonts w:hint="eastAsia" w:ascii="仿宋_GB2312" w:hAnsi="仿宋_GB2312" w:cs="仿宋_GB2312"/>
          <w:color w:val="000000" w:themeColor="text1"/>
          <w:kern w:val="2"/>
          <w:sz w:val="32"/>
          <w:szCs w:val="32"/>
          <w:lang w:val="en-US" w:eastAsia="zh-CN" w:bidi="ar"/>
          <w14:textFill>
            <w14:solidFill>
              <w14:schemeClr w14:val="tx1"/>
            </w14:solidFill>
          </w14:textFill>
        </w:rPr>
        <w:t>（15）</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rPr>
        <w:t>支持的范围是在原有工位、产线、车间基础上进行智能化改造的企业，新投产企业、新建车间、新建产线、新建工位不在奖励范围内，同一智能工位、产线、车间只奖励一次。</w:t>
      </w:r>
    </w:p>
    <w:p w14:paraId="665241F8">
      <w:pPr>
        <w:widowControl/>
        <w:spacing w:line="600" w:lineRule="exact"/>
        <w:ind w:firstLine="640" w:firstLineChars="200"/>
        <w:jc w:val="left"/>
        <w:rPr>
          <w:rFonts w:hint="default" w:ascii="仿宋_GB2312" w:hAnsi="仿宋_GB2312" w:eastAsia="仿宋_GB2312" w:cs="仿宋_GB2312"/>
          <w:color w:val="000000" w:themeColor="text1"/>
          <w:lang w:val="en-US" w:eastAsia="zh-CN"/>
          <w14:textFill>
            <w14:solidFill>
              <w14:schemeClr w14:val="tx1"/>
            </w14:solidFill>
          </w14:textFill>
        </w:rPr>
      </w:pPr>
      <w:r>
        <w:rPr>
          <w:rFonts w:hint="eastAsia" w:ascii="仿宋_GB2312" w:hAnsi="仿宋_GB2312" w:cs="仿宋_GB2312"/>
          <w:color w:val="000000" w:themeColor="text1"/>
          <w:kern w:val="2"/>
          <w:sz w:val="32"/>
          <w:szCs w:val="32"/>
          <w:lang w:val="en-US" w:eastAsia="zh-CN" w:bidi="ar"/>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US" w:eastAsia="zh-CN" w:bidi="ar"/>
          <w14:textFill>
            <w14:solidFill>
              <w14:schemeClr w14:val="tx1"/>
            </w14:solidFill>
          </w14:textFill>
        </w:rPr>
        <w:t>.本政策文件中智能工位是指智能制造的最小单元，通过物联网、传感器、人机交互等技术，实现单工位的自动化、数据化和智能化，并已提高生产效率的。智能产线是指至少由5个及以上智能工位串联而成，已实现整条生产线的协同优化的，原则上智能工位占比不低于60%。智能车间是指至少由3条及以上智能产线的集成，已实现车间级的数据互通与智能决策的，原则上智能产线覆盖率达到100%。具体以企业现场实际情况认定结果为准。</w:t>
      </w:r>
    </w:p>
    <w:p w14:paraId="1762469C">
      <w:pPr>
        <w:spacing w:line="600" w:lineRule="exact"/>
        <w:ind w:firstLine="640" w:firstLineChars="200"/>
        <w:rPr>
          <w:rFonts w:ascii="仿宋_GB2312" w:cs="仿宋_GB2312"/>
          <w:color w:val="000000" w:themeColor="text1"/>
          <w14:textFill>
            <w14:solidFill>
              <w14:schemeClr w14:val="tx1"/>
            </w14:solidFill>
          </w14:textFill>
        </w:rPr>
      </w:pPr>
      <w:r>
        <w:rPr>
          <w:rFonts w:hint="eastAsia" w:ascii="仿宋_GB2312" w:hAnsi="仿宋_GB2312" w:cs="仿宋_GB2312"/>
          <w:color w:val="000000" w:themeColor="text1"/>
          <w:lang w:val="en-US" w:eastAsia="zh-CN"/>
          <w14:textFill>
            <w14:solidFill>
              <w14:schemeClr w14:val="tx1"/>
            </w14:solidFill>
          </w14:textFill>
        </w:rPr>
        <w:t>5</w:t>
      </w:r>
      <w:r>
        <w:rPr>
          <w:rFonts w:hint="eastAsia" w:ascii="仿宋_GB2312" w:hAnsi="仿宋_GB2312" w:cs="仿宋_GB2312"/>
          <w:color w:val="000000" w:themeColor="text1"/>
          <w:lang w:eastAsia="zh-CN"/>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对当年发生较大环境污染事件、安全生产较大事故</w:t>
      </w:r>
      <w:r>
        <w:rPr>
          <w:rFonts w:hint="eastAsia" w:ascii="仿宋_GB2312" w:hAnsi="仿宋_GB2312" w:cs="仿宋_GB2312"/>
          <w:color w:val="000000" w:themeColor="text1"/>
          <w:vertAlign w:val="superscript"/>
          <w14:textFill>
            <w14:solidFill>
              <w14:schemeClr w14:val="tx1"/>
            </w14:solidFill>
          </w14:textFill>
        </w:rPr>
        <w:t>［</w:t>
      </w:r>
      <w:r>
        <w:rPr>
          <w:rFonts w:hint="eastAsia" w:ascii="仿宋_GB2312" w:hAnsi="仿宋_GB2312" w:cs="仿宋_GB2312"/>
          <w:color w:val="000000" w:themeColor="text1"/>
          <w:vertAlign w:val="superscript"/>
          <w:lang w:val="en-US" w:eastAsia="zh-CN"/>
          <w14:textFill>
            <w14:solidFill>
              <w14:schemeClr w14:val="tx1"/>
            </w14:solidFill>
          </w14:textFill>
        </w:rPr>
        <w:t>9</w:t>
      </w:r>
      <w:r>
        <w:rPr>
          <w:rFonts w:hint="eastAsia" w:ascii="仿宋_GB2312" w:hAnsi="仿宋_GB2312" w:cs="仿宋_GB2312"/>
          <w:color w:val="000000" w:themeColor="text1"/>
          <w:vertAlign w:val="superscript"/>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、被列入经营异常名录及严重失信名单、平安建设出现较大问题的企业，取消当年奖励申请资格。对弄虚作假、提供虚假佐证资料的单位，取消当年项目奖励资格。</w:t>
      </w:r>
    </w:p>
    <w:p w14:paraId="7D8762C2">
      <w:pPr>
        <w:spacing w:line="600" w:lineRule="exact"/>
        <w:ind w:firstLine="640" w:firstLineChars="200"/>
        <w:rPr>
          <w:rFonts w:ascii="仿宋_GB2312" w:cs="仿宋_GB2312"/>
          <w:color w:val="000000" w:themeColor="text1"/>
          <w14:textFill>
            <w14:solidFill>
              <w14:schemeClr w14:val="tx1"/>
            </w14:solidFill>
          </w14:textFill>
        </w:rPr>
      </w:pPr>
      <w:r>
        <w:rPr>
          <w:rFonts w:hint="eastAsia" w:ascii="仿宋_GB2312" w:hAnsi="仿宋_GB2312" w:cs="仿宋_GB2312"/>
          <w:color w:val="000000" w:themeColor="text1"/>
          <w:lang w:val="en-US" w:eastAsia="zh-CN"/>
          <w14:textFill>
            <w14:solidFill>
              <w14:schemeClr w14:val="tx1"/>
            </w14:solidFill>
          </w14:textFill>
        </w:rPr>
        <w:t>6.</w:t>
      </w:r>
      <w:r>
        <w:rPr>
          <w:rFonts w:hint="eastAsia" w:ascii="仿宋_GB2312" w:hAnsi="仿宋_GB2312" w:cs="仿宋_GB2312"/>
          <w:color w:val="000000" w:themeColor="text1"/>
          <w14:textFill>
            <w14:solidFill>
              <w14:schemeClr w14:val="tx1"/>
            </w14:solidFill>
          </w14:textFill>
        </w:rPr>
        <w:t>本办法自2025年</w:t>
      </w:r>
      <w:r>
        <w:rPr>
          <w:rFonts w:hint="eastAsia" w:ascii="仿宋_GB2312" w:hAnsi="仿宋_GB2312" w:cs="仿宋_GB2312"/>
          <w:color w:val="000000" w:themeColor="text1"/>
          <w:lang w:val="en-US" w:eastAsia="zh-CN"/>
          <w14:textFill>
            <w14:solidFill>
              <w14:schemeClr w14:val="tx1"/>
            </w14:solidFill>
          </w14:textFill>
        </w:rPr>
        <w:t xml:space="preserve"> </w:t>
      </w:r>
      <w:r>
        <w:rPr>
          <w:rFonts w:hint="eastAsia" w:ascii="仿宋_GB2312" w:hAnsi="仿宋_GB2312" w:cs="仿宋_GB2312"/>
          <w:color w:val="000000" w:themeColor="text1"/>
          <w14:textFill>
            <w14:solidFill>
              <w14:schemeClr w14:val="tx1"/>
            </w14:solidFill>
          </w14:textFill>
        </w:rPr>
        <w:t>月 日起实施,有效期至202</w:t>
      </w:r>
      <w:r>
        <w:rPr>
          <w:rFonts w:hint="eastAsia" w:ascii="仿宋_GB2312" w:hAnsi="仿宋_GB2312" w:cs="仿宋_GB2312"/>
          <w:color w:val="000000" w:themeColor="text1"/>
          <w:lang w:val="en-US" w:eastAsia="zh-CN"/>
          <w14:textFill>
            <w14:solidFill>
              <w14:schemeClr w14:val="tx1"/>
            </w14:solidFill>
          </w14:textFill>
        </w:rPr>
        <w:t>6</w:t>
      </w:r>
      <w:r>
        <w:rPr>
          <w:rFonts w:hint="eastAsia" w:ascii="仿宋_GB2312" w:hAnsi="仿宋_GB2312" w:cs="仿宋_GB2312"/>
          <w:color w:val="000000" w:themeColor="text1"/>
          <w14:textFill>
            <w14:solidFill>
              <w14:schemeClr w14:val="tx1"/>
            </w14:solidFill>
          </w14:textFill>
        </w:rPr>
        <w:t>年12月31日，由各政策牵头部门负责解释。实施期间若部分条目发生调整，以每年申报指南为准。</w:t>
      </w:r>
    </w:p>
    <w:p w14:paraId="6B992CB3">
      <w:pPr>
        <w:spacing w:line="600" w:lineRule="exact"/>
        <w:rPr>
          <w:rFonts w:hint="eastAsia" w:ascii="黑体" w:hAnsi="黑体" w:eastAsia="黑体" w:cs="黑体"/>
          <w:color w:val="000000" w:themeColor="text1"/>
          <w14:textFill>
            <w14:solidFill>
              <w14:schemeClr w14:val="tx1"/>
            </w14:solidFill>
          </w14:textFill>
        </w:rPr>
      </w:pPr>
    </w:p>
    <w:p w14:paraId="15D3024D">
      <w:pPr>
        <w:spacing w:line="600" w:lineRule="exact"/>
        <w:rPr>
          <w:rFonts w:hint="eastAsia" w:ascii="黑体" w:hAnsi="黑体" w:eastAsia="黑体" w:cs="黑体"/>
          <w:color w:val="000000" w:themeColor="text1"/>
          <w14:textFill>
            <w14:solidFill>
              <w14:schemeClr w14:val="tx1"/>
            </w14:solidFill>
          </w14:textFill>
        </w:rPr>
      </w:pPr>
    </w:p>
    <w:p w14:paraId="28241EBB">
      <w:pPr>
        <w:spacing w:line="600" w:lineRule="exact"/>
        <w:rPr>
          <w:rFonts w:hint="eastAsia" w:ascii="黑体" w:hAnsi="黑体" w:eastAsia="黑体" w:cs="黑体"/>
          <w:color w:val="000000" w:themeColor="text1"/>
          <w14:textFill>
            <w14:solidFill>
              <w14:schemeClr w14:val="tx1"/>
            </w14:solidFill>
          </w14:textFill>
        </w:rPr>
      </w:pPr>
    </w:p>
    <w:p w14:paraId="50F8A6B3">
      <w:pPr>
        <w:spacing w:line="600" w:lineRule="exact"/>
        <w:rPr>
          <w:rFonts w:hint="eastAsia" w:ascii="黑体" w:hAnsi="黑体" w:eastAsia="黑体" w:cs="黑体"/>
          <w:color w:val="000000" w:themeColor="text1"/>
          <w14:textFill>
            <w14:solidFill>
              <w14:schemeClr w14:val="tx1"/>
            </w14:solidFill>
          </w14:textFill>
        </w:rPr>
      </w:pPr>
    </w:p>
    <w:p w14:paraId="4F38CB9E">
      <w:pPr>
        <w:spacing w:line="600" w:lineRule="exact"/>
        <w:rPr>
          <w:rFonts w:hint="eastAsia" w:ascii="黑体" w:hAnsi="黑体" w:eastAsia="黑体" w:cs="黑体"/>
          <w:color w:val="000000" w:themeColor="text1"/>
          <w14:textFill>
            <w14:solidFill>
              <w14:schemeClr w14:val="tx1"/>
            </w14:solidFill>
          </w14:textFill>
        </w:rPr>
      </w:pPr>
    </w:p>
    <w:p w14:paraId="19B3621E">
      <w:pPr>
        <w:spacing w:line="600" w:lineRule="exact"/>
        <w:rPr>
          <w:rFonts w:hint="eastAsia" w:ascii="黑体" w:hAnsi="黑体" w:eastAsia="黑体" w:cs="黑体"/>
          <w:color w:val="000000" w:themeColor="text1"/>
          <w14:textFill>
            <w14:solidFill>
              <w14:schemeClr w14:val="tx1"/>
            </w14:solidFill>
          </w14:textFill>
        </w:rPr>
      </w:pPr>
    </w:p>
    <w:p w14:paraId="4FC95659">
      <w:pPr>
        <w:spacing w:line="600" w:lineRule="exact"/>
        <w:rPr>
          <w:rFonts w:hint="eastAsia" w:ascii="黑体" w:hAnsi="黑体" w:eastAsia="黑体" w:cs="黑体"/>
          <w:color w:val="000000" w:themeColor="text1"/>
          <w14:textFill>
            <w14:solidFill>
              <w14:schemeClr w14:val="tx1"/>
            </w14:solidFill>
          </w14:textFill>
        </w:rPr>
      </w:pPr>
    </w:p>
    <w:p w14:paraId="540172BE">
      <w:pPr>
        <w:spacing w:line="600" w:lineRule="exact"/>
        <w:rPr>
          <w:rFonts w:hint="eastAsia" w:ascii="黑体" w:hAnsi="黑体" w:eastAsia="黑体" w:cs="黑体"/>
          <w:color w:val="000000" w:themeColor="text1"/>
          <w14:textFill>
            <w14:solidFill>
              <w14:schemeClr w14:val="tx1"/>
            </w14:solidFill>
          </w14:textFill>
        </w:rPr>
      </w:pPr>
    </w:p>
    <w:p w14:paraId="68DCC730">
      <w:pPr>
        <w:spacing w:line="600" w:lineRule="exact"/>
        <w:rPr>
          <w:rFonts w:hint="eastAsia" w:ascii="黑体" w:hAnsi="黑体" w:eastAsia="黑体" w:cs="黑体"/>
          <w:color w:val="000000" w:themeColor="text1"/>
          <w14:textFill>
            <w14:solidFill>
              <w14:schemeClr w14:val="tx1"/>
            </w14:solidFill>
          </w14:textFill>
        </w:rPr>
      </w:pPr>
    </w:p>
    <w:p w14:paraId="23F1B9E8">
      <w:pPr>
        <w:spacing w:line="600" w:lineRule="exact"/>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名词解释：</w:t>
      </w:r>
    </w:p>
    <w:p w14:paraId="304B3BE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1</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创新平台：因各类创新平台的设立整合每年都会有调整，具体以上级部门公示文件为准。同时对发改、工信、科技部门外，其他国家政府部门认定的创新平台予以参照执行。</w:t>
      </w:r>
    </w:p>
    <w:p w14:paraId="4DEF2764">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2</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产值、营业收入：以统计联网直报系统12月份月报数据为准</w:t>
      </w:r>
      <w:r>
        <w:rPr>
          <w:rFonts w:hint="eastAsia" w:ascii="仿宋_GB2312" w:hAnsi="仿宋_GB2312" w:cs="仿宋_GB2312"/>
          <w:color w:val="000000" w:themeColor="text1"/>
          <w:sz w:val="32"/>
          <w:szCs w:val="32"/>
          <w:lang w:val="en-US" w:eastAsia="zh-CN"/>
          <w14:textFill>
            <w14:solidFill>
              <w14:schemeClr w14:val="tx1"/>
            </w14:solidFill>
          </w14:textFill>
        </w:rPr>
        <w:t>。</w:t>
      </w:r>
    </w:p>
    <w:p w14:paraId="6657D50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3</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牵头主导制定：根据企业承担国际化标准化组织相关专业秘书处（主席单位）、承担国际专业标准化技术委员会秘书处（技术委员会主任单位）、国际专业标准化分技术委员会秘书处（分技术委员会主任单位）证明材料认定。</w:t>
      </w:r>
    </w:p>
    <w:p w14:paraId="3951B512">
      <w:pPr>
        <w:spacing w:line="600" w:lineRule="exact"/>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4</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color w:val="000000" w:themeColor="text1"/>
          <w:spacing w:val="-6"/>
          <w14:textFill>
            <w14:solidFill>
              <w14:schemeClr w14:val="tx1"/>
            </w14:solidFill>
          </w14:textFill>
        </w:rPr>
        <w:t>参与制定：根据标准公告中起草或编制顺序前五名来认定。</w:t>
      </w:r>
    </w:p>
    <w:p w14:paraId="3261F973">
      <w:pPr>
        <w:spacing w:line="600" w:lineRule="exact"/>
        <w:ind w:firstLine="640" w:firstLineChars="200"/>
        <w:rPr>
          <w:rFonts w:ascii="仿宋_GB2312" w:cs="仿宋_GB2312"/>
          <w:b w:val="0"/>
          <w:bCs w:val="0"/>
          <w:strike w:val="0"/>
          <w:dstrike w:val="0"/>
          <w:color w:val="000000" w:themeColor="text1"/>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5</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eastAsia="zh-CN"/>
          <w14:textFill>
            <w14:solidFill>
              <w14:schemeClr w14:val="tx1"/>
            </w14:solidFill>
          </w14:textFill>
        </w:rPr>
        <w:t>技术</w:t>
      </w:r>
      <w:r>
        <w:rPr>
          <w:rFonts w:hint="eastAsia" w:ascii="仿宋_GB2312" w:hAnsi="仿宋_GB2312" w:cs="仿宋_GB2312"/>
          <w:b w:val="0"/>
          <w:bCs w:val="0"/>
          <w:strike w:val="0"/>
          <w:dstrike w:val="0"/>
          <w:color w:val="000000" w:themeColor="text1"/>
          <w14:textFill>
            <w14:solidFill>
              <w14:schemeClr w14:val="tx1"/>
            </w14:solidFill>
          </w14:textFill>
        </w:rPr>
        <w:t>产品：不含砂石、水泥、混凝土、水电气等产品。</w:t>
      </w:r>
    </w:p>
    <w:p w14:paraId="2B102AE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ascii="仿宋_GB2312" w:hAnsi="仿宋_GB2312" w:cs="仿宋_GB2312"/>
          <w:b w:val="0"/>
          <w:bCs w:val="0"/>
          <w:strike w:val="0"/>
          <w:dstrike w:val="0"/>
          <w:color w:val="000000" w:themeColor="text1"/>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6</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14:textFill>
            <w14:solidFill>
              <w14:schemeClr w14:val="tx1"/>
            </w14:solidFill>
          </w14:textFill>
        </w:rPr>
        <w:t>高新技术服务：主要包括信息与通讯服务（电信和其他信息传输服务业、计算机服务业、软件业）、科技服务业（研究与试验发展、专业技术服务业、工程技术与规划管理、科技交流和推广服务业）、商务服务业（法律服务、咨询调查、其他商务服务），不含物流、人力、财务等服务内容。</w:t>
      </w:r>
    </w:p>
    <w:p w14:paraId="76C29E8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cs="仿宋_GB2312"/>
          <w:b w:val="0"/>
          <w:bCs w:val="0"/>
          <w:strike w:val="0"/>
          <w:dstrike w:val="0"/>
          <w:color w:val="000000" w:themeColor="text1"/>
          <w:lang w:val="en-US" w:eastAsia="zh-CN"/>
          <w14:textFill>
            <w14:solidFill>
              <w14:schemeClr w14:val="tx1"/>
            </w14:solidFill>
          </w14:textFill>
        </w:rPr>
        <w:t>7</w:t>
      </w:r>
      <w:r>
        <w:rPr>
          <w:rFonts w:ascii="仿宋_GB2312" w:hAnsi="仿宋_GB2312" w:cs="仿宋_GB2312"/>
          <w:b w:val="0"/>
          <w:bCs w:val="0"/>
          <w:strike w:val="0"/>
          <w:dstrike w:val="0"/>
          <w:color w:val="000000" w:themeColor="text1"/>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国内外行业大会、专业（专题）展会、博览会：行业大会包括论坛、会议、展览等大型交流活动，国际性行业大会的与会代表须来自3个或3个以上国家或地区（不含港、澳、台地区），参会人数达100人以上；国内行业大会的与会代表须来自5个以上省、直辖市、自治区，且省外人数过半，参会人数达150人以上；省内行业大会的与会代表主要来自省内各市县区，参会人数200人以上。</w:t>
      </w:r>
    </w:p>
    <w:p w14:paraId="4419BC7A">
      <w:pPr>
        <w:spacing w:line="600" w:lineRule="exact"/>
        <w:ind w:firstLine="640" w:firstLineChars="200"/>
        <w:rPr>
          <w:rFonts w:ascii="仿宋_GB2312" w:cs="仿宋_GB2312"/>
          <w:color w:val="000000" w:themeColor="text1"/>
          <w14:textFill>
            <w14:solidFill>
              <w14:schemeClr w14:val="tx1"/>
            </w14:solidFill>
          </w14:textFill>
        </w:rPr>
      </w:pPr>
      <w:r>
        <w:rPr>
          <w:rFonts w:ascii="仿宋_GB2312" w:hAnsi="仿宋_GB2312" w:cs="仿宋_GB2312"/>
          <w:color w:val="000000" w:themeColor="text1"/>
          <w14:textFill>
            <w14:solidFill>
              <w14:schemeClr w14:val="tx1"/>
            </w14:solidFill>
          </w14:textFill>
        </w:rPr>
        <w:t>[</w:t>
      </w:r>
      <w:r>
        <w:rPr>
          <w:rFonts w:hint="eastAsia" w:ascii="仿宋_GB2312" w:hAnsi="仿宋_GB2312" w:cs="仿宋_GB2312"/>
          <w:color w:val="000000" w:themeColor="text1"/>
          <w:lang w:val="en-US" w:eastAsia="zh-CN"/>
          <w14:textFill>
            <w14:solidFill>
              <w14:schemeClr w14:val="tx1"/>
            </w14:solidFill>
          </w14:textFill>
        </w:rPr>
        <w:t>8</w:t>
      </w:r>
      <w:r>
        <w:rPr>
          <w:rFonts w:ascii="仿宋_GB2312" w:hAnsi="仿宋_GB2312" w:cs="仿宋_GB2312"/>
          <w:color w:val="000000" w:themeColor="text1"/>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免申即享：本政策中除</w:t>
      </w:r>
      <w:r>
        <w:rPr>
          <w:rFonts w:hint="eastAsia" w:ascii="仿宋_GB2312" w:hAnsi="仿宋_GB2312" w:cs="仿宋_GB2312"/>
          <w:color w:val="000000" w:themeColor="text1"/>
          <w:lang w:val="en-US" w:eastAsia="zh-CN"/>
          <w14:textFill>
            <w14:solidFill>
              <w14:schemeClr w14:val="tx1"/>
            </w14:solidFill>
          </w14:textFill>
        </w:rPr>
        <w:t>第4、5、7、9、10、13、14、15、24、25、26、29、30、31点</w:t>
      </w:r>
      <w:r>
        <w:rPr>
          <w:rFonts w:hint="eastAsia" w:ascii="仿宋_GB2312" w:hAnsi="仿宋_GB2312" w:cs="仿宋_GB2312"/>
          <w:color w:val="000000" w:themeColor="text1"/>
          <w14:textFill>
            <w14:solidFill>
              <w14:schemeClr w14:val="tx1"/>
            </w14:solidFill>
          </w14:textFill>
        </w:rPr>
        <w:t>，其他政策均为免申即享政策。</w:t>
      </w:r>
    </w:p>
    <w:p w14:paraId="45EAB7FC">
      <w:pPr>
        <w:spacing w:line="600" w:lineRule="exact"/>
        <w:ind w:firstLine="640" w:firstLineChars="200"/>
        <w:rPr>
          <w:rFonts w:hint="eastAsia" w:ascii="仿宋_GB2312" w:hAnsi="仿宋_GB2312" w:cs="仿宋_GB2312"/>
          <w:color w:val="000000" w:themeColor="text1"/>
          <w14:textFill>
            <w14:solidFill>
              <w14:schemeClr w14:val="tx1"/>
            </w14:solidFill>
          </w14:textFill>
        </w:rPr>
      </w:pPr>
      <w:r>
        <w:rPr>
          <w:rFonts w:ascii="仿宋_GB2312" w:hAnsi="仿宋_GB2312" w:cs="仿宋_GB2312"/>
          <w:color w:val="000000" w:themeColor="text1"/>
          <w14:textFill>
            <w14:solidFill>
              <w14:schemeClr w14:val="tx1"/>
            </w14:solidFill>
          </w14:textFill>
        </w:rPr>
        <w:t>[</w:t>
      </w:r>
      <w:r>
        <w:rPr>
          <w:rFonts w:hint="eastAsia" w:ascii="仿宋_GB2312" w:hAnsi="仿宋_GB2312" w:cs="仿宋_GB2312"/>
          <w:color w:val="000000" w:themeColor="text1"/>
          <w:lang w:val="en-US" w:eastAsia="zh-CN"/>
          <w14:textFill>
            <w14:solidFill>
              <w14:schemeClr w14:val="tx1"/>
            </w14:solidFill>
          </w14:textFill>
        </w:rPr>
        <w:t>9</w:t>
      </w:r>
      <w:r>
        <w:rPr>
          <w:rFonts w:ascii="仿宋_GB2312" w:hAnsi="仿宋_GB2312" w:cs="仿宋_GB2312"/>
          <w:color w:val="000000" w:themeColor="text1"/>
          <w14:textFill>
            <w14:solidFill>
              <w14:schemeClr w14:val="tx1"/>
            </w14:solidFill>
          </w14:textFill>
        </w:rPr>
        <w:t>]</w:t>
      </w:r>
      <w:r>
        <w:rPr>
          <w:rFonts w:hint="eastAsia" w:ascii="仿宋_GB2312" w:hAnsi="仿宋_GB2312" w:cs="仿宋_GB2312"/>
          <w:color w:val="000000" w:themeColor="text1"/>
          <w14:textFill>
            <w14:solidFill>
              <w14:schemeClr w14:val="tx1"/>
            </w14:solidFill>
          </w14:textFill>
        </w:rPr>
        <w:t>安全生产较大事故：是指造成</w:t>
      </w:r>
      <w:r>
        <w:rPr>
          <w:rFonts w:ascii="仿宋_GB2312" w:hAnsi="仿宋_GB2312" w:cs="仿宋_GB2312"/>
          <w:color w:val="000000" w:themeColor="text1"/>
          <w14:textFill>
            <w14:solidFill>
              <w14:schemeClr w14:val="tx1"/>
            </w14:solidFill>
          </w14:textFill>
        </w:rPr>
        <w:t>3</w:t>
      </w:r>
      <w:r>
        <w:rPr>
          <w:rFonts w:hint="eastAsia" w:ascii="仿宋_GB2312" w:hAnsi="仿宋_GB2312" w:cs="仿宋_GB2312"/>
          <w:color w:val="000000" w:themeColor="text1"/>
          <w14:textFill>
            <w14:solidFill>
              <w14:schemeClr w14:val="tx1"/>
            </w14:solidFill>
          </w14:textFill>
        </w:rPr>
        <w:t>人以上</w:t>
      </w:r>
      <w:r>
        <w:rPr>
          <w:rFonts w:ascii="仿宋_GB2312" w:hAnsi="仿宋_GB2312" w:cs="仿宋_GB2312"/>
          <w:color w:val="000000" w:themeColor="text1"/>
          <w14:textFill>
            <w14:solidFill>
              <w14:schemeClr w14:val="tx1"/>
            </w14:solidFill>
          </w14:textFill>
        </w:rPr>
        <w:t>10</w:t>
      </w:r>
      <w:r>
        <w:rPr>
          <w:rFonts w:hint="eastAsia" w:ascii="仿宋_GB2312" w:hAnsi="仿宋_GB2312" w:cs="仿宋_GB2312"/>
          <w:color w:val="000000" w:themeColor="text1"/>
          <w14:textFill>
            <w14:solidFill>
              <w14:schemeClr w14:val="tx1"/>
            </w14:solidFill>
          </w14:textFill>
        </w:rPr>
        <w:t>人以下死亡，或者</w:t>
      </w:r>
      <w:r>
        <w:rPr>
          <w:rFonts w:ascii="仿宋_GB2312" w:hAnsi="仿宋_GB2312" w:cs="仿宋_GB2312"/>
          <w:color w:val="000000" w:themeColor="text1"/>
          <w14:textFill>
            <w14:solidFill>
              <w14:schemeClr w14:val="tx1"/>
            </w14:solidFill>
          </w14:textFill>
        </w:rPr>
        <w:t>10</w:t>
      </w:r>
      <w:r>
        <w:rPr>
          <w:rFonts w:hint="eastAsia" w:ascii="仿宋_GB2312" w:hAnsi="仿宋_GB2312" w:cs="仿宋_GB2312"/>
          <w:color w:val="000000" w:themeColor="text1"/>
          <w14:textFill>
            <w14:solidFill>
              <w14:schemeClr w14:val="tx1"/>
            </w14:solidFill>
          </w14:textFill>
        </w:rPr>
        <w:t>人以上</w:t>
      </w:r>
      <w:r>
        <w:rPr>
          <w:rFonts w:ascii="仿宋_GB2312" w:hAnsi="仿宋_GB2312" w:cs="仿宋_GB2312"/>
          <w:color w:val="000000" w:themeColor="text1"/>
          <w14:textFill>
            <w14:solidFill>
              <w14:schemeClr w14:val="tx1"/>
            </w14:solidFill>
          </w14:textFill>
        </w:rPr>
        <w:t>50</w:t>
      </w:r>
      <w:r>
        <w:rPr>
          <w:rFonts w:hint="eastAsia" w:ascii="仿宋_GB2312" w:hAnsi="仿宋_GB2312" w:cs="仿宋_GB2312"/>
          <w:color w:val="000000" w:themeColor="text1"/>
          <w14:textFill>
            <w14:solidFill>
              <w14:schemeClr w14:val="tx1"/>
            </w14:solidFill>
          </w14:textFill>
        </w:rPr>
        <w:t>人以下重伤，或者</w:t>
      </w:r>
      <w:r>
        <w:rPr>
          <w:rFonts w:ascii="仿宋_GB2312" w:hAnsi="仿宋_GB2312" w:cs="仿宋_GB2312"/>
          <w:color w:val="000000" w:themeColor="text1"/>
          <w14:textFill>
            <w14:solidFill>
              <w14:schemeClr w14:val="tx1"/>
            </w14:solidFill>
          </w14:textFill>
        </w:rPr>
        <w:t>1000</w:t>
      </w:r>
      <w:r>
        <w:rPr>
          <w:rFonts w:hint="eastAsia" w:ascii="仿宋_GB2312" w:hAnsi="仿宋_GB2312" w:cs="仿宋_GB2312"/>
          <w:color w:val="000000" w:themeColor="text1"/>
          <w14:textFill>
            <w14:solidFill>
              <w14:schemeClr w14:val="tx1"/>
            </w14:solidFill>
          </w14:textFill>
        </w:rPr>
        <w:t>万元以上</w:t>
      </w:r>
      <w:r>
        <w:rPr>
          <w:rFonts w:ascii="仿宋_GB2312" w:hAnsi="仿宋_GB2312" w:cs="仿宋_GB2312"/>
          <w:color w:val="000000" w:themeColor="text1"/>
          <w14:textFill>
            <w14:solidFill>
              <w14:schemeClr w14:val="tx1"/>
            </w14:solidFill>
          </w14:textFill>
        </w:rPr>
        <w:t>5000</w:t>
      </w:r>
      <w:r>
        <w:rPr>
          <w:rFonts w:hint="eastAsia" w:ascii="仿宋_GB2312" w:hAnsi="仿宋_GB2312" w:cs="仿宋_GB2312"/>
          <w:color w:val="000000" w:themeColor="text1"/>
          <w14:textFill>
            <w14:solidFill>
              <w14:schemeClr w14:val="tx1"/>
            </w14:solidFill>
          </w14:textFill>
        </w:rPr>
        <w:t>万元以下直接经济损失的事故。</w:t>
      </w:r>
    </w:p>
    <w:p w14:paraId="09AD1586">
      <w:pPr>
        <w:spacing w:line="600" w:lineRule="exact"/>
        <w:rPr>
          <w:rFonts w:hint="eastAsia" w:ascii="仿宋_GB2312" w:hAnsi="仿宋_GB2312" w:cs="仿宋_GB2312"/>
          <w:color w:val="000000" w:themeColor="text1"/>
          <w14:textFill>
            <w14:solidFill>
              <w14:schemeClr w14:val="tx1"/>
            </w14:solidFill>
          </w14:textFill>
        </w:rPr>
      </w:pPr>
    </w:p>
    <w:p w14:paraId="454EC36D">
      <w:pPr>
        <w:spacing w:line="600" w:lineRule="exact"/>
        <w:rPr>
          <w:rFonts w:hint="eastAsia" w:ascii="仿宋_GB2312" w:hAnsi="仿宋_GB2312" w:cs="仿宋_GB2312"/>
        </w:rPr>
      </w:pPr>
    </w:p>
    <w:p w14:paraId="7946C271">
      <w:pPr>
        <w:spacing w:line="600" w:lineRule="exact"/>
        <w:rPr>
          <w:rFonts w:hint="eastAsia" w:ascii="仿宋_GB2312" w:hAnsi="仿宋_GB2312" w:cs="仿宋_GB2312"/>
        </w:rPr>
      </w:pPr>
    </w:p>
    <w:p w14:paraId="3D782694">
      <w:pPr>
        <w:pStyle w:val="15"/>
        <w:rPr>
          <w:rFonts w:hint="eastAsia" w:ascii="仿宋_GB2312" w:hAnsi="仿宋_GB2312" w:cs="仿宋_GB2312"/>
        </w:rPr>
      </w:pPr>
    </w:p>
    <w:p w14:paraId="35FB798B">
      <w:pPr>
        <w:rPr>
          <w:rFonts w:hint="eastAsia" w:ascii="仿宋_GB2312" w:hAnsi="仿宋_GB2312" w:cs="仿宋_GB2312"/>
        </w:rPr>
      </w:pPr>
    </w:p>
    <w:p w14:paraId="6DB6D5A6">
      <w:pPr>
        <w:pStyle w:val="15"/>
        <w:rPr>
          <w:rFonts w:hint="eastAsia" w:ascii="仿宋_GB2312" w:hAnsi="仿宋_GB2312" w:cs="仿宋_GB2312"/>
        </w:rPr>
      </w:pPr>
    </w:p>
    <w:p w14:paraId="77EFCBA5">
      <w:pPr>
        <w:rPr>
          <w:rFonts w:hint="eastAsia" w:ascii="仿宋_GB2312" w:hAnsi="仿宋_GB2312" w:cs="仿宋_GB2312"/>
        </w:rPr>
      </w:pPr>
    </w:p>
    <w:p w14:paraId="54EEF217">
      <w:pPr>
        <w:rPr>
          <w:rFonts w:hint="eastAsia" w:ascii="仿宋_GB2312" w:hAnsi="仿宋_GB2312" w:cs="仿宋_GB2312"/>
        </w:rPr>
      </w:pPr>
    </w:p>
    <w:p w14:paraId="64624F30">
      <w:pPr>
        <w:rPr>
          <w:rFonts w:hint="eastAsia" w:ascii="仿宋_GB2312" w:hAnsi="仿宋_GB2312" w:cs="仿宋_GB2312"/>
        </w:rPr>
      </w:pPr>
    </w:p>
    <w:p w14:paraId="145AD7D7">
      <w:pPr>
        <w:rPr>
          <w:rFonts w:hint="eastAsia" w:ascii="仿宋_GB2312" w:hAnsi="仿宋_GB2312" w:cs="仿宋_GB2312"/>
        </w:rPr>
      </w:pPr>
    </w:p>
    <w:p w14:paraId="48A69DD9">
      <w:pPr>
        <w:spacing w:line="600" w:lineRule="exact"/>
        <w:rPr>
          <w:rFonts w:hint="eastAsia" w:ascii="仿宋_GB2312" w:hAnsi="仿宋_GB2312" w:cs="仿宋_GB2312"/>
        </w:rPr>
      </w:pPr>
    </w:p>
    <w:p w14:paraId="0C4177E2">
      <w:pPr>
        <w:spacing w:line="600" w:lineRule="exact"/>
        <w:rPr>
          <w:rFonts w:hint="eastAsia" w:ascii="仿宋_GB2312" w:hAnsi="仿宋_GB2312" w:cs="仿宋_GB2312"/>
        </w:rPr>
      </w:pPr>
    </w:p>
    <w:p w14:paraId="3C944D75">
      <w:pPr>
        <w:spacing w:line="600" w:lineRule="exact"/>
        <w:rPr>
          <w:rFonts w:hint="eastAsia" w:ascii="仿宋_GB2312" w:hAnsi="仿宋_GB2312" w:cs="仿宋_GB2312"/>
        </w:rPr>
      </w:pPr>
    </w:p>
    <w:p w14:paraId="187736BD">
      <w:pPr>
        <w:spacing w:line="600" w:lineRule="exact"/>
        <w:rPr>
          <w:rFonts w:hint="eastAsia" w:ascii="仿宋_GB2312" w:hAnsi="仿宋_GB2312" w:cs="仿宋_GB2312"/>
        </w:rPr>
      </w:pPr>
    </w:p>
    <w:p w14:paraId="0E669D2C">
      <w:pPr>
        <w:pStyle w:val="4"/>
        <w:pBdr>
          <w:top w:val="single" w:color="auto" w:sz="4" w:space="1"/>
          <w:bottom w:val="single" w:color="auto" w:sz="4" w:space="1"/>
          <w:between w:val="single" w:color="auto" w:sz="4" w:space="1"/>
        </w:pBdr>
        <w:spacing w:after="0" w:line="600" w:lineRule="exact"/>
        <w:ind w:left="0" w:leftChars="0" w:firstLine="160" w:firstLineChars="50"/>
        <w:rPr>
          <w:rFonts w:ascii="仿宋_GB2312" w:cs="仿宋_GB2312"/>
        </w:rPr>
      </w:pPr>
      <w:r>
        <w:rPr>
          <w:rFonts w:hint="eastAsia" w:ascii="仿宋_GB2312"/>
        </w:rPr>
        <w:t>长沙市望城区人民政府办公室</w:t>
      </w:r>
      <w:r>
        <w:rPr>
          <w:rFonts w:ascii="仿宋_GB2312"/>
        </w:rPr>
        <w:t xml:space="preserve">     </w:t>
      </w:r>
      <w:r>
        <w:rPr>
          <w:rFonts w:hint="eastAsia" w:ascii="仿宋_GB2312"/>
          <w:lang w:val="en-US" w:eastAsia="zh-CN"/>
        </w:rPr>
        <w:t xml:space="preserve">    </w:t>
      </w:r>
      <w:r>
        <w:rPr>
          <w:rFonts w:hint="eastAsia" w:ascii="仿宋_GB2312"/>
        </w:rPr>
        <w:t>年</w:t>
      </w:r>
      <w:r>
        <w:rPr>
          <w:rFonts w:hint="eastAsia" w:ascii="仿宋_GB2312"/>
          <w:lang w:val="en-US" w:eastAsia="zh-CN"/>
        </w:rPr>
        <w:t xml:space="preserve">  </w:t>
      </w:r>
      <w:r>
        <w:rPr>
          <w:rFonts w:hint="eastAsia" w:ascii="仿宋_GB2312"/>
        </w:rPr>
        <w:t>月</w:t>
      </w:r>
      <w:r>
        <w:rPr>
          <w:rFonts w:hint="eastAsia" w:ascii="仿宋_GB2312"/>
          <w:lang w:val="en-US" w:eastAsia="zh-CN"/>
        </w:rPr>
        <w:t xml:space="preserve">  </w:t>
      </w:r>
      <w:r>
        <w:rPr>
          <w:rFonts w:hint="eastAsia" w:ascii="仿宋_GB2312"/>
        </w:rPr>
        <w:t>日印发</w:t>
      </w:r>
      <w:r>
        <w:rPr>
          <w:rFonts w:ascii="仿宋_GB2312"/>
        </w:rPr>
        <w:t xml:space="preserve">     </w:t>
      </w:r>
    </w:p>
    <w:sectPr>
      <w:headerReference r:id="rId3" w:type="default"/>
      <w:footerReference r:id="rId4" w:type="default"/>
      <w:pgSz w:w="11906" w:h="16838"/>
      <w:pgMar w:top="2098" w:right="1474" w:bottom="1418" w:left="1588" w:header="1701" w:footer="1191" w:gutter="0"/>
      <w:cols w:space="425" w:num="1"/>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8FCAC">
    <w:pPr>
      <w:pStyle w:val="6"/>
      <w:framePr w:wrap="around" w:vAnchor="text" w:hAnchor="margin" w:xAlign="outside" w:y="1"/>
      <w:rPr>
        <w:rStyle w:val="13"/>
        <w:rFonts w:ascii="宋体"/>
        <w:sz w:val="28"/>
        <w:szCs w:val="28"/>
      </w:rPr>
    </w:pPr>
    <w:r>
      <w:rPr>
        <w:rStyle w:val="13"/>
        <w:rFonts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12</w:t>
    </w:r>
    <w:r>
      <w:rPr>
        <w:rStyle w:val="13"/>
        <w:rFonts w:ascii="宋体" w:hAnsi="宋体"/>
        <w:sz w:val="28"/>
        <w:szCs w:val="28"/>
      </w:rPr>
      <w:fldChar w:fldCharType="end"/>
    </w:r>
    <w:r>
      <w:rPr>
        <w:rStyle w:val="13"/>
        <w:rFonts w:ascii="宋体" w:hAnsi="宋体"/>
        <w:sz w:val="28"/>
        <w:szCs w:val="28"/>
      </w:rPr>
      <w:t xml:space="preserve"> —</w:t>
    </w:r>
  </w:p>
  <w:p w14:paraId="7FE74ACE">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FD9CC">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CEFB9B"/>
    <w:multiLevelType w:val="singleLevel"/>
    <w:tmpl w:val="17CEFB9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documentProtection w:enforcement="0"/>
  <w:defaultTabStop w:val="420"/>
  <w:drawingGridVerticalSpacing w:val="222"/>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3M2FjMTE5OTc5ZGNlY2VlZDA1ZDRmYTRiYmJkN2YifQ=="/>
    <w:docVar w:name="KSO_WPS_MARK_KEY" w:val="4a9bc740-12c6-492f-a68f-a47dd72f79bc"/>
  </w:docVars>
  <w:rsids>
    <w:rsidRoot w:val="00254114"/>
    <w:rsid w:val="000525A9"/>
    <w:rsid w:val="000628AC"/>
    <w:rsid w:val="000675A5"/>
    <w:rsid w:val="000722EA"/>
    <w:rsid w:val="00076D8E"/>
    <w:rsid w:val="000A4BEC"/>
    <w:rsid w:val="000D0782"/>
    <w:rsid w:val="000D2B71"/>
    <w:rsid w:val="000D2EC8"/>
    <w:rsid w:val="000E25AF"/>
    <w:rsid w:val="00117C50"/>
    <w:rsid w:val="00135AA3"/>
    <w:rsid w:val="00143850"/>
    <w:rsid w:val="00153CF5"/>
    <w:rsid w:val="001816EB"/>
    <w:rsid w:val="001B138D"/>
    <w:rsid w:val="001B3DE5"/>
    <w:rsid w:val="001B5C64"/>
    <w:rsid w:val="001B6035"/>
    <w:rsid w:val="001C29B7"/>
    <w:rsid w:val="001D237B"/>
    <w:rsid w:val="002026A7"/>
    <w:rsid w:val="002034C2"/>
    <w:rsid w:val="0020441B"/>
    <w:rsid w:val="002126DF"/>
    <w:rsid w:val="00217F13"/>
    <w:rsid w:val="00233F62"/>
    <w:rsid w:val="00237229"/>
    <w:rsid w:val="002424B8"/>
    <w:rsid w:val="00253C30"/>
    <w:rsid w:val="00254114"/>
    <w:rsid w:val="00286A1E"/>
    <w:rsid w:val="002B0EC8"/>
    <w:rsid w:val="002B5263"/>
    <w:rsid w:val="002C27DE"/>
    <w:rsid w:val="002D3158"/>
    <w:rsid w:val="0036150B"/>
    <w:rsid w:val="00371682"/>
    <w:rsid w:val="00374EB3"/>
    <w:rsid w:val="00383811"/>
    <w:rsid w:val="00397460"/>
    <w:rsid w:val="00397628"/>
    <w:rsid w:val="003F6BCA"/>
    <w:rsid w:val="0040442B"/>
    <w:rsid w:val="0045432C"/>
    <w:rsid w:val="00491778"/>
    <w:rsid w:val="00493D1E"/>
    <w:rsid w:val="004962BF"/>
    <w:rsid w:val="004A0BB6"/>
    <w:rsid w:val="004E14B8"/>
    <w:rsid w:val="004F546E"/>
    <w:rsid w:val="004F5D94"/>
    <w:rsid w:val="004F7145"/>
    <w:rsid w:val="00521B80"/>
    <w:rsid w:val="00526E06"/>
    <w:rsid w:val="00553818"/>
    <w:rsid w:val="00585A51"/>
    <w:rsid w:val="00592900"/>
    <w:rsid w:val="005C7526"/>
    <w:rsid w:val="005D480E"/>
    <w:rsid w:val="005D60B1"/>
    <w:rsid w:val="00607B60"/>
    <w:rsid w:val="00611F8D"/>
    <w:rsid w:val="0061297A"/>
    <w:rsid w:val="0061620A"/>
    <w:rsid w:val="006760E1"/>
    <w:rsid w:val="00686F49"/>
    <w:rsid w:val="006A499D"/>
    <w:rsid w:val="006B36C5"/>
    <w:rsid w:val="006E77B7"/>
    <w:rsid w:val="00745A1B"/>
    <w:rsid w:val="00750DF8"/>
    <w:rsid w:val="00753829"/>
    <w:rsid w:val="00757456"/>
    <w:rsid w:val="00761946"/>
    <w:rsid w:val="00763A75"/>
    <w:rsid w:val="00775341"/>
    <w:rsid w:val="0079615E"/>
    <w:rsid w:val="007A64CF"/>
    <w:rsid w:val="007B1C31"/>
    <w:rsid w:val="007C03D5"/>
    <w:rsid w:val="007D6B5F"/>
    <w:rsid w:val="007E4A37"/>
    <w:rsid w:val="007F4367"/>
    <w:rsid w:val="007F5E20"/>
    <w:rsid w:val="00812207"/>
    <w:rsid w:val="00850417"/>
    <w:rsid w:val="00861BF0"/>
    <w:rsid w:val="00863D67"/>
    <w:rsid w:val="00863F28"/>
    <w:rsid w:val="00864A7B"/>
    <w:rsid w:val="008652AD"/>
    <w:rsid w:val="00875740"/>
    <w:rsid w:val="008879BA"/>
    <w:rsid w:val="008A5CD9"/>
    <w:rsid w:val="008B4AEA"/>
    <w:rsid w:val="008D015C"/>
    <w:rsid w:val="008D7726"/>
    <w:rsid w:val="008F2BB9"/>
    <w:rsid w:val="008F67BC"/>
    <w:rsid w:val="009009F2"/>
    <w:rsid w:val="00925ED3"/>
    <w:rsid w:val="00932344"/>
    <w:rsid w:val="00960C6F"/>
    <w:rsid w:val="00966312"/>
    <w:rsid w:val="00985C1D"/>
    <w:rsid w:val="00985F3E"/>
    <w:rsid w:val="00987D15"/>
    <w:rsid w:val="00996BA4"/>
    <w:rsid w:val="009A0BA7"/>
    <w:rsid w:val="009B09B0"/>
    <w:rsid w:val="009B190C"/>
    <w:rsid w:val="009C26B6"/>
    <w:rsid w:val="009D2A31"/>
    <w:rsid w:val="009E6CA9"/>
    <w:rsid w:val="009F2274"/>
    <w:rsid w:val="009F2CED"/>
    <w:rsid w:val="00A01BC5"/>
    <w:rsid w:val="00A14609"/>
    <w:rsid w:val="00A20C31"/>
    <w:rsid w:val="00A21178"/>
    <w:rsid w:val="00A30348"/>
    <w:rsid w:val="00A61A7D"/>
    <w:rsid w:val="00A739FC"/>
    <w:rsid w:val="00A82AA7"/>
    <w:rsid w:val="00AA477A"/>
    <w:rsid w:val="00AC05EB"/>
    <w:rsid w:val="00AD0947"/>
    <w:rsid w:val="00AF28B5"/>
    <w:rsid w:val="00B013CA"/>
    <w:rsid w:val="00B04EB5"/>
    <w:rsid w:val="00B67E1E"/>
    <w:rsid w:val="00B8612B"/>
    <w:rsid w:val="00B91CE2"/>
    <w:rsid w:val="00B95ABD"/>
    <w:rsid w:val="00BB38A9"/>
    <w:rsid w:val="00BC5765"/>
    <w:rsid w:val="00BE3994"/>
    <w:rsid w:val="00C016AE"/>
    <w:rsid w:val="00C27480"/>
    <w:rsid w:val="00C63E99"/>
    <w:rsid w:val="00CA6E49"/>
    <w:rsid w:val="00CF090B"/>
    <w:rsid w:val="00D04293"/>
    <w:rsid w:val="00D23278"/>
    <w:rsid w:val="00D352D2"/>
    <w:rsid w:val="00D541E4"/>
    <w:rsid w:val="00D70ACA"/>
    <w:rsid w:val="00D77809"/>
    <w:rsid w:val="00D86890"/>
    <w:rsid w:val="00DC07D5"/>
    <w:rsid w:val="00DD3621"/>
    <w:rsid w:val="00DF7B2D"/>
    <w:rsid w:val="00E14679"/>
    <w:rsid w:val="00E2594D"/>
    <w:rsid w:val="00E30EBA"/>
    <w:rsid w:val="00E60705"/>
    <w:rsid w:val="00E63CC0"/>
    <w:rsid w:val="00E71DDB"/>
    <w:rsid w:val="00E774B1"/>
    <w:rsid w:val="00E911E4"/>
    <w:rsid w:val="00EA1DD9"/>
    <w:rsid w:val="00EB3638"/>
    <w:rsid w:val="00EB64CB"/>
    <w:rsid w:val="00EC6B37"/>
    <w:rsid w:val="00ED7BB2"/>
    <w:rsid w:val="00EE75C3"/>
    <w:rsid w:val="00F05232"/>
    <w:rsid w:val="00F208A7"/>
    <w:rsid w:val="00F30E70"/>
    <w:rsid w:val="00F31905"/>
    <w:rsid w:val="00F517F0"/>
    <w:rsid w:val="00F60F03"/>
    <w:rsid w:val="00F744FB"/>
    <w:rsid w:val="00F75A9E"/>
    <w:rsid w:val="00F92A28"/>
    <w:rsid w:val="00FA0CAB"/>
    <w:rsid w:val="00FA47E6"/>
    <w:rsid w:val="00FB036A"/>
    <w:rsid w:val="00FC2CD1"/>
    <w:rsid w:val="00FC309D"/>
    <w:rsid w:val="00FC545D"/>
    <w:rsid w:val="00FC78FE"/>
    <w:rsid w:val="00FD2D0F"/>
    <w:rsid w:val="00FF39CB"/>
    <w:rsid w:val="00FF5FAE"/>
    <w:rsid w:val="00FF6C06"/>
    <w:rsid w:val="022C15D0"/>
    <w:rsid w:val="02533CF0"/>
    <w:rsid w:val="02CF3DFE"/>
    <w:rsid w:val="03261FAB"/>
    <w:rsid w:val="03265235"/>
    <w:rsid w:val="04862D87"/>
    <w:rsid w:val="049A6D97"/>
    <w:rsid w:val="04BE66BA"/>
    <w:rsid w:val="05454FA5"/>
    <w:rsid w:val="059A5CFF"/>
    <w:rsid w:val="062049F6"/>
    <w:rsid w:val="068F64E1"/>
    <w:rsid w:val="06A921AC"/>
    <w:rsid w:val="06B3025A"/>
    <w:rsid w:val="06E54B5C"/>
    <w:rsid w:val="07AF1358"/>
    <w:rsid w:val="07E20F7B"/>
    <w:rsid w:val="0870261F"/>
    <w:rsid w:val="08CC0577"/>
    <w:rsid w:val="092D54BA"/>
    <w:rsid w:val="094D4B55"/>
    <w:rsid w:val="096A1533"/>
    <w:rsid w:val="09B44D67"/>
    <w:rsid w:val="0A0C3E67"/>
    <w:rsid w:val="0ABD0C0A"/>
    <w:rsid w:val="0B0D1026"/>
    <w:rsid w:val="0B156206"/>
    <w:rsid w:val="0B16110B"/>
    <w:rsid w:val="0B29069B"/>
    <w:rsid w:val="0B3B457C"/>
    <w:rsid w:val="0B443894"/>
    <w:rsid w:val="0B495EAF"/>
    <w:rsid w:val="0B735DE8"/>
    <w:rsid w:val="0B793697"/>
    <w:rsid w:val="0B7FB78E"/>
    <w:rsid w:val="0BEB0302"/>
    <w:rsid w:val="0C390E87"/>
    <w:rsid w:val="0CA041F5"/>
    <w:rsid w:val="0D552859"/>
    <w:rsid w:val="0D584E6B"/>
    <w:rsid w:val="0D730064"/>
    <w:rsid w:val="0DAE1A4F"/>
    <w:rsid w:val="0DB13E21"/>
    <w:rsid w:val="0E77094F"/>
    <w:rsid w:val="0E9D0D93"/>
    <w:rsid w:val="0EAA046C"/>
    <w:rsid w:val="0EC6135D"/>
    <w:rsid w:val="0ED437B0"/>
    <w:rsid w:val="0EDB15F6"/>
    <w:rsid w:val="0EDD528C"/>
    <w:rsid w:val="0EE50FC6"/>
    <w:rsid w:val="0F215E47"/>
    <w:rsid w:val="0F2B1654"/>
    <w:rsid w:val="0F4861E3"/>
    <w:rsid w:val="0F905977"/>
    <w:rsid w:val="0F9555F2"/>
    <w:rsid w:val="0FFC5BE6"/>
    <w:rsid w:val="106D0892"/>
    <w:rsid w:val="107577F0"/>
    <w:rsid w:val="10BD5A54"/>
    <w:rsid w:val="1104620B"/>
    <w:rsid w:val="111D7FA3"/>
    <w:rsid w:val="11621B85"/>
    <w:rsid w:val="11E638A2"/>
    <w:rsid w:val="123C7A2D"/>
    <w:rsid w:val="12BE0AA1"/>
    <w:rsid w:val="136D2A96"/>
    <w:rsid w:val="13D74367"/>
    <w:rsid w:val="144B6F7F"/>
    <w:rsid w:val="145532B1"/>
    <w:rsid w:val="1462303F"/>
    <w:rsid w:val="14BE16BC"/>
    <w:rsid w:val="14FF33E0"/>
    <w:rsid w:val="15A85BD2"/>
    <w:rsid w:val="15D67EB2"/>
    <w:rsid w:val="162C08A7"/>
    <w:rsid w:val="16496759"/>
    <w:rsid w:val="16780DB8"/>
    <w:rsid w:val="170D3F0D"/>
    <w:rsid w:val="170D403F"/>
    <w:rsid w:val="17CE55F5"/>
    <w:rsid w:val="17D51C8E"/>
    <w:rsid w:val="17FDAE2B"/>
    <w:rsid w:val="184B1F20"/>
    <w:rsid w:val="18ED76D7"/>
    <w:rsid w:val="190F342B"/>
    <w:rsid w:val="194E062A"/>
    <w:rsid w:val="194E31D5"/>
    <w:rsid w:val="19A42908"/>
    <w:rsid w:val="19F02FC7"/>
    <w:rsid w:val="19F783B0"/>
    <w:rsid w:val="1A3B1696"/>
    <w:rsid w:val="1A703458"/>
    <w:rsid w:val="1A825565"/>
    <w:rsid w:val="1AAB7C87"/>
    <w:rsid w:val="1B160375"/>
    <w:rsid w:val="1B37365C"/>
    <w:rsid w:val="1B51489D"/>
    <w:rsid w:val="1BB43CC0"/>
    <w:rsid w:val="1BC86A85"/>
    <w:rsid w:val="1BDB2DE0"/>
    <w:rsid w:val="1C5E58A6"/>
    <w:rsid w:val="1CAB69CA"/>
    <w:rsid w:val="1CF71C0F"/>
    <w:rsid w:val="1D006521"/>
    <w:rsid w:val="1D7C3B0D"/>
    <w:rsid w:val="1DFD5C85"/>
    <w:rsid w:val="1E5B5C42"/>
    <w:rsid w:val="1E667034"/>
    <w:rsid w:val="1EFB5FC5"/>
    <w:rsid w:val="1F236219"/>
    <w:rsid w:val="1F370764"/>
    <w:rsid w:val="1F3F207E"/>
    <w:rsid w:val="1F5C5168"/>
    <w:rsid w:val="2143520B"/>
    <w:rsid w:val="21573ECA"/>
    <w:rsid w:val="219B0031"/>
    <w:rsid w:val="220E75F4"/>
    <w:rsid w:val="2217212B"/>
    <w:rsid w:val="22696C50"/>
    <w:rsid w:val="24530345"/>
    <w:rsid w:val="24984E5D"/>
    <w:rsid w:val="24C456F2"/>
    <w:rsid w:val="254A6FA7"/>
    <w:rsid w:val="26640F20"/>
    <w:rsid w:val="26767FBF"/>
    <w:rsid w:val="269CF9FF"/>
    <w:rsid w:val="26C4024C"/>
    <w:rsid w:val="26F86CAF"/>
    <w:rsid w:val="27202E26"/>
    <w:rsid w:val="27257E04"/>
    <w:rsid w:val="275771F5"/>
    <w:rsid w:val="278365D0"/>
    <w:rsid w:val="27D96D4F"/>
    <w:rsid w:val="29145359"/>
    <w:rsid w:val="298340BB"/>
    <w:rsid w:val="29D84B76"/>
    <w:rsid w:val="29DB3653"/>
    <w:rsid w:val="29EF5991"/>
    <w:rsid w:val="2B5D4423"/>
    <w:rsid w:val="2C2A5038"/>
    <w:rsid w:val="2C8F72C6"/>
    <w:rsid w:val="2D7F5167"/>
    <w:rsid w:val="2DC05723"/>
    <w:rsid w:val="2DE50213"/>
    <w:rsid w:val="2EDF2F31"/>
    <w:rsid w:val="2F2D2050"/>
    <w:rsid w:val="2F407445"/>
    <w:rsid w:val="2F7A41FC"/>
    <w:rsid w:val="2F9F3956"/>
    <w:rsid w:val="30012E7A"/>
    <w:rsid w:val="300866EC"/>
    <w:rsid w:val="309C7DB5"/>
    <w:rsid w:val="31BC6B2B"/>
    <w:rsid w:val="31DA58B5"/>
    <w:rsid w:val="32902492"/>
    <w:rsid w:val="32A06DEF"/>
    <w:rsid w:val="32D54C72"/>
    <w:rsid w:val="334A24E4"/>
    <w:rsid w:val="339F68A4"/>
    <w:rsid w:val="33CC03BB"/>
    <w:rsid w:val="33DD79EE"/>
    <w:rsid w:val="340D6F98"/>
    <w:rsid w:val="34C82023"/>
    <w:rsid w:val="34F152D3"/>
    <w:rsid w:val="35830721"/>
    <w:rsid w:val="359B57B2"/>
    <w:rsid w:val="363E3671"/>
    <w:rsid w:val="364B7356"/>
    <w:rsid w:val="36CC6F66"/>
    <w:rsid w:val="371253AE"/>
    <w:rsid w:val="3798786A"/>
    <w:rsid w:val="37F6BB8A"/>
    <w:rsid w:val="382E5764"/>
    <w:rsid w:val="38C94D1F"/>
    <w:rsid w:val="3924528E"/>
    <w:rsid w:val="39586F1D"/>
    <w:rsid w:val="39720A39"/>
    <w:rsid w:val="3981563B"/>
    <w:rsid w:val="3A021531"/>
    <w:rsid w:val="3A700B71"/>
    <w:rsid w:val="3A9B5ED7"/>
    <w:rsid w:val="3AB037CD"/>
    <w:rsid w:val="3AB91E0A"/>
    <w:rsid w:val="3AD544D3"/>
    <w:rsid w:val="3AF322A9"/>
    <w:rsid w:val="3C0B14F0"/>
    <w:rsid w:val="3C2E6EFE"/>
    <w:rsid w:val="3C4922F1"/>
    <w:rsid w:val="3C9552B8"/>
    <w:rsid w:val="3CC21510"/>
    <w:rsid w:val="3CE80A6B"/>
    <w:rsid w:val="3D2BA3B8"/>
    <w:rsid w:val="3D9A6DE2"/>
    <w:rsid w:val="3DA51A81"/>
    <w:rsid w:val="3DFC910E"/>
    <w:rsid w:val="3DFF2137"/>
    <w:rsid w:val="3E251E63"/>
    <w:rsid w:val="3E6E56EE"/>
    <w:rsid w:val="3E783A09"/>
    <w:rsid w:val="3EA35D72"/>
    <w:rsid w:val="3EA737B2"/>
    <w:rsid w:val="3ED25CD8"/>
    <w:rsid w:val="3ED817CC"/>
    <w:rsid w:val="3EEB6D5B"/>
    <w:rsid w:val="3EF275D8"/>
    <w:rsid w:val="3EF6A2F9"/>
    <w:rsid w:val="3F0B4668"/>
    <w:rsid w:val="3F307C8D"/>
    <w:rsid w:val="3F5782D1"/>
    <w:rsid w:val="3F5EF4B9"/>
    <w:rsid w:val="3F6727BB"/>
    <w:rsid w:val="3F8E4EE2"/>
    <w:rsid w:val="3FA06623"/>
    <w:rsid w:val="3FC41084"/>
    <w:rsid w:val="3FDE5045"/>
    <w:rsid w:val="3FEB5F01"/>
    <w:rsid w:val="4140194C"/>
    <w:rsid w:val="41587F4A"/>
    <w:rsid w:val="416540A2"/>
    <w:rsid w:val="41AE4727"/>
    <w:rsid w:val="41F16190"/>
    <w:rsid w:val="42550F14"/>
    <w:rsid w:val="42DB3429"/>
    <w:rsid w:val="431136F0"/>
    <w:rsid w:val="431B6F5C"/>
    <w:rsid w:val="43A33A64"/>
    <w:rsid w:val="44054992"/>
    <w:rsid w:val="442B0B0E"/>
    <w:rsid w:val="44901F53"/>
    <w:rsid w:val="452E1696"/>
    <w:rsid w:val="454F5F23"/>
    <w:rsid w:val="4554226E"/>
    <w:rsid w:val="4571491C"/>
    <w:rsid w:val="45A008EF"/>
    <w:rsid w:val="45CF7CD6"/>
    <w:rsid w:val="466375B0"/>
    <w:rsid w:val="46C10EDB"/>
    <w:rsid w:val="477BE35B"/>
    <w:rsid w:val="47DD71D7"/>
    <w:rsid w:val="47FA7E43"/>
    <w:rsid w:val="48503834"/>
    <w:rsid w:val="48F5059D"/>
    <w:rsid w:val="49736CEE"/>
    <w:rsid w:val="4A3E4206"/>
    <w:rsid w:val="4A8768A8"/>
    <w:rsid w:val="4A9639B3"/>
    <w:rsid w:val="4ADF1BA7"/>
    <w:rsid w:val="4BAF09FB"/>
    <w:rsid w:val="4BC70F8C"/>
    <w:rsid w:val="4C167C9B"/>
    <w:rsid w:val="4C3B5FD1"/>
    <w:rsid w:val="4D100E40"/>
    <w:rsid w:val="4DC85A05"/>
    <w:rsid w:val="4DCC26D3"/>
    <w:rsid w:val="4DFF878F"/>
    <w:rsid w:val="4E7F5E16"/>
    <w:rsid w:val="4F356DB9"/>
    <w:rsid w:val="4F881DD3"/>
    <w:rsid w:val="4F8922EB"/>
    <w:rsid w:val="4FB9CE04"/>
    <w:rsid w:val="4FF73363"/>
    <w:rsid w:val="503C37BC"/>
    <w:rsid w:val="50447B22"/>
    <w:rsid w:val="50AD4CB9"/>
    <w:rsid w:val="50EB3B65"/>
    <w:rsid w:val="512008E0"/>
    <w:rsid w:val="51491CEE"/>
    <w:rsid w:val="51C23975"/>
    <w:rsid w:val="51FB4E7D"/>
    <w:rsid w:val="51FE5440"/>
    <w:rsid w:val="5222130D"/>
    <w:rsid w:val="525475A0"/>
    <w:rsid w:val="53154B77"/>
    <w:rsid w:val="535327DA"/>
    <w:rsid w:val="53714B69"/>
    <w:rsid w:val="53D761FC"/>
    <w:rsid w:val="53EEED8A"/>
    <w:rsid w:val="540761F3"/>
    <w:rsid w:val="545D532A"/>
    <w:rsid w:val="54A22DBE"/>
    <w:rsid w:val="54AB75A3"/>
    <w:rsid w:val="550C0615"/>
    <w:rsid w:val="55326F81"/>
    <w:rsid w:val="55A75279"/>
    <w:rsid w:val="55BC1465"/>
    <w:rsid w:val="55C25226"/>
    <w:rsid w:val="56AD64D0"/>
    <w:rsid w:val="56F83A54"/>
    <w:rsid w:val="57035747"/>
    <w:rsid w:val="57B37EFB"/>
    <w:rsid w:val="585F5BB7"/>
    <w:rsid w:val="586B7F47"/>
    <w:rsid w:val="58D328E9"/>
    <w:rsid w:val="58DA3EBB"/>
    <w:rsid w:val="58DF2F7C"/>
    <w:rsid w:val="590A6485"/>
    <w:rsid w:val="59181DEE"/>
    <w:rsid w:val="59202129"/>
    <w:rsid w:val="597747F1"/>
    <w:rsid w:val="59924748"/>
    <w:rsid w:val="599F6DC7"/>
    <w:rsid w:val="59F717FD"/>
    <w:rsid w:val="59FFA548"/>
    <w:rsid w:val="5A500495"/>
    <w:rsid w:val="5A5904C8"/>
    <w:rsid w:val="5AF236DE"/>
    <w:rsid w:val="5AFF20AB"/>
    <w:rsid w:val="5B13515F"/>
    <w:rsid w:val="5BF81695"/>
    <w:rsid w:val="5C116178"/>
    <w:rsid w:val="5C9E681C"/>
    <w:rsid w:val="5CBC3C55"/>
    <w:rsid w:val="5CCC305E"/>
    <w:rsid w:val="5CF70E07"/>
    <w:rsid w:val="5D1C0217"/>
    <w:rsid w:val="5D827031"/>
    <w:rsid w:val="5D956DEA"/>
    <w:rsid w:val="5D9A7B05"/>
    <w:rsid w:val="5DB0554A"/>
    <w:rsid w:val="5DC3D9E3"/>
    <w:rsid w:val="5DF9050E"/>
    <w:rsid w:val="5DF97965"/>
    <w:rsid w:val="5DFEE3A5"/>
    <w:rsid w:val="5E310BF5"/>
    <w:rsid w:val="5EB038A3"/>
    <w:rsid w:val="5EE73072"/>
    <w:rsid w:val="5EEBB5D8"/>
    <w:rsid w:val="5EF1B223"/>
    <w:rsid w:val="5F5248BE"/>
    <w:rsid w:val="5F9EF37F"/>
    <w:rsid w:val="5FD41360"/>
    <w:rsid w:val="5FFB6A57"/>
    <w:rsid w:val="600118DD"/>
    <w:rsid w:val="60017A9B"/>
    <w:rsid w:val="60683E56"/>
    <w:rsid w:val="609A69F1"/>
    <w:rsid w:val="61015F33"/>
    <w:rsid w:val="611C0D07"/>
    <w:rsid w:val="61325BF8"/>
    <w:rsid w:val="619E3DBB"/>
    <w:rsid w:val="61DE3691"/>
    <w:rsid w:val="61E14A1A"/>
    <w:rsid w:val="62EC5660"/>
    <w:rsid w:val="63777B58"/>
    <w:rsid w:val="63AD340D"/>
    <w:rsid w:val="63B34F48"/>
    <w:rsid w:val="63B91106"/>
    <w:rsid w:val="63FDE142"/>
    <w:rsid w:val="64147A71"/>
    <w:rsid w:val="64774FEF"/>
    <w:rsid w:val="649F0228"/>
    <w:rsid w:val="655674BA"/>
    <w:rsid w:val="657864B7"/>
    <w:rsid w:val="65BC4786"/>
    <w:rsid w:val="65C0028E"/>
    <w:rsid w:val="660D737A"/>
    <w:rsid w:val="66214C0F"/>
    <w:rsid w:val="67F5D92D"/>
    <w:rsid w:val="67FD51CC"/>
    <w:rsid w:val="683D07EA"/>
    <w:rsid w:val="686C7C68"/>
    <w:rsid w:val="68C0790F"/>
    <w:rsid w:val="69096CEA"/>
    <w:rsid w:val="6986766A"/>
    <w:rsid w:val="69AB2B19"/>
    <w:rsid w:val="69AB66A8"/>
    <w:rsid w:val="69F19586"/>
    <w:rsid w:val="6A1E2BD2"/>
    <w:rsid w:val="6A3D0497"/>
    <w:rsid w:val="6AC94C15"/>
    <w:rsid w:val="6AFA3143"/>
    <w:rsid w:val="6B52436C"/>
    <w:rsid w:val="6B774FCC"/>
    <w:rsid w:val="6B834B8C"/>
    <w:rsid w:val="6BB94C2C"/>
    <w:rsid w:val="6BFB7ADB"/>
    <w:rsid w:val="6C4909E0"/>
    <w:rsid w:val="6C5E2663"/>
    <w:rsid w:val="6D1422F6"/>
    <w:rsid w:val="6D155C89"/>
    <w:rsid w:val="6D255CF9"/>
    <w:rsid w:val="6D2B52C2"/>
    <w:rsid w:val="6DA07155"/>
    <w:rsid w:val="6DBB764D"/>
    <w:rsid w:val="6DF7BF26"/>
    <w:rsid w:val="6E1430FE"/>
    <w:rsid w:val="6E35021C"/>
    <w:rsid w:val="6E466BFF"/>
    <w:rsid w:val="6E717B99"/>
    <w:rsid w:val="6EF73094"/>
    <w:rsid w:val="6F3BFF47"/>
    <w:rsid w:val="6F571DE2"/>
    <w:rsid w:val="6F577DC4"/>
    <w:rsid w:val="6F7F73D6"/>
    <w:rsid w:val="6F7FADC2"/>
    <w:rsid w:val="6FA71163"/>
    <w:rsid w:val="6FB76873"/>
    <w:rsid w:val="6FD9DD6C"/>
    <w:rsid w:val="6FDD6E1B"/>
    <w:rsid w:val="6FDFDF30"/>
    <w:rsid w:val="6FF7053F"/>
    <w:rsid w:val="6FF7FFA3"/>
    <w:rsid w:val="70342C06"/>
    <w:rsid w:val="70492D95"/>
    <w:rsid w:val="704D66CD"/>
    <w:rsid w:val="7066220E"/>
    <w:rsid w:val="706F0F7C"/>
    <w:rsid w:val="70AE0551"/>
    <w:rsid w:val="70B170DF"/>
    <w:rsid w:val="70DF24C6"/>
    <w:rsid w:val="70FB08A7"/>
    <w:rsid w:val="71632544"/>
    <w:rsid w:val="71865535"/>
    <w:rsid w:val="71DC3E95"/>
    <w:rsid w:val="722D60B3"/>
    <w:rsid w:val="726B5B54"/>
    <w:rsid w:val="726E4C56"/>
    <w:rsid w:val="72ED53F4"/>
    <w:rsid w:val="737FB07C"/>
    <w:rsid w:val="73BFA3C9"/>
    <w:rsid w:val="73F513F1"/>
    <w:rsid w:val="73FF2690"/>
    <w:rsid w:val="73FFC539"/>
    <w:rsid w:val="740E1ABE"/>
    <w:rsid w:val="742749D3"/>
    <w:rsid w:val="74D44242"/>
    <w:rsid w:val="74E21239"/>
    <w:rsid w:val="751A0EF3"/>
    <w:rsid w:val="754831B9"/>
    <w:rsid w:val="75617787"/>
    <w:rsid w:val="769143AA"/>
    <w:rsid w:val="769403F9"/>
    <w:rsid w:val="76952736"/>
    <w:rsid w:val="7699FBDE"/>
    <w:rsid w:val="769B4F35"/>
    <w:rsid w:val="76AA45E5"/>
    <w:rsid w:val="76CB44CA"/>
    <w:rsid w:val="76CF4996"/>
    <w:rsid w:val="77772804"/>
    <w:rsid w:val="777C06B5"/>
    <w:rsid w:val="77C0129E"/>
    <w:rsid w:val="77D11AAD"/>
    <w:rsid w:val="77ED11B3"/>
    <w:rsid w:val="77FF3D8E"/>
    <w:rsid w:val="781D7CA7"/>
    <w:rsid w:val="786533D9"/>
    <w:rsid w:val="787F1EB7"/>
    <w:rsid w:val="78884C47"/>
    <w:rsid w:val="78B65DE0"/>
    <w:rsid w:val="78F077C5"/>
    <w:rsid w:val="793FAD2A"/>
    <w:rsid w:val="798E3D34"/>
    <w:rsid w:val="79996A65"/>
    <w:rsid w:val="7A676F76"/>
    <w:rsid w:val="7AA60198"/>
    <w:rsid w:val="7AFF9A90"/>
    <w:rsid w:val="7B016D2D"/>
    <w:rsid w:val="7B0A2FDB"/>
    <w:rsid w:val="7B271C6B"/>
    <w:rsid w:val="7B3017FF"/>
    <w:rsid w:val="7B6E3856"/>
    <w:rsid w:val="7BBF1BCB"/>
    <w:rsid w:val="7BFBC830"/>
    <w:rsid w:val="7BFD6EB2"/>
    <w:rsid w:val="7C006B56"/>
    <w:rsid w:val="7C3E3005"/>
    <w:rsid w:val="7C8C565D"/>
    <w:rsid w:val="7CAF3F61"/>
    <w:rsid w:val="7CBE3AEE"/>
    <w:rsid w:val="7CBF256A"/>
    <w:rsid w:val="7CFAED89"/>
    <w:rsid w:val="7D6F0883"/>
    <w:rsid w:val="7D7B4DBF"/>
    <w:rsid w:val="7DDC4AB9"/>
    <w:rsid w:val="7DE9155A"/>
    <w:rsid w:val="7DEC4C10"/>
    <w:rsid w:val="7DEFCF68"/>
    <w:rsid w:val="7DFF3B0F"/>
    <w:rsid w:val="7E4F3248"/>
    <w:rsid w:val="7EA24A5D"/>
    <w:rsid w:val="7ECB4BD4"/>
    <w:rsid w:val="7EF5DF40"/>
    <w:rsid w:val="7F1580C9"/>
    <w:rsid w:val="7F33AB47"/>
    <w:rsid w:val="7F5BBD33"/>
    <w:rsid w:val="7F77B3BB"/>
    <w:rsid w:val="7F7F6397"/>
    <w:rsid w:val="7F855723"/>
    <w:rsid w:val="7F9723A6"/>
    <w:rsid w:val="7F9F118A"/>
    <w:rsid w:val="7FC7DC25"/>
    <w:rsid w:val="7FD5DCF1"/>
    <w:rsid w:val="7FDF4308"/>
    <w:rsid w:val="7FE9F56F"/>
    <w:rsid w:val="7FEF3F26"/>
    <w:rsid w:val="7FEFB7DF"/>
    <w:rsid w:val="7FEFD2EF"/>
    <w:rsid w:val="7FFEE35D"/>
    <w:rsid w:val="7FFF2615"/>
    <w:rsid w:val="7FFF3E44"/>
    <w:rsid w:val="7FFFF6B5"/>
    <w:rsid w:val="93DF5013"/>
    <w:rsid w:val="95CFD43A"/>
    <w:rsid w:val="97BF9C8B"/>
    <w:rsid w:val="9F771B66"/>
    <w:rsid w:val="9F99A803"/>
    <w:rsid w:val="9FFA9A4D"/>
    <w:rsid w:val="A9E7035C"/>
    <w:rsid w:val="AA9F00AA"/>
    <w:rsid w:val="AD82038E"/>
    <w:rsid w:val="AF7F007D"/>
    <w:rsid w:val="AFC3277C"/>
    <w:rsid w:val="AFDDDC52"/>
    <w:rsid w:val="AFF58E5A"/>
    <w:rsid w:val="B15A6EF8"/>
    <w:rsid w:val="B6DF8D5B"/>
    <w:rsid w:val="B6FFD1A6"/>
    <w:rsid w:val="B7337C4C"/>
    <w:rsid w:val="BB1718E8"/>
    <w:rsid w:val="BBEED8BE"/>
    <w:rsid w:val="BD5FD628"/>
    <w:rsid w:val="BD75E794"/>
    <w:rsid w:val="BDFA10B1"/>
    <w:rsid w:val="BE7D8A3B"/>
    <w:rsid w:val="BFF59B43"/>
    <w:rsid w:val="BFF7D389"/>
    <w:rsid w:val="BFF9E1B2"/>
    <w:rsid w:val="C3FDF108"/>
    <w:rsid w:val="C614CE5E"/>
    <w:rsid w:val="C61E9BAF"/>
    <w:rsid w:val="C9BF7E02"/>
    <w:rsid w:val="CABF13DA"/>
    <w:rsid w:val="CDBECDC2"/>
    <w:rsid w:val="CE30D5A8"/>
    <w:rsid w:val="CEBEE675"/>
    <w:rsid w:val="D3DF5044"/>
    <w:rsid w:val="DE8F9956"/>
    <w:rsid w:val="DFBF200B"/>
    <w:rsid w:val="E3DBDBC3"/>
    <w:rsid w:val="E76E118E"/>
    <w:rsid w:val="E7FFA23A"/>
    <w:rsid w:val="E97B40B7"/>
    <w:rsid w:val="EACB87A1"/>
    <w:rsid w:val="EAEF2FF6"/>
    <w:rsid w:val="EDB18088"/>
    <w:rsid w:val="EDF5F42E"/>
    <w:rsid w:val="EE7F44D6"/>
    <w:rsid w:val="EF6E8DDD"/>
    <w:rsid w:val="EFB71808"/>
    <w:rsid w:val="EFBBC654"/>
    <w:rsid w:val="EFBE8A46"/>
    <w:rsid w:val="EFD594B1"/>
    <w:rsid w:val="EFFFB257"/>
    <w:rsid w:val="F276B8D3"/>
    <w:rsid w:val="F2FFEBE4"/>
    <w:rsid w:val="F3097430"/>
    <w:rsid w:val="F3BD5C03"/>
    <w:rsid w:val="F3EB1D2C"/>
    <w:rsid w:val="F6868A04"/>
    <w:rsid w:val="F7DF3701"/>
    <w:rsid w:val="F7EE23E6"/>
    <w:rsid w:val="F7FF44E4"/>
    <w:rsid w:val="F9EE2989"/>
    <w:rsid w:val="FA36E302"/>
    <w:rsid w:val="FB3FC5E4"/>
    <w:rsid w:val="FBCE2A19"/>
    <w:rsid w:val="FBF1E0C0"/>
    <w:rsid w:val="FBF99EF5"/>
    <w:rsid w:val="FDD5F7B2"/>
    <w:rsid w:val="FDFD1600"/>
    <w:rsid w:val="FDFFFB41"/>
    <w:rsid w:val="FE673429"/>
    <w:rsid w:val="FED3BFDD"/>
    <w:rsid w:val="FEDFC262"/>
    <w:rsid w:val="FEF7BD46"/>
    <w:rsid w:val="FEFBD721"/>
    <w:rsid w:val="FEFFC37F"/>
    <w:rsid w:val="FF794F6B"/>
    <w:rsid w:val="FF7F7D08"/>
    <w:rsid w:val="FFD7AD4E"/>
    <w:rsid w:val="FFEF9599"/>
    <w:rsid w:val="FFF7AA39"/>
    <w:rsid w:val="FFFCBCA4"/>
    <w:rsid w:val="FFFD44C4"/>
    <w:rsid w:val="FFFF10BB"/>
    <w:rsid w:val="FFFFE6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2">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styleId="4">
    <w:name w:val="Body Text Indent"/>
    <w:basedOn w:val="1"/>
    <w:link w:val="17"/>
    <w:qFormat/>
    <w:uiPriority w:val="99"/>
    <w:pPr>
      <w:spacing w:after="120"/>
      <w:ind w:left="420" w:leftChars="200"/>
    </w:pPr>
  </w:style>
  <w:style w:type="paragraph" w:styleId="5">
    <w:name w:val="Date"/>
    <w:basedOn w:val="1"/>
    <w:next w:val="1"/>
    <w:link w:val="18"/>
    <w:semiHidden/>
    <w:qFormat/>
    <w:uiPriority w:val="99"/>
    <w:pPr>
      <w:ind w:left="100" w:leftChars="2500"/>
    </w:pPr>
  </w:style>
  <w:style w:type="paragraph" w:styleId="6">
    <w:name w:val="footer"/>
    <w:basedOn w:val="1"/>
    <w:link w:val="19"/>
    <w:semiHidden/>
    <w:qFormat/>
    <w:uiPriority w:val="99"/>
    <w:pPr>
      <w:tabs>
        <w:tab w:val="center" w:pos="4153"/>
        <w:tab w:val="right" w:pos="8306"/>
      </w:tabs>
      <w:snapToGrid w:val="0"/>
      <w:jc w:val="left"/>
    </w:pPr>
    <w:rPr>
      <w:rFonts w:ascii="Calibri" w:hAnsi="Calibri" w:eastAsia="宋体"/>
      <w:sz w:val="18"/>
      <w:szCs w:val="18"/>
    </w:rPr>
  </w:style>
  <w:style w:type="paragraph" w:styleId="7">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8">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2"/>
    <w:basedOn w:val="4"/>
    <w:link w:val="22"/>
    <w:qFormat/>
    <w:uiPriority w:val="99"/>
    <w:pPr>
      <w:ind w:firstLine="420" w:firstLineChars="200"/>
    </w:pPr>
  </w:style>
  <w:style w:type="table" w:styleId="11">
    <w:name w:val="Table Grid"/>
    <w:basedOn w:val="10"/>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99"/>
    <w:rPr>
      <w:rFonts w:cs="Times New Roman"/>
    </w:rPr>
  </w:style>
  <w:style w:type="character" w:styleId="14">
    <w:name w:val="Hyperlink"/>
    <w:basedOn w:val="12"/>
    <w:semiHidden/>
    <w:qFormat/>
    <w:uiPriority w:val="99"/>
    <w:rPr>
      <w:rFonts w:cs="Times New Roman"/>
      <w:color w:val="0000FF"/>
      <w:u w:val="single"/>
    </w:rPr>
  </w:style>
  <w:style w:type="paragraph" w:customStyle="1" w:styleId="15">
    <w:name w:val="标4"/>
    <w:basedOn w:val="16"/>
    <w:next w:val="1"/>
    <w:qFormat/>
    <w:uiPriority w:val="0"/>
    <w:pPr>
      <w:adjustRightInd w:val="0"/>
      <w:spacing w:before="240" w:after="360" w:line="240" w:lineRule="exact"/>
      <w:ind w:firstLine="0" w:firstLineChars="0"/>
      <w:outlineLvl w:val="3"/>
    </w:pPr>
    <w:rPr>
      <w:rFonts w:ascii="Arial" w:hAnsi="Arial" w:cs="Arial"/>
      <w:kern w:val="24"/>
    </w:rPr>
  </w:style>
  <w:style w:type="paragraph" w:customStyle="1" w:styleId="16">
    <w:name w:val="标3"/>
    <w:basedOn w:val="1"/>
    <w:qFormat/>
    <w:uiPriority w:val="0"/>
    <w:pPr>
      <w:adjustRightInd w:val="0"/>
      <w:spacing w:before="360" w:beforeLines="0" w:after="360" w:afterLines="0" w:line="240" w:lineRule="exact"/>
      <w:jc w:val="left"/>
      <w:outlineLvl w:val="2"/>
    </w:pPr>
    <w:rPr>
      <w:rFonts w:ascii="Arial" w:hAnsi="Arial"/>
      <w:b/>
      <w:bCs/>
      <w:kern w:val="24"/>
      <w:sz w:val="24"/>
      <w:szCs w:val="24"/>
    </w:rPr>
  </w:style>
  <w:style w:type="character" w:customStyle="1" w:styleId="17">
    <w:name w:val="Body Text Indent Char"/>
    <w:basedOn w:val="12"/>
    <w:link w:val="4"/>
    <w:qFormat/>
    <w:locked/>
    <w:uiPriority w:val="99"/>
    <w:rPr>
      <w:rFonts w:ascii="Times New Roman" w:hAnsi="Times New Roman" w:eastAsia="仿宋_GB2312" w:cs="Times New Roman"/>
      <w:sz w:val="32"/>
      <w:szCs w:val="32"/>
    </w:rPr>
  </w:style>
  <w:style w:type="character" w:customStyle="1" w:styleId="18">
    <w:name w:val="Date Char"/>
    <w:basedOn w:val="12"/>
    <w:link w:val="5"/>
    <w:semiHidden/>
    <w:qFormat/>
    <w:locked/>
    <w:uiPriority w:val="99"/>
    <w:rPr>
      <w:rFonts w:ascii="Times New Roman" w:hAnsi="Times New Roman" w:eastAsia="仿宋_GB2312" w:cs="Times New Roman"/>
      <w:sz w:val="32"/>
      <w:szCs w:val="32"/>
    </w:rPr>
  </w:style>
  <w:style w:type="character" w:customStyle="1" w:styleId="19">
    <w:name w:val="Footer Char"/>
    <w:basedOn w:val="12"/>
    <w:link w:val="6"/>
    <w:semiHidden/>
    <w:qFormat/>
    <w:locked/>
    <w:uiPriority w:val="99"/>
    <w:rPr>
      <w:rFonts w:cs="Times New Roman"/>
      <w:sz w:val="18"/>
      <w:szCs w:val="18"/>
    </w:rPr>
  </w:style>
  <w:style w:type="character" w:customStyle="1" w:styleId="20">
    <w:name w:val="Header Char"/>
    <w:basedOn w:val="12"/>
    <w:link w:val="7"/>
    <w:semiHidden/>
    <w:qFormat/>
    <w:locked/>
    <w:uiPriority w:val="99"/>
    <w:rPr>
      <w:rFonts w:cs="Times New Roman"/>
      <w:sz w:val="18"/>
      <w:szCs w:val="18"/>
    </w:rPr>
  </w:style>
  <w:style w:type="paragraph" w:styleId="21">
    <w:name w:val="List Paragraph"/>
    <w:basedOn w:val="1"/>
    <w:qFormat/>
    <w:uiPriority w:val="99"/>
    <w:pPr>
      <w:ind w:firstLine="420" w:firstLineChars="200"/>
    </w:pPr>
    <w:rPr>
      <w:rFonts w:ascii="Calibri" w:hAnsi="Calibri" w:eastAsia="宋体"/>
      <w:sz w:val="21"/>
      <w:szCs w:val="22"/>
    </w:rPr>
  </w:style>
  <w:style w:type="character" w:customStyle="1" w:styleId="22">
    <w:name w:val="Body Text First Indent 2 Char"/>
    <w:basedOn w:val="17"/>
    <w:link w:val="9"/>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China</Company>
  <Pages>13</Pages>
  <Words>6245</Words>
  <Characters>6569</Characters>
  <Lines>0</Lines>
  <Paragraphs>0</Paragraphs>
  <TotalTime>1</TotalTime>
  <ScaleCrop>false</ScaleCrop>
  <LinksUpToDate>false</LinksUpToDate>
  <CharactersWithSpaces>6589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2021-07-17T22:20:00Z</dcterms:created>
  <dc:creator>Windows 用户</dc:creator>
  <cp:lastModifiedBy>踏雪无痕</cp:lastModifiedBy>
  <cp:lastPrinted>2025-09-05T15:28:00Z</cp:lastPrinted>
  <dcterms:modified xsi:type="dcterms:W3CDTF">2025-09-08T07:39:18Z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E1DD147294A048E28F0C7A7DFCAF47FF</vt:lpwstr>
  </property>
  <property fmtid="{D5CDD505-2E9C-101B-9397-08002B2CF9AE}" pid="4" name="KSOTemplateDocerSaveRecord">
    <vt:lpwstr>eyJoZGlkIjoiZGRmNWQyZmZkOTk1ZTBhZDA0MjZmZTgzYTU1ZGU3MTciLCJ1c2VySWQiOiIxMTUyMTU1MDU4In0=</vt:lpwstr>
  </property>
</Properties>
</file>