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eastAsia="黑体" w:cs="Times New Roman"/>
          <w:color w:val="auto"/>
          <w:spacing w:val="11"/>
          <w:kern w:val="0"/>
          <w:sz w:val="32"/>
          <w:szCs w:val="32"/>
        </w:rPr>
      </w:pPr>
      <w:bookmarkStart w:id="0" w:name="_GoBack"/>
      <w:bookmarkEnd w:id="0"/>
      <w:r>
        <w:rPr>
          <w:rFonts w:hint="default" w:ascii="Times New Roman" w:hAnsi="Times New Roman" w:eastAsia="黑体" w:cs="Times New Roman"/>
          <w:color w:val="auto"/>
          <w:spacing w:val="11"/>
          <w:kern w:val="0"/>
          <w:sz w:val="32"/>
          <w:szCs w:val="32"/>
        </w:rPr>
        <w:t>附件</w:t>
      </w:r>
    </w:p>
    <w:p>
      <w:pPr>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eastAsia="黑体" w:cs="Times New Roman"/>
          <w:color w:val="auto"/>
          <w:spacing w:val="11"/>
          <w:kern w:val="0"/>
          <w:sz w:val="32"/>
          <w:szCs w:val="32"/>
        </w:rPr>
      </w:pP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color w:val="auto"/>
          <w:kern w:val="0"/>
          <w:sz w:val="44"/>
          <w:szCs w:val="44"/>
          <w:lang w:eastAsia="zh-CN"/>
        </w:rPr>
      </w:pPr>
      <w:r>
        <w:rPr>
          <w:rFonts w:hint="default" w:ascii="Times New Roman" w:hAnsi="Times New Roman" w:eastAsia="方正小标宋_GBK" w:cs="Times New Roman"/>
          <w:color w:val="auto"/>
          <w:kern w:val="0"/>
          <w:sz w:val="44"/>
          <w:szCs w:val="44"/>
        </w:rPr>
        <w:t>政务公开工作问题</w:t>
      </w:r>
      <w:r>
        <w:rPr>
          <w:rFonts w:hint="default" w:ascii="Times New Roman" w:hAnsi="Times New Roman" w:eastAsia="方正小标宋_GBK" w:cs="Times New Roman"/>
          <w:color w:val="auto"/>
          <w:kern w:val="0"/>
          <w:sz w:val="44"/>
          <w:szCs w:val="44"/>
          <w:lang w:eastAsia="zh-CN"/>
        </w:rPr>
        <w:t>清单</w:t>
      </w:r>
    </w:p>
    <w:p>
      <w:pPr>
        <w:pStyle w:val="6"/>
        <w:keepNext w:val="0"/>
        <w:keepLines w:val="0"/>
        <w:pageBreakBefore w:val="0"/>
        <w:widowControl w:val="0"/>
        <w:numPr>
          <w:ilvl w:val="0"/>
          <w:numId w:val="1"/>
        </w:numPr>
        <w:kinsoku/>
        <w:wordWrap/>
        <w:overflowPunct/>
        <w:topLinePunct w:val="0"/>
        <w:autoSpaceDE/>
        <w:autoSpaceDN/>
        <w:bidi w:val="0"/>
        <w:adjustRightInd w:val="0"/>
        <w:spacing w:line="600" w:lineRule="exact"/>
        <w:textAlignment w:val="auto"/>
        <w:rPr>
          <w:rFonts w:hint="eastAsia" w:ascii="Times New Roman" w:hAnsi="Times New Roman" w:eastAsia="黑体" w:cs="Times New Roman"/>
          <w:b w:val="0"/>
          <w:bCs w:val="0"/>
          <w:color w:val="auto"/>
          <w:sz w:val="32"/>
          <w:szCs w:val="32"/>
          <w:highlight w:val="none"/>
          <w:lang w:val="en-US" w:eastAsia="zh-CN"/>
        </w:rPr>
      </w:pPr>
      <w:r>
        <w:rPr>
          <w:rFonts w:hint="eastAsia" w:ascii="Times New Roman" w:hAnsi="Times New Roman" w:eastAsia="黑体" w:cs="Times New Roman"/>
          <w:b w:val="0"/>
          <w:bCs w:val="0"/>
          <w:color w:val="auto"/>
          <w:sz w:val="32"/>
          <w:szCs w:val="32"/>
          <w:highlight w:val="none"/>
          <w:lang w:val="en-US" w:eastAsia="zh-CN"/>
        </w:rPr>
        <w:t>法定主动公开内容检查情况</w:t>
      </w:r>
    </w:p>
    <w:p>
      <w:pPr>
        <w:pStyle w:val="6"/>
        <w:keepNext w:val="0"/>
        <w:keepLines w:val="0"/>
        <w:pageBreakBefore w:val="0"/>
        <w:widowControl w:val="0"/>
        <w:numPr>
          <w:ilvl w:val="0"/>
          <w:numId w:val="0"/>
        </w:numPr>
        <w:kinsoku/>
        <w:wordWrap/>
        <w:overflowPunct/>
        <w:topLinePunct w:val="0"/>
        <w:autoSpaceDE/>
        <w:autoSpaceDN/>
        <w:bidi w:val="0"/>
        <w:adjustRightInd w:val="0"/>
        <w:spacing w:line="600" w:lineRule="exact"/>
        <w:ind w:firstLine="640" w:firstLineChars="200"/>
        <w:textAlignment w:val="auto"/>
        <w:rPr>
          <w:rFonts w:hint="default" w:ascii="Times New Roman" w:hAnsi="Times New Roman" w:eastAsia="仿宋_GB2312" w:cs="Times New Roman"/>
          <w:color w:val="auto"/>
          <w:kern w:val="0"/>
          <w:sz w:val="32"/>
          <w:szCs w:val="32"/>
          <w:highlight w:val="none"/>
          <w:lang w:bidi="ar"/>
        </w:rPr>
      </w:pPr>
      <w:r>
        <w:rPr>
          <w:rFonts w:hint="eastAsia" w:ascii="Times New Roman" w:hAnsi="Times New Roman" w:eastAsia="仿宋_GB2312" w:cs="Times New Roman"/>
          <w:color w:val="auto"/>
          <w:kern w:val="0"/>
          <w:sz w:val="32"/>
          <w:szCs w:val="32"/>
          <w:highlight w:val="none"/>
          <w:lang w:val="en-US" w:eastAsia="zh-CN" w:bidi="ar"/>
        </w:rPr>
        <w:t>1.</w:t>
      </w:r>
      <w:r>
        <w:rPr>
          <w:rFonts w:hint="eastAsia" w:ascii="Times New Roman" w:hAnsi="Times New Roman" w:eastAsia="仿宋_GB2312" w:cs="Times New Roman"/>
          <w:color w:val="auto"/>
          <w:kern w:val="0"/>
          <w:sz w:val="32"/>
          <w:szCs w:val="32"/>
          <w:highlight w:val="none"/>
          <w:lang w:eastAsia="zh-CN" w:bidi="ar"/>
        </w:rPr>
        <w:t>公务员</w:t>
      </w:r>
      <w:r>
        <w:rPr>
          <w:rFonts w:hint="default" w:ascii="Times New Roman" w:hAnsi="Times New Roman" w:eastAsia="仿宋_GB2312" w:cs="Times New Roman"/>
          <w:color w:val="auto"/>
          <w:kern w:val="0"/>
          <w:sz w:val="32"/>
          <w:szCs w:val="32"/>
          <w:highlight w:val="none"/>
          <w:lang w:bidi="ar"/>
        </w:rPr>
        <w:t>招考信息未公开</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仅公开“湖南省2023年考试录用公务员补充录用公告”，未公开“湖南省2023年考试录用公务员公告”</w:t>
      </w:r>
      <w:r>
        <w:rPr>
          <w:rFonts w:hint="eastAsia" w:ascii="Times New Roman" w:hAnsi="Times New Roman" w:eastAsia="仿宋_GB2312" w:cs="Times New Roman"/>
          <w:color w:val="auto"/>
          <w:sz w:val="32"/>
          <w:szCs w:val="32"/>
          <w:highlight w:val="none"/>
          <w:lang w:val="en-US" w:eastAsia="zh-CN"/>
        </w:rPr>
        <w:t>。（整改责任单位：区委组织部）</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2.养老服务领域</w:t>
      </w:r>
      <w:r>
        <w:rPr>
          <w:rFonts w:hint="default" w:ascii="Times New Roman" w:hAnsi="Times New Roman" w:eastAsia="仿宋_GB2312" w:cs="Times New Roman"/>
          <w:color w:val="auto"/>
          <w:sz w:val="32"/>
          <w:szCs w:val="32"/>
          <w:highlight w:val="none"/>
        </w:rPr>
        <w:t>公开内容未更新</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未及时更新2023年养老服务领域相关信息，如“养老”领域基层政务公开信息标准目录或本级政府“养老服务”补贴（如高龄补贴、养老机构运营补贴等）结果信息</w:t>
      </w:r>
      <w:r>
        <w:rPr>
          <w:rFonts w:hint="eastAsia" w:ascii="Times New Roman" w:hAnsi="Times New Roman" w:eastAsia="仿宋_GB2312" w:cs="Times New Roman"/>
          <w:color w:val="auto"/>
          <w:sz w:val="32"/>
          <w:szCs w:val="32"/>
          <w:highlight w:val="none"/>
          <w:lang w:eastAsia="zh-CN"/>
        </w:rPr>
        <w:t>。（整改责任单位：区民政局）</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3.义务教育领域</w:t>
      </w:r>
      <w:r>
        <w:rPr>
          <w:rFonts w:hint="default" w:ascii="Times New Roman" w:hAnsi="Times New Roman" w:eastAsia="仿宋_GB2312" w:cs="Times New Roman"/>
          <w:color w:val="auto"/>
          <w:sz w:val="32"/>
          <w:szCs w:val="32"/>
          <w:highlight w:val="none"/>
        </w:rPr>
        <w:t>公开内容未更新</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未及时更新2023年义务教育领域相关信息，如义务教育领域基层政务公开信息标准目录或义务教育阶段招生政策（含招生计划、招生范围信息等）或</w:t>
      </w:r>
      <w:r>
        <w:rPr>
          <w:rFonts w:hint="default" w:ascii="Times New Roman" w:hAnsi="Times New Roman" w:eastAsia="仿宋_GB2312" w:cs="Times New Roman"/>
          <w:color w:val="auto"/>
          <w:sz w:val="32"/>
          <w:szCs w:val="32"/>
          <w:highlight w:val="none"/>
          <w:lang w:eastAsia="zh-CN"/>
        </w:rPr>
        <w:t>义务教育阶段学生优待</w:t>
      </w:r>
      <w:r>
        <w:rPr>
          <w:rFonts w:hint="default" w:ascii="Times New Roman" w:hAnsi="Times New Roman" w:eastAsia="仿宋_GB2312" w:cs="Times New Roman"/>
          <w:color w:val="auto"/>
          <w:sz w:val="32"/>
          <w:szCs w:val="32"/>
          <w:highlight w:val="none"/>
        </w:rPr>
        <w:t>、困难学生资助政策等。</w:t>
      </w:r>
      <w:r>
        <w:rPr>
          <w:rFonts w:hint="eastAsia" w:ascii="Times New Roman" w:hAnsi="Times New Roman" w:eastAsia="仿宋_GB2312" w:cs="Times New Roman"/>
          <w:color w:val="auto"/>
          <w:sz w:val="32"/>
          <w:szCs w:val="32"/>
          <w:highlight w:val="none"/>
          <w:lang w:eastAsia="zh-CN"/>
        </w:rPr>
        <w:t>（整改责任单位：区教育局）</w:t>
      </w:r>
    </w:p>
    <w:p>
      <w:pPr>
        <w:pStyle w:val="6"/>
        <w:keepNext w:val="0"/>
        <w:keepLines w:val="0"/>
        <w:pageBreakBefore w:val="0"/>
        <w:widowControl w:val="0"/>
        <w:numPr>
          <w:ilvl w:val="0"/>
          <w:numId w:val="0"/>
        </w:numPr>
        <w:kinsoku/>
        <w:wordWrap/>
        <w:overflowPunct/>
        <w:topLinePunct w:val="0"/>
        <w:autoSpaceDE/>
        <w:autoSpaceDN/>
        <w:bidi w:val="0"/>
        <w:adjustRightInd w:val="0"/>
        <w:spacing w:line="600" w:lineRule="exact"/>
        <w:textAlignment w:val="auto"/>
        <w:rPr>
          <w:rFonts w:hint="default" w:ascii="Times New Roman" w:hAnsi="Times New Roman" w:eastAsia="黑体" w:cs="Times New Roman"/>
          <w:b w:val="0"/>
          <w:bCs w:val="0"/>
          <w:color w:val="auto"/>
          <w:sz w:val="32"/>
          <w:szCs w:val="32"/>
          <w:highlight w:val="none"/>
        </w:rPr>
      </w:pPr>
      <w:r>
        <w:rPr>
          <w:rFonts w:hint="eastAsia" w:ascii="Times New Roman" w:hAnsi="Times New Roman" w:eastAsia="黑体" w:cs="Times New Roman"/>
          <w:b w:val="0"/>
          <w:bCs w:val="0"/>
          <w:color w:val="auto"/>
          <w:sz w:val="32"/>
          <w:szCs w:val="32"/>
          <w:highlight w:val="none"/>
          <w:lang w:eastAsia="zh-CN"/>
        </w:rPr>
        <w:t>二、基层政务公开专栏检查情况</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kern w:val="0"/>
          <w:sz w:val="32"/>
          <w:szCs w:val="32"/>
          <w:highlight w:val="none"/>
          <w:lang w:eastAsia="zh-CN" w:bidi="ar"/>
        </w:rPr>
      </w:pPr>
      <w:r>
        <w:rPr>
          <w:rFonts w:hint="eastAsia" w:ascii="Times New Roman" w:hAnsi="Times New Roman" w:eastAsia="仿宋_GB2312" w:cs="Times New Roman"/>
          <w:color w:val="auto"/>
          <w:kern w:val="0"/>
          <w:sz w:val="32"/>
          <w:szCs w:val="32"/>
          <w:highlight w:val="none"/>
          <w:lang w:val="en-US" w:eastAsia="zh-CN" w:bidi="ar"/>
        </w:rPr>
        <w:t>1.</w:t>
      </w:r>
      <w:r>
        <w:rPr>
          <w:rFonts w:hint="default" w:ascii="Times New Roman" w:hAnsi="Times New Roman" w:eastAsia="仿宋_GB2312" w:cs="Times New Roman"/>
          <w:color w:val="auto"/>
          <w:kern w:val="0"/>
          <w:sz w:val="32"/>
          <w:szCs w:val="32"/>
          <w:highlight w:val="none"/>
          <w:lang w:bidi="ar"/>
        </w:rPr>
        <w:t>交通运输领域未对照目录全面公开</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kern w:val="0"/>
          <w:sz w:val="32"/>
          <w:szCs w:val="32"/>
          <w:highlight w:val="none"/>
          <w:lang w:eastAsia="zh-CN" w:bidi="ar"/>
        </w:rPr>
      </w:pPr>
      <w:r>
        <w:rPr>
          <w:rFonts w:hint="default" w:ascii="Times New Roman" w:hAnsi="Times New Roman" w:eastAsia="仿宋_GB2312" w:cs="Times New Roman"/>
          <w:color w:val="auto"/>
          <w:sz w:val="32"/>
          <w:szCs w:val="32"/>
          <w:highlight w:val="none"/>
        </w:rPr>
        <w:t>交通领域基层政务公开目录中二级事项“建设计划和补助政策信息”</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专栏未全面公开</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kern w:val="0"/>
          <w:sz w:val="32"/>
          <w:szCs w:val="32"/>
          <w:highlight w:val="none"/>
          <w:lang w:eastAsia="zh-CN" w:bidi="ar"/>
        </w:rPr>
        <w:t>（整改责任单位：区交通局）</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default"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2.旅游领域</w:t>
      </w:r>
      <w:r>
        <w:rPr>
          <w:rFonts w:hint="default" w:ascii="Times New Roman" w:hAnsi="Times New Roman" w:eastAsia="仿宋_GB2312" w:cs="Times New Roman"/>
          <w:color w:val="auto"/>
          <w:kern w:val="2"/>
          <w:sz w:val="32"/>
          <w:szCs w:val="32"/>
          <w:highlight w:val="none"/>
          <w:lang w:val="en-US" w:eastAsia="zh-CN" w:bidi="ar-SA"/>
        </w:rPr>
        <w:t>未对照目录全面、及时公开</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旅游领域基层政务公开目录中二级事项“旅游提示警示信息”，专栏未全面公开</w:t>
      </w:r>
      <w:r>
        <w:rPr>
          <w:rFonts w:hint="eastAsia" w:ascii="Times New Roman" w:hAnsi="Times New Roman" w:eastAsia="仿宋_GB2312" w:cs="Times New Roman"/>
          <w:color w:val="auto"/>
          <w:kern w:val="2"/>
          <w:sz w:val="32"/>
          <w:szCs w:val="32"/>
          <w:highlight w:val="none"/>
          <w:lang w:val="en-US" w:eastAsia="zh-CN" w:bidi="ar-SA"/>
        </w:rPr>
        <w:t>。（责任整改单位：区文旅广体局）</w:t>
      </w:r>
    </w:p>
    <w:p>
      <w:pPr>
        <w:pStyle w:val="6"/>
        <w:keepNext w:val="0"/>
        <w:keepLines w:val="0"/>
        <w:pageBreakBefore w:val="0"/>
        <w:widowControl w:val="0"/>
        <w:numPr>
          <w:ilvl w:val="0"/>
          <w:numId w:val="0"/>
        </w:numPr>
        <w:kinsoku/>
        <w:wordWrap/>
        <w:overflowPunct/>
        <w:topLinePunct w:val="0"/>
        <w:autoSpaceDE/>
        <w:autoSpaceDN/>
        <w:bidi w:val="0"/>
        <w:adjustRightInd w:val="0"/>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3.水利领域</w:t>
      </w:r>
      <w:r>
        <w:rPr>
          <w:rFonts w:hint="default" w:ascii="Times New Roman" w:hAnsi="Times New Roman" w:eastAsia="仿宋_GB2312" w:cs="Times New Roman"/>
          <w:color w:val="auto"/>
          <w:kern w:val="2"/>
          <w:sz w:val="32"/>
          <w:szCs w:val="32"/>
          <w:highlight w:val="none"/>
          <w:lang w:val="en-US" w:eastAsia="zh-CN" w:bidi="ar-SA"/>
        </w:rPr>
        <w:t>未对照目录全面公开</w:t>
      </w:r>
    </w:p>
    <w:p>
      <w:pPr>
        <w:pStyle w:val="6"/>
        <w:keepNext w:val="0"/>
        <w:keepLines w:val="0"/>
        <w:pageBreakBefore w:val="0"/>
        <w:widowControl w:val="0"/>
        <w:numPr>
          <w:ilvl w:val="0"/>
          <w:numId w:val="0"/>
        </w:numPr>
        <w:kinsoku/>
        <w:wordWrap/>
        <w:overflowPunct/>
        <w:topLinePunct w:val="0"/>
        <w:autoSpaceDE/>
        <w:autoSpaceDN/>
        <w:bidi w:val="0"/>
        <w:adjustRightInd w:val="0"/>
        <w:spacing w:line="600" w:lineRule="exact"/>
        <w:ind w:firstLine="640" w:firstLineChars="200"/>
        <w:textAlignment w:val="auto"/>
        <w:rPr>
          <w:rFonts w:hint="eastAsia"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水利领域基层政务公开目录二级事项“水利规划”</w:t>
      </w:r>
      <w:r>
        <w:rPr>
          <w:rFonts w:hint="eastAsia"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kern w:val="2"/>
          <w:sz w:val="32"/>
          <w:szCs w:val="32"/>
          <w:highlight w:val="none"/>
          <w:lang w:val="en-US" w:eastAsia="zh-CN" w:bidi="ar-SA"/>
        </w:rPr>
        <w:t>专栏未全面公开</w:t>
      </w:r>
      <w:r>
        <w:rPr>
          <w:rFonts w:hint="eastAsia" w:ascii="Times New Roman" w:hAnsi="Times New Roman" w:eastAsia="仿宋_GB2312" w:cs="Times New Roman"/>
          <w:color w:val="auto"/>
          <w:kern w:val="2"/>
          <w:sz w:val="32"/>
          <w:szCs w:val="32"/>
          <w:highlight w:val="none"/>
          <w:lang w:val="en-US" w:eastAsia="zh-CN" w:bidi="ar-SA"/>
        </w:rPr>
        <w:t>。（责任整改单位：区水利局）</w:t>
      </w:r>
    </w:p>
    <w:p>
      <w:pPr>
        <w:pStyle w:val="6"/>
        <w:keepNext w:val="0"/>
        <w:keepLines w:val="0"/>
        <w:pageBreakBefore w:val="0"/>
        <w:widowControl w:val="0"/>
        <w:numPr>
          <w:ilvl w:val="0"/>
          <w:numId w:val="0"/>
        </w:numPr>
        <w:kinsoku/>
        <w:wordWrap/>
        <w:overflowPunct/>
        <w:topLinePunct w:val="0"/>
        <w:autoSpaceDE/>
        <w:autoSpaceDN/>
        <w:bidi w:val="0"/>
        <w:adjustRightInd w:val="0"/>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4.</w:t>
      </w:r>
      <w:r>
        <w:rPr>
          <w:rFonts w:hint="default" w:ascii="Times New Roman" w:hAnsi="Times New Roman" w:eastAsia="仿宋_GB2312" w:cs="Times New Roman"/>
          <w:color w:val="auto"/>
          <w:kern w:val="2"/>
          <w:sz w:val="32"/>
          <w:szCs w:val="32"/>
          <w:highlight w:val="none"/>
          <w:lang w:val="en-US" w:eastAsia="zh-CN" w:bidi="ar-SA"/>
        </w:rPr>
        <w:t>食品药品监管领域未对照目录全面公开</w:t>
      </w:r>
    </w:p>
    <w:p>
      <w:pPr>
        <w:pStyle w:val="6"/>
        <w:keepNext w:val="0"/>
        <w:keepLines w:val="0"/>
        <w:pageBreakBefore w:val="0"/>
        <w:widowControl w:val="0"/>
        <w:numPr>
          <w:ilvl w:val="0"/>
          <w:numId w:val="0"/>
        </w:numPr>
        <w:kinsoku/>
        <w:wordWrap/>
        <w:overflowPunct/>
        <w:topLinePunct w:val="0"/>
        <w:autoSpaceDE/>
        <w:autoSpaceDN/>
        <w:bidi w:val="0"/>
        <w:adjustRightInd w:val="0"/>
        <w:spacing w:line="600" w:lineRule="exact"/>
        <w:ind w:firstLine="640" w:firstLineChars="200"/>
        <w:textAlignment w:val="auto"/>
        <w:rPr>
          <w:rFonts w:hint="eastAsia"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食品药品监管领域基层政务公开目录二级事项“食品生产经营许可基本信息”“药品零售许可企业基本信息”及本年度食品药品监管检查工作计划，专栏未全面公开</w:t>
      </w:r>
      <w:r>
        <w:rPr>
          <w:rFonts w:hint="eastAsia" w:ascii="Times New Roman" w:hAnsi="Times New Roman" w:eastAsia="仿宋_GB2312" w:cs="Times New Roman"/>
          <w:color w:val="auto"/>
          <w:kern w:val="2"/>
          <w:sz w:val="32"/>
          <w:szCs w:val="32"/>
          <w:highlight w:val="none"/>
          <w:lang w:val="en-US" w:eastAsia="zh-CN" w:bidi="ar-SA"/>
        </w:rPr>
        <w:t xml:space="preserve">。（责任整改单位：区市场局）  </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5.养老服务领域</w:t>
      </w:r>
      <w:r>
        <w:rPr>
          <w:rFonts w:hint="default" w:ascii="Times New Roman" w:hAnsi="Times New Roman" w:eastAsia="仿宋_GB2312" w:cs="Times New Roman"/>
          <w:color w:val="auto"/>
          <w:kern w:val="2"/>
          <w:sz w:val="32"/>
          <w:szCs w:val="32"/>
          <w:highlight w:val="none"/>
          <w:lang w:val="en-US" w:eastAsia="zh-CN" w:bidi="ar-SA"/>
        </w:rPr>
        <w:t>未对照目录全面公开</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养老服务领域基层政务公开参考目录一级事项“养老服务业务办理</w:t>
      </w:r>
      <w:r>
        <w:rPr>
          <w:rFonts w:hint="eastAsia"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kern w:val="2"/>
          <w:sz w:val="32"/>
          <w:szCs w:val="32"/>
          <w:highlight w:val="none"/>
          <w:lang w:val="en-US" w:eastAsia="zh-CN" w:bidi="ar-SA"/>
        </w:rPr>
        <w:t>二级事项“养老服务扶持补贴”，专栏未全面公开</w:t>
      </w:r>
      <w:r>
        <w:rPr>
          <w:rFonts w:hint="eastAsia" w:ascii="Times New Roman" w:hAnsi="Times New Roman" w:eastAsia="仿宋_GB2312" w:cs="Times New Roman"/>
          <w:color w:val="auto"/>
          <w:kern w:val="2"/>
          <w:sz w:val="32"/>
          <w:szCs w:val="32"/>
          <w:highlight w:val="none"/>
          <w:lang w:val="en-US" w:eastAsia="zh-CN" w:bidi="ar-SA"/>
        </w:rPr>
        <w:t>。（整改责任单位：区民政局）</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default"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四、</w:t>
      </w:r>
      <w:r>
        <w:rPr>
          <w:rFonts w:hint="default" w:ascii="Times New Roman" w:hAnsi="Times New Roman" w:eastAsia="仿宋_GB2312" w:cs="Times New Roman"/>
          <w:color w:val="auto"/>
          <w:kern w:val="2"/>
          <w:sz w:val="32"/>
          <w:szCs w:val="32"/>
          <w:highlight w:val="none"/>
          <w:lang w:val="en-US" w:eastAsia="zh-CN" w:bidi="ar-SA"/>
        </w:rPr>
        <w:t>依申请公开答复不规范</w:t>
      </w:r>
      <w:r>
        <w:rPr>
          <w:rFonts w:hint="eastAsia" w:ascii="Times New Roman" w:hAnsi="Times New Roman" w:eastAsia="仿宋_GB2312" w:cs="Times New Roman"/>
          <w:color w:val="auto"/>
          <w:kern w:val="2"/>
          <w:sz w:val="32"/>
          <w:szCs w:val="32"/>
          <w:highlight w:val="none"/>
          <w:lang w:val="en-US" w:eastAsia="zh-CN" w:bidi="ar-SA"/>
        </w:rPr>
        <w:t>情况</w:t>
      </w:r>
    </w:p>
    <w:p>
      <w:pPr>
        <w:ind w:firstLine="640" w:firstLineChars="200"/>
        <w:rPr>
          <w:rFonts w:hint="eastAsia" w:eastAsia="仿宋_GB2312"/>
          <w:color w:val="auto"/>
          <w:lang w:eastAsia="zh-CN"/>
        </w:rPr>
      </w:pPr>
      <w:r>
        <w:rPr>
          <w:rFonts w:hint="eastAsia" w:ascii="Times New Roman" w:hAnsi="Times New Roman" w:eastAsia="仿宋_GB2312" w:cs="Times New Roman"/>
          <w:color w:val="auto"/>
          <w:sz w:val="32"/>
          <w:szCs w:val="32"/>
          <w:highlight w:val="none"/>
          <w:lang w:eastAsia="zh-CN"/>
        </w:rPr>
        <w:t>部分单位</w:t>
      </w:r>
      <w:r>
        <w:rPr>
          <w:rFonts w:hint="default" w:ascii="Times New Roman" w:hAnsi="Times New Roman" w:eastAsia="仿宋_GB2312" w:cs="Times New Roman"/>
          <w:color w:val="auto"/>
          <w:sz w:val="32"/>
          <w:szCs w:val="32"/>
          <w:highlight w:val="none"/>
        </w:rPr>
        <w:t>存在</w:t>
      </w:r>
      <w:r>
        <w:rPr>
          <w:rFonts w:hint="eastAsia" w:ascii="Times New Roman" w:hAnsi="Times New Roman" w:eastAsia="仿宋_GB2312" w:cs="Times New Roman"/>
          <w:color w:val="auto"/>
          <w:sz w:val="32"/>
          <w:szCs w:val="32"/>
          <w:highlight w:val="none"/>
          <w:lang w:eastAsia="zh-CN"/>
        </w:rPr>
        <w:t>依申请公开答复</w:t>
      </w:r>
      <w:r>
        <w:rPr>
          <w:rFonts w:hint="default" w:ascii="Times New Roman" w:hAnsi="Times New Roman" w:eastAsia="仿宋_GB2312" w:cs="Times New Roman"/>
          <w:color w:val="auto"/>
          <w:sz w:val="32"/>
          <w:szCs w:val="32"/>
          <w:highlight w:val="none"/>
        </w:rPr>
        <w:t>缺少要素的情况，如缺少红头、标题、答复文书号、收件时间、处理依据、救济途径等核心要素信息。</w:t>
      </w:r>
      <w:r>
        <w:rPr>
          <w:rFonts w:hint="eastAsia" w:ascii="Times New Roman" w:hAnsi="Times New Roman" w:eastAsia="仿宋_GB2312" w:cs="Times New Roman"/>
          <w:color w:val="auto"/>
          <w:sz w:val="32"/>
          <w:szCs w:val="32"/>
          <w:highlight w:val="none"/>
          <w:lang w:eastAsia="zh-CN"/>
        </w:rPr>
        <w:t>（责任单位：各街（镇）、各区直部门）</w:t>
      </w:r>
    </w:p>
    <w:p>
      <w:pPr>
        <w:pStyle w:val="2"/>
        <w:ind w:left="0" w:leftChars="0" w:firstLine="0" w:firstLineChars="0"/>
        <w:rPr>
          <w:rFonts w:hint="default"/>
          <w:color w:val="auto"/>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val="0"/>
        <w:spacing w:line="600" w:lineRule="exact"/>
        <w:ind w:firstLine="640" w:firstLineChars="200"/>
        <w:textAlignment w:val="auto"/>
        <w:rPr>
          <w:rFonts w:hint="eastAsia" w:ascii="Times New Roman" w:hAnsi="Times New Roman" w:eastAsia="仿宋_GB2312" w:cs="Times New Roman"/>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630" w:leftChars="0"/>
        <w:jc w:val="left"/>
        <w:textAlignment w:val="auto"/>
        <w:rPr>
          <w:rFonts w:hint="default" w:ascii="Times New Roman" w:hAnsi="Times New Roman" w:eastAsia="仿宋_GB2312" w:cs="Times New Roman"/>
          <w:color w:val="0000FF"/>
          <w:sz w:val="32"/>
          <w:szCs w:val="32"/>
          <w:highlight w:val="none"/>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textAlignment w:val="auto"/>
        <w:rPr>
          <w:rFonts w:hint="default" w:ascii="Times New Roman" w:hAnsi="Times New Roman" w:eastAsia="仿宋_GB2312" w:cs="Times New Roman"/>
          <w:color w:val="auto"/>
          <w:kern w:val="0"/>
          <w:sz w:val="32"/>
          <w:szCs w:val="32"/>
          <w:highlight w:val="none"/>
          <w:lang w:val="en-US" w:eastAsia="zh-CN" w:bidi="ar"/>
        </w:rPr>
      </w:pPr>
    </w:p>
    <w:sectPr>
      <w:pgSz w:w="11906" w:h="16838"/>
      <w:pgMar w:top="1701"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32011E"/>
    <w:multiLevelType w:val="singleLevel"/>
    <w:tmpl w:val="5632011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MzJlMGExNTEzODZhNDA5YTkxNTJhNWIzZWZmNGUifQ=="/>
  </w:docVars>
  <w:rsids>
    <w:rsidRoot w:val="6A5B1CF5"/>
    <w:rsid w:val="0054138E"/>
    <w:rsid w:val="00613751"/>
    <w:rsid w:val="014E73E0"/>
    <w:rsid w:val="014F6641"/>
    <w:rsid w:val="01734A7C"/>
    <w:rsid w:val="020F76E6"/>
    <w:rsid w:val="02C85885"/>
    <w:rsid w:val="033E1494"/>
    <w:rsid w:val="04105DBE"/>
    <w:rsid w:val="043A50FB"/>
    <w:rsid w:val="04536448"/>
    <w:rsid w:val="0469396C"/>
    <w:rsid w:val="04A24D2A"/>
    <w:rsid w:val="04C15D69"/>
    <w:rsid w:val="052665DF"/>
    <w:rsid w:val="05341E77"/>
    <w:rsid w:val="074604BD"/>
    <w:rsid w:val="07EFAB6D"/>
    <w:rsid w:val="080F06E1"/>
    <w:rsid w:val="08F26B5F"/>
    <w:rsid w:val="090D306A"/>
    <w:rsid w:val="098E4FA0"/>
    <w:rsid w:val="0A822AE3"/>
    <w:rsid w:val="0B0E6FC0"/>
    <w:rsid w:val="0BED0E00"/>
    <w:rsid w:val="0CD927BA"/>
    <w:rsid w:val="0E5C239D"/>
    <w:rsid w:val="0F19571A"/>
    <w:rsid w:val="0F9C26DE"/>
    <w:rsid w:val="0FC246CB"/>
    <w:rsid w:val="100D16C9"/>
    <w:rsid w:val="136F732F"/>
    <w:rsid w:val="14273F51"/>
    <w:rsid w:val="14AC3336"/>
    <w:rsid w:val="14E9250C"/>
    <w:rsid w:val="17990293"/>
    <w:rsid w:val="19213C6B"/>
    <w:rsid w:val="19A25590"/>
    <w:rsid w:val="1A7D5B75"/>
    <w:rsid w:val="1ADF2D68"/>
    <w:rsid w:val="1B6F7C69"/>
    <w:rsid w:val="1EE32C18"/>
    <w:rsid w:val="1F730536"/>
    <w:rsid w:val="1F976B40"/>
    <w:rsid w:val="1FC3227C"/>
    <w:rsid w:val="203211B0"/>
    <w:rsid w:val="2163609D"/>
    <w:rsid w:val="21731476"/>
    <w:rsid w:val="21D249F9"/>
    <w:rsid w:val="23A423C5"/>
    <w:rsid w:val="247E3A1E"/>
    <w:rsid w:val="24AF4B7D"/>
    <w:rsid w:val="25DA20CE"/>
    <w:rsid w:val="25EF153B"/>
    <w:rsid w:val="28697739"/>
    <w:rsid w:val="28CA01D8"/>
    <w:rsid w:val="28E368B4"/>
    <w:rsid w:val="29656BD9"/>
    <w:rsid w:val="29BFE155"/>
    <w:rsid w:val="2A4740A0"/>
    <w:rsid w:val="2AB36A55"/>
    <w:rsid w:val="2B7D0B47"/>
    <w:rsid w:val="2BC15FC4"/>
    <w:rsid w:val="2BF528DE"/>
    <w:rsid w:val="2C0B4FB4"/>
    <w:rsid w:val="2C3D5164"/>
    <w:rsid w:val="2CEC205E"/>
    <w:rsid w:val="2D952400"/>
    <w:rsid w:val="2DA111D8"/>
    <w:rsid w:val="2DBD4034"/>
    <w:rsid w:val="2DDD090D"/>
    <w:rsid w:val="2EDF2503"/>
    <w:rsid w:val="2EF51C69"/>
    <w:rsid w:val="309E5AD2"/>
    <w:rsid w:val="30C3032E"/>
    <w:rsid w:val="31A20199"/>
    <w:rsid w:val="322272D6"/>
    <w:rsid w:val="32690A61"/>
    <w:rsid w:val="350667E1"/>
    <w:rsid w:val="35857414"/>
    <w:rsid w:val="35A61997"/>
    <w:rsid w:val="35D90BE5"/>
    <w:rsid w:val="36B10C29"/>
    <w:rsid w:val="36BA326C"/>
    <w:rsid w:val="3808478E"/>
    <w:rsid w:val="38904DED"/>
    <w:rsid w:val="39CF6E76"/>
    <w:rsid w:val="3B5D7DAA"/>
    <w:rsid w:val="3B9A612F"/>
    <w:rsid w:val="3BB84807"/>
    <w:rsid w:val="3C224958"/>
    <w:rsid w:val="3CBD0327"/>
    <w:rsid w:val="3CF61143"/>
    <w:rsid w:val="3D8726E3"/>
    <w:rsid w:val="3DD1395F"/>
    <w:rsid w:val="3DDD1619"/>
    <w:rsid w:val="3EDF0E1F"/>
    <w:rsid w:val="3F4A596D"/>
    <w:rsid w:val="3F7B82CE"/>
    <w:rsid w:val="3FB157F6"/>
    <w:rsid w:val="3FD752FB"/>
    <w:rsid w:val="40477F08"/>
    <w:rsid w:val="40750F63"/>
    <w:rsid w:val="40AB66E9"/>
    <w:rsid w:val="413A748B"/>
    <w:rsid w:val="42092548"/>
    <w:rsid w:val="424D3EFC"/>
    <w:rsid w:val="442A13EE"/>
    <w:rsid w:val="443A5E03"/>
    <w:rsid w:val="45942C72"/>
    <w:rsid w:val="46841EB6"/>
    <w:rsid w:val="47913675"/>
    <w:rsid w:val="47B7F1C4"/>
    <w:rsid w:val="4883485C"/>
    <w:rsid w:val="48B31BDD"/>
    <w:rsid w:val="4A0C4DAF"/>
    <w:rsid w:val="4A7A9351"/>
    <w:rsid w:val="4AB17B90"/>
    <w:rsid w:val="4B394782"/>
    <w:rsid w:val="4BFF3B78"/>
    <w:rsid w:val="4CD869C2"/>
    <w:rsid w:val="4CFE3C07"/>
    <w:rsid w:val="4DFF1E22"/>
    <w:rsid w:val="4F662615"/>
    <w:rsid w:val="506D3551"/>
    <w:rsid w:val="509D0FC1"/>
    <w:rsid w:val="50A82C45"/>
    <w:rsid w:val="51404DF1"/>
    <w:rsid w:val="51552605"/>
    <w:rsid w:val="52306A4E"/>
    <w:rsid w:val="52A52D89"/>
    <w:rsid w:val="52A5418F"/>
    <w:rsid w:val="531A11E6"/>
    <w:rsid w:val="5345477B"/>
    <w:rsid w:val="53F44ACA"/>
    <w:rsid w:val="54482775"/>
    <w:rsid w:val="54E35145"/>
    <w:rsid w:val="555313D1"/>
    <w:rsid w:val="55DDD6BE"/>
    <w:rsid w:val="562E14F6"/>
    <w:rsid w:val="57421E0F"/>
    <w:rsid w:val="574D221B"/>
    <w:rsid w:val="57B26AA4"/>
    <w:rsid w:val="58653850"/>
    <w:rsid w:val="5869322B"/>
    <w:rsid w:val="59657925"/>
    <w:rsid w:val="5AA2226A"/>
    <w:rsid w:val="5B351579"/>
    <w:rsid w:val="5BDF7372"/>
    <w:rsid w:val="5D5DD2BC"/>
    <w:rsid w:val="5DDE0441"/>
    <w:rsid w:val="5F696AAE"/>
    <w:rsid w:val="5F7C97BA"/>
    <w:rsid w:val="5FFD60C8"/>
    <w:rsid w:val="60114363"/>
    <w:rsid w:val="60753179"/>
    <w:rsid w:val="60E47E85"/>
    <w:rsid w:val="61080AAF"/>
    <w:rsid w:val="614B11AE"/>
    <w:rsid w:val="61C827FF"/>
    <w:rsid w:val="61FB735D"/>
    <w:rsid w:val="62487282"/>
    <w:rsid w:val="62516C98"/>
    <w:rsid w:val="63905AB7"/>
    <w:rsid w:val="64E831B8"/>
    <w:rsid w:val="651A5A67"/>
    <w:rsid w:val="655F4AD1"/>
    <w:rsid w:val="65612DE0"/>
    <w:rsid w:val="65EC33CD"/>
    <w:rsid w:val="672D6CEC"/>
    <w:rsid w:val="673D77EB"/>
    <w:rsid w:val="67D70395"/>
    <w:rsid w:val="68916CEF"/>
    <w:rsid w:val="690335D7"/>
    <w:rsid w:val="6A5218D8"/>
    <w:rsid w:val="6A5B1CF5"/>
    <w:rsid w:val="6A890F99"/>
    <w:rsid w:val="6A8D4E45"/>
    <w:rsid w:val="6AC16149"/>
    <w:rsid w:val="6C3867D3"/>
    <w:rsid w:val="6DDD76B3"/>
    <w:rsid w:val="70352E65"/>
    <w:rsid w:val="70822713"/>
    <w:rsid w:val="7128150C"/>
    <w:rsid w:val="71DB4488"/>
    <w:rsid w:val="727D87D0"/>
    <w:rsid w:val="73770529"/>
    <w:rsid w:val="744C72C0"/>
    <w:rsid w:val="74D01C2F"/>
    <w:rsid w:val="758D4034"/>
    <w:rsid w:val="75E11C8A"/>
    <w:rsid w:val="760F2C9B"/>
    <w:rsid w:val="77741853"/>
    <w:rsid w:val="777817D8"/>
    <w:rsid w:val="78973DF7"/>
    <w:rsid w:val="7A334D21"/>
    <w:rsid w:val="7A3E4FAE"/>
    <w:rsid w:val="7B660295"/>
    <w:rsid w:val="7B687A94"/>
    <w:rsid w:val="7BF13043"/>
    <w:rsid w:val="7C657029"/>
    <w:rsid w:val="7CCB0CF3"/>
    <w:rsid w:val="7CDD1B87"/>
    <w:rsid w:val="7D3F551A"/>
    <w:rsid w:val="7D8A2C07"/>
    <w:rsid w:val="7DE33760"/>
    <w:rsid w:val="7E24529E"/>
    <w:rsid w:val="7E7D2A4B"/>
    <w:rsid w:val="7F6ED3F1"/>
    <w:rsid w:val="7F7B7B8A"/>
    <w:rsid w:val="7FAF2EEF"/>
    <w:rsid w:val="7FC93173"/>
    <w:rsid w:val="7FDF2C55"/>
    <w:rsid w:val="7FFF3BDC"/>
    <w:rsid w:val="A8FC27B2"/>
    <w:rsid w:val="B3B52BD8"/>
    <w:rsid w:val="B69F6E0F"/>
    <w:rsid w:val="BDF62D78"/>
    <w:rsid w:val="BF7B7B5C"/>
    <w:rsid w:val="C8FB96EC"/>
    <w:rsid w:val="CEF11E1A"/>
    <w:rsid w:val="D2DB3C00"/>
    <w:rsid w:val="D77B2BB7"/>
    <w:rsid w:val="D7B75B39"/>
    <w:rsid w:val="D7FE80E8"/>
    <w:rsid w:val="DCFEAFDE"/>
    <w:rsid w:val="DDF87182"/>
    <w:rsid w:val="DFFABA1E"/>
    <w:rsid w:val="E7AF2C08"/>
    <w:rsid w:val="E7CB6F4F"/>
    <w:rsid w:val="EBCBF7D6"/>
    <w:rsid w:val="ECE7CFC3"/>
    <w:rsid w:val="EF8FD290"/>
    <w:rsid w:val="EFBA50D6"/>
    <w:rsid w:val="F0B78867"/>
    <w:rsid w:val="F7AD9DD8"/>
    <w:rsid w:val="F7CEF4FF"/>
    <w:rsid w:val="F7F4E18B"/>
    <w:rsid w:val="FBEEF241"/>
    <w:rsid w:val="FBFE6D99"/>
    <w:rsid w:val="FDFF64BC"/>
    <w:rsid w:val="FEFF2AD5"/>
    <w:rsid w:val="FF75F7F8"/>
    <w:rsid w:val="FFDF5097"/>
    <w:rsid w:val="FFFF0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ind w:left="1680"/>
    </w:pPr>
    <w:rPr>
      <w:rFonts w:ascii="Calibri" w:hAnsi="Calibri" w:eastAsia="宋体" w:cs="Times New Roman"/>
    </w:rPr>
  </w:style>
  <w:style w:type="paragraph" w:styleId="3">
    <w:name w:val="Body Text"/>
    <w:basedOn w:val="1"/>
    <w:qFormat/>
    <w:uiPriority w:val="0"/>
    <w:pPr>
      <w:spacing w:after="120"/>
    </w:pPr>
  </w:style>
  <w:style w:type="paragraph" w:styleId="4">
    <w:name w:val="Body Text Indent"/>
    <w:basedOn w:val="1"/>
    <w:unhideWhenUsed/>
    <w:qFormat/>
    <w:uiPriority w:val="99"/>
    <w:pPr>
      <w:spacing w:after="120"/>
      <w:ind w:left="420" w:leftChars="200"/>
    </w:pPr>
  </w:style>
  <w:style w:type="paragraph" w:styleId="5">
    <w:name w:val="Block Text"/>
    <w:basedOn w:val="1"/>
    <w:qFormat/>
    <w:uiPriority w:val="99"/>
    <w:pPr>
      <w:spacing w:after="120"/>
      <w:ind w:left="1440" w:leftChars="700" w:right="1440" w:rightChars="700"/>
    </w:pPr>
    <w:rPr>
      <w:rFonts w:ascii="Times New Roman" w:hAnsi="Times New Roman"/>
      <w:szCs w:val="21"/>
    </w:rPr>
  </w:style>
  <w:style w:type="paragraph" w:styleId="6">
    <w:name w:val="footer"/>
    <w:basedOn w:val="1"/>
    <w:next w:val="2"/>
    <w:qFormat/>
    <w:uiPriority w:val="0"/>
    <w:pPr>
      <w:tabs>
        <w:tab w:val="center" w:pos="4153"/>
        <w:tab w:val="right" w:pos="8306"/>
      </w:tabs>
      <w:snapToGrid w:val="0"/>
      <w:jc w:val="left"/>
    </w:pPr>
    <w:rPr>
      <w:sz w:val="18"/>
    </w:rPr>
  </w:style>
  <w:style w:type="paragraph" w:styleId="7">
    <w:name w:val="toc 1"/>
    <w:basedOn w:val="1"/>
    <w:next w:val="1"/>
    <w:unhideWhenUsed/>
    <w:qFormat/>
    <w:uiPriority w:val="39"/>
  </w:style>
  <w:style w:type="paragraph" w:styleId="8">
    <w:name w:val="Body Text First Indent 2"/>
    <w:basedOn w:val="4"/>
    <w:qFormat/>
    <w:uiPriority w:val="0"/>
    <w:pPr>
      <w:ind w:firstLine="420" w:firstLineChars="200"/>
    </w:pPr>
    <w:rPr>
      <w:rFonts w:cs="Times New Roman"/>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Normal New"/>
    <w:qFormat/>
    <w:uiPriority w:val="0"/>
    <w:pPr>
      <w:widowControl w:val="0"/>
      <w:jc w:val="both"/>
    </w:pPr>
    <w:rPr>
      <w:rFonts w:hint="eastAsia" w:ascii="Calibri" w:hAnsi="Calibri" w:eastAsia="宋体" w:cs="Times New Roman"/>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808</Words>
  <Characters>818</Characters>
  <Lines>0</Lines>
  <Paragraphs>0</Paragraphs>
  <TotalTime>692</TotalTime>
  <ScaleCrop>false</ScaleCrop>
  <LinksUpToDate>false</LinksUpToDate>
  <CharactersWithSpaces>867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2021-10-12T15:36:00Z</dcterms:created>
  <dc:creator>January</dc:creator>
  <cp:lastModifiedBy>黄金明</cp:lastModifiedBy>
  <cp:lastPrinted>2023-10-12T03:35:00Z</cp:lastPrinted>
  <dcterms:modified xsi:type="dcterms:W3CDTF">2023-11-15T08:12:39Z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72CFD3EB40EF4542B6C90E4E7DBAB1EB_13</vt:lpwstr>
  </property>
</Properties>
</file>