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eastAsia="方正小标宋简体"/>
          <w:kern w:val="0"/>
          <w:sz w:val="40"/>
          <w:szCs w:val="40"/>
          <w:lang w:eastAsia="zh-CN"/>
        </w:rPr>
      </w:pPr>
      <w:r>
        <w:rPr>
          <w:rFonts w:hint="eastAsia" w:ascii="仿宋" w:hAnsi="仿宋" w:eastAsia="仿宋" w:cs="仿宋"/>
          <w:kern w:val="0"/>
          <w:sz w:val="40"/>
          <w:szCs w:val="40"/>
          <w:lang w:val="en-US" w:eastAsia="zh-CN"/>
        </w:rPr>
        <w:t>2019</w:t>
      </w:r>
      <w:r>
        <w:rPr>
          <w:rFonts w:hint="eastAsia" w:eastAsia="方正小标宋简体"/>
          <w:kern w:val="0"/>
          <w:sz w:val="40"/>
          <w:szCs w:val="40"/>
          <w:lang w:val="en-US" w:eastAsia="zh-CN"/>
        </w:rPr>
        <w:t>年度</w:t>
      </w:r>
      <w:r>
        <w:rPr>
          <w:rFonts w:eastAsia="方正小标宋简体"/>
          <w:kern w:val="0"/>
          <w:sz w:val="40"/>
          <w:szCs w:val="40"/>
        </w:rPr>
        <w:t>部门整体支出绩效</w:t>
      </w:r>
      <w:r>
        <w:rPr>
          <w:rFonts w:hint="eastAsia" w:eastAsia="方正小标宋简体"/>
          <w:kern w:val="0"/>
          <w:sz w:val="40"/>
          <w:szCs w:val="40"/>
          <w:lang w:eastAsia="zh-CN"/>
        </w:rPr>
        <w:t>自</w:t>
      </w:r>
      <w:r>
        <w:rPr>
          <w:rFonts w:eastAsia="方正小标宋简体"/>
          <w:kern w:val="0"/>
          <w:sz w:val="40"/>
          <w:szCs w:val="40"/>
        </w:rPr>
        <w:t>评表</w:t>
      </w:r>
    </w:p>
    <w:tbl>
      <w:tblPr>
        <w:tblStyle w:val="3"/>
        <w:tblW w:w="906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503"/>
        <w:gridCol w:w="503"/>
        <w:gridCol w:w="91"/>
        <w:gridCol w:w="412"/>
        <w:gridCol w:w="180"/>
        <w:gridCol w:w="323"/>
        <w:gridCol w:w="156"/>
        <w:gridCol w:w="627"/>
        <w:gridCol w:w="517"/>
        <w:gridCol w:w="537"/>
        <w:gridCol w:w="1231"/>
        <w:gridCol w:w="569"/>
        <w:gridCol w:w="146"/>
        <w:gridCol w:w="363"/>
        <w:gridCol w:w="1593"/>
        <w:gridCol w:w="717"/>
        <w:gridCol w:w="59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64" w:hRule="atLeast"/>
          <w:jc w:val="center"/>
        </w:trPr>
        <w:tc>
          <w:tcPr>
            <w:tcW w:w="1689" w:type="dxa"/>
            <w:gridSpan w:val="5"/>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部门名称</w:t>
            </w:r>
          </w:p>
        </w:tc>
        <w:tc>
          <w:tcPr>
            <w:tcW w:w="3960" w:type="dxa"/>
            <w:gridSpan w:val="7"/>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eastAsia="zh-CN"/>
              </w:rPr>
              <w:t>长沙市望城区社会治理服务中心</w:t>
            </w:r>
            <w:r>
              <w:rPr>
                <w:rFonts w:hint="eastAsia" w:asciiTheme="minorEastAsia" w:hAnsiTheme="minorEastAsia" w:eastAsiaTheme="minorEastAsia" w:cstheme="minorEastAsia"/>
                <w:color w:val="000000"/>
                <w:sz w:val="21"/>
                <w:szCs w:val="21"/>
              </w:rPr>
              <w:t>　</w:t>
            </w:r>
          </w:p>
        </w:tc>
        <w:tc>
          <w:tcPr>
            <w:tcW w:w="2102"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下属单位个数</w:t>
            </w:r>
          </w:p>
        </w:tc>
        <w:tc>
          <w:tcPr>
            <w:tcW w:w="1312"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整体支出规模</w:t>
            </w:r>
          </w:p>
        </w:tc>
        <w:tc>
          <w:tcPr>
            <w:tcW w:w="2160" w:type="dxa"/>
            <w:gridSpan w:val="5"/>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　</w:t>
            </w:r>
            <w:r>
              <w:rPr>
                <w:rFonts w:hint="eastAsia" w:asciiTheme="minorEastAsia" w:hAnsiTheme="minorEastAsia" w:eastAsiaTheme="minorEastAsia" w:cstheme="minorEastAsia"/>
                <w:color w:val="000000"/>
                <w:sz w:val="21"/>
                <w:szCs w:val="21"/>
                <w:lang w:eastAsia="zh-CN"/>
              </w:rPr>
              <w:t>项</w:t>
            </w:r>
            <w:r>
              <w:rPr>
                <w:rFonts w:hint="eastAsia" w:asciiTheme="minorEastAsia" w:hAnsiTheme="minorEastAsia" w:eastAsiaTheme="minorEastAsia" w:cstheme="minorEastAsia"/>
                <w:color w:val="000000"/>
                <w:sz w:val="21"/>
                <w:szCs w:val="21"/>
                <w:lang w:val="en-US" w:eastAsia="zh-CN"/>
              </w:rPr>
              <w:t xml:space="preserve">   </w:t>
            </w:r>
            <w:r>
              <w:rPr>
                <w:rFonts w:hint="eastAsia" w:asciiTheme="minorEastAsia" w:hAnsiTheme="minorEastAsia" w:eastAsiaTheme="minorEastAsia" w:cstheme="minorEastAsia"/>
                <w:color w:val="000000"/>
                <w:sz w:val="21"/>
                <w:szCs w:val="21"/>
                <w:lang w:eastAsia="zh-CN"/>
              </w:rPr>
              <w:t>目</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全年预算数</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全年执行数</w:t>
            </w:r>
          </w:p>
        </w:tc>
        <w:tc>
          <w:tcPr>
            <w:tcW w:w="595"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执行率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来</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源</w:t>
            </w:r>
          </w:p>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合计</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w:t>
            </w:r>
          </w:p>
        </w:tc>
        <w:tc>
          <w:tcPr>
            <w:tcW w:w="595" w:type="dxa"/>
            <w:tcBorders>
              <w:tl2br w:val="nil"/>
              <w:tr2bl w:val="nil"/>
            </w:tcBorders>
            <w:tcMar>
              <w:top w:w="15" w:type="dxa"/>
              <w:left w:w="15" w:type="dxa"/>
              <w:bottom w:w="0" w:type="dxa"/>
              <w:right w:w="15" w:type="dxa"/>
            </w:tcMar>
            <w:vAlign w:val="center"/>
          </w:tcPr>
          <w:p>
            <w:pPr>
              <w:spacing w:line="250" w:lineRule="exac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（1）财政拨</w:t>
            </w:r>
            <w:r>
              <w:rPr>
                <w:rFonts w:hint="eastAsia" w:asciiTheme="minorEastAsia" w:hAnsiTheme="minorEastAsia" w:eastAsiaTheme="minorEastAsia" w:cstheme="minorEastAsia"/>
                <w:color w:val="000000"/>
                <w:sz w:val="21"/>
                <w:szCs w:val="21"/>
                <w:lang w:eastAsia="zh-CN"/>
              </w:rPr>
              <w:t>款</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6687813</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8024544.49</w:t>
            </w:r>
          </w:p>
        </w:tc>
        <w:tc>
          <w:tcPr>
            <w:tcW w:w="595"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（2）其他资金</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595"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结</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构</w:t>
            </w:r>
          </w:p>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合计</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w:t>
            </w:r>
          </w:p>
        </w:tc>
        <w:tc>
          <w:tcPr>
            <w:tcW w:w="595"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（1）基本支</w:t>
            </w:r>
            <w:r>
              <w:rPr>
                <w:rFonts w:hint="eastAsia" w:asciiTheme="minorEastAsia" w:hAnsiTheme="minorEastAsia" w:eastAsiaTheme="minorEastAsia" w:cstheme="minorEastAsia"/>
                <w:color w:val="000000"/>
                <w:sz w:val="21"/>
                <w:szCs w:val="21"/>
                <w:lang w:eastAsia="zh-CN"/>
              </w:rPr>
              <w:t>出</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1809813</w:t>
            </w:r>
            <w:r>
              <w:rPr>
                <w:rFonts w:hint="eastAsia" w:asciiTheme="minorEastAsia" w:hAnsiTheme="minorEastAsia" w:eastAsiaTheme="minorEastAsia" w:cstheme="minorEastAsia"/>
                <w:color w:val="000000"/>
                <w:sz w:val="21"/>
                <w:szCs w:val="21"/>
              </w:rPr>
              <w:t>　</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2755196.43　</w:t>
            </w:r>
          </w:p>
        </w:tc>
        <w:tc>
          <w:tcPr>
            <w:tcW w:w="595"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152%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94"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tabs>
                <w:tab w:val="left" w:pos="567"/>
              </w:tabs>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（2）项目支</w:t>
            </w:r>
            <w:r>
              <w:rPr>
                <w:rFonts w:hint="eastAsia" w:asciiTheme="minorEastAsia" w:hAnsiTheme="minorEastAsia" w:eastAsiaTheme="minorEastAsia" w:cstheme="minorEastAsia"/>
                <w:color w:val="000000"/>
                <w:sz w:val="21"/>
                <w:szCs w:val="21"/>
                <w:lang w:eastAsia="zh-CN"/>
              </w:rPr>
              <w:t>出</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4878000</w:t>
            </w:r>
            <w:r>
              <w:rPr>
                <w:rFonts w:hint="eastAsia" w:asciiTheme="minorEastAsia" w:hAnsiTheme="minorEastAsia" w:eastAsiaTheme="minorEastAsia" w:cstheme="minorEastAsia"/>
                <w:color w:val="000000"/>
                <w:sz w:val="21"/>
                <w:szCs w:val="21"/>
              </w:rPr>
              <w:t>　</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5269348.06　</w:t>
            </w:r>
          </w:p>
        </w:tc>
        <w:tc>
          <w:tcPr>
            <w:tcW w:w="595"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108%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33" w:hRule="atLeast"/>
          <w:jc w:val="center"/>
        </w:trPr>
        <w:tc>
          <w:tcPr>
            <w:tcW w:w="1097" w:type="dxa"/>
            <w:gridSpan w:val="3"/>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年度总</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体目标</w:t>
            </w:r>
          </w:p>
        </w:tc>
        <w:tc>
          <w:tcPr>
            <w:tcW w:w="3983" w:type="dxa"/>
            <w:gridSpan w:val="8"/>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年初设定目标</w:t>
            </w:r>
          </w:p>
        </w:tc>
        <w:tc>
          <w:tcPr>
            <w:tcW w:w="3983" w:type="dxa"/>
            <w:gridSpan w:val="6"/>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030" w:hRule="atLeast"/>
          <w:jc w:val="center"/>
        </w:trPr>
        <w:tc>
          <w:tcPr>
            <w:tcW w:w="1097" w:type="dxa"/>
            <w:gridSpan w:val="3"/>
            <w:vMerge w:val="continue"/>
            <w:tcBorders>
              <w:tl2br w:val="nil"/>
              <w:tr2bl w:val="nil"/>
            </w:tcBorders>
            <w:vAlign w:val="center"/>
          </w:tcPr>
          <w:p>
            <w:pPr>
              <w:spacing w:line="250" w:lineRule="exact"/>
              <w:rPr>
                <w:rFonts w:hint="eastAsia" w:asciiTheme="minorEastAsia" w:hAnsiTheme="minorEastAsia" w:eastAsiaTheme="minorEastAsia" w:cstheme="minorEastAsia"/>
                <w:b w:val="0"/>
                <w:bCs w:val="0"/>
                <w:color w:val="000000"/>
                <w:sz w:val="18"/>
                <w:szCs w:val="18"/>
              </w:rPr>
            </w:pPr>
          </w:p>
        </w:tc>
        <w:tc>
          <w:tcPr>
            <w:tcW w:w="3983" w:type="dxa"/>
            <w:gridSpan w:val="8"/>
            <w:tcBorders>
              <w:tl2br w:val="nil"/>
              <w:tr2bl w:val="nil"/>
            </w:tcBorders>
            <w:tcMar>
              <w:top w:w="15" w:type="dxa"/>
              <w:left w:w="15" w:type="dxa"/>
              <w:bottom w:w="0" w:type="dxa"/>
              <w:right w:w="15" w:type="dxa"/>
            </w:tcMar>
            <w:vAlign w:val="center"/>
          </w:tcPr>
          <w:p>
            <w:pPr>
              <w:numPr>
                <w:ilvl w:val="0"/>
                <w:numId w:val="0"/>
              </w:numPr>
              <w:spacing w:line="250" w:lineRule="exact"/>
              <w:jc w:val="both"/>
              <w:rPr>
                <w:rFonts w:hint="eastAsia" w:asciiTheme="minorEastAsia" w:hAnsiTheme="minorEastAsia" w:eastAsiaTheme="minorEastAsia" w:cstheme="minorEastAsia"/>
                <w:b w:val="0"/>
                <w:bCs w:val="0"/>
                <w:color w:val="000000"/>
                <w:sz w:val="18"/>
                <w:szCs w:val="18"/>
                <w:lang w:val="en-US" w:eastAsia="zh-CN"/>
              </w:rPr>
            </w:pPr>
            <w:r>
              <w:rPr>
                <w:rFonts w:hint="eastAsia" w:asciiTheme="minorEastAsia" w:hAnsiTheme="minorEastAsia" w:eastAsiaTheme="minorEastAsia" w:cstheme="minorEastAsia"/>
                <w:b w:val="0"/>
                <w:bCs w:val="0"/>
                <w:color w:val="000000"/>
                <w:sz w:val="18"/>
                <w:szCs w:val="18"/>
                <w:lang w:val="en-US" w:eastAsia="zh-CN"/>
              </w:rPr>
              <w:t>1.进一步提高社会治理网格化管理水平。</w:t>
            </w:r>
          </w:p>
          <w:p>
            <w:pPr>
              <w:numPr>
                <w:ilvl w:val="0"/>
                <w:numId w:val="0"/>
              </w:numPr>
              <w:spacing w:line="250" w:lineRule="exact"/>
              <w:jc w:val="both"/>
              <w:rPr>
                <w:rFonts w:hint="eastAsia" w:asciiTheme="minorEastAsia" w:hAnsiTheme="minorEastAsia" w:eastAsiaTheme="minorEastAsia" w:cstheme="minorEastAsia"/>
                <w:b w:val="0"/>
                <w:bCs w:val="0"/>
                <w:color w:val="000000"/>
                <w:sz w:val="18"/>
                <w:szCs w:val="18"/>
                <w:lang w:val="en-US" w:eastAsia="zh-CN"/>
              </w:rPr>
            </w:pPr>
            <w:r>
              <w:rPr>
                <w:rFonts w:hint="eastAsia" w:asciiTheme="minorEastAsia" w:hAnsiTheme="minorEastAsia" w:eastAsiaTheme="minorEastAsia" w:cstheme="minorEastAsia"/>
                <w:b w:val="0"/>
                <w:bCs w:val="0"/>
                <w:color w:val="000000"/>
                <w:sz w:val="18"/>
                <w:szCs w:val="18"/>
                <w:lang w:val="en-US" w:eastAsia="zh-CN"/>
              </w:rPr>
              <w:t>2.进一步提升热线服务质量。</w:t>
            </w:r>
          </w:p>
          <w:p>
            <w:pPr>
              <w:numPr>
                <w:ilvl w:val="0"/>
                <w:numId w:val="0"/>
              </w:numPr>
              <w:spacing w:line="250" w:lineRule="exact"/>
              <w:jc w:val="both"/>
              <w:rPr>
                <w:rFonts w:hint="eastAsia" w:asciiTheme="minorEastAsia" w:hAnsiTheme="minorEastAsia" w:eastAsiaTheme="minorEastAsia" w:cstheme="minorEastAsia"/>
                <w:b w:val="0"/>
                <w:bCs w:val="0"/>
                <w:color w:val="000000"/>
                <w:sz w:val="18"/>
                <w:szCs w:val="18"/>
                <w:lang w:val="en-US" w:eastAsia="zh-CN"/>
              </w:rPr>
            </w:pPr>
            <w:r>
              <w:rPr>
                <w:rFonts w:hint="eastAsia" w:asciiTheme="minorEastAsia" w:hAnsiTheme="minorEastAsia" w:eastAsiaTheme="minorEastAsia" w:cstheme="minorEastAsia"/>
                <w:b w:val="0"/>
                <w:bCs w:val="0"/>
                <w:color w:val="000000"/>
                <w:sz w:val="18"/>
                <w:szCs w:val="18"/>
                <w:lang w:val="en-US" w:eastAsia="zh-CN"/>
              </w:rPr>
              <w:t>3.进一步加强应急平台建设。</w:t>
            </w:r>
          </w:p>
        </w:tc>
        <w:tc>
          <w:tcPr>
            <w:tcW w:w="3983" w:type="dxa"/>
            <w:gridSpan w:val="6"/>
            <w:tcBorders>
              <w:tl2br w:val="nil"/>
              <w:tr2bl w:val="nil"/>
            </w:tcBorders>
            <w:tcMar>
              <w:top w:w="15" w:type="dxa"/>
              <w:left w:w="15" w:type="dxa"/>
              <w:bottom w:w="0" w:type="dxa"/>
              <w:right w:w="15" w:type="dxa"/>
            </w:tcMar>
            <w:vAlign w:val="top"/>
          </w:tcPr>
          <w:p>
            <w:pPr>
              <w:numPr>
                <w:ilvl w:val="0"/>
                <w:numId w:val="0"/>
              </w:numPr>
              <w:spacing w:line="250" w:lineRule="exact"/>
              <w:jc w:val="both"/>
              <w:rPr>
                <w:rFonts w:hint="eastAsia" w:asciiTheme="minorEastAsia" w:hAnsiTheme="minorEastAsia" w:eastAsiaTheme="minorEastAsia" w:cstheme="minorEastAsia"/>
                <w:b w:val="0"/>
                <w:bCs w:val="0"/>
                <w:color w:val="000000"/>
                <w:sz w:val="18"/>
                <w:szCs w:val="18"/>
                <w:lang w:val="en-US" w:eastAsia="zh-CN"/>
              </w:rPr>
            </w:pPr>
            <w:r>
              <w:rPr>
                <w:rFonts w:hint="eastAsia" w:asciiTheme="minorEastAsia" w:hAnsiTheme="minorEastAsia" w:eastAsiaTheme="minorEastAsia" w:cstheme="minorEastAsia"/>
                <w:sz w:val="18"/>
                <w:szCs w:val="18"/>
                <w:lang w:val="en-US" w:eastAsia="zh-CN"/>
              </w:rPr>
              <w:t>1.</w:t>
            </w:r>
            <w:r>
              <w:rPr>
                <w:rFonts w:hint="eastAsia" w:asciiTheme="minorEastAsia" w:hAnsiTheme="minorEastAsia" w:eastAsiaTheme="minorEastAsia" w:cstheme="minorEastAsia"/>
                <w:b w:val="0"/>
                <w:bCs w:val="0"/>
                <w:color w:val="000000"/>
                <w:sz w:val="18"/>
                <w:szCs w:val="18"/>
                <w:lang w:val="en-US" w:eastAsia="zh-CN"/>
              </w:rPr>
              <w:t>网格划分进一步细化、网格化工作机制更加完善、网格化工作成效明显。</w:t>
            </w:r>
          </w:p>
          <w:p>
            <w:pPr>
              <w:numPr>
                <w:ilvl w:val="0"/>
                <w:numId w:val="0"/>
              </w:numPr>
              <w:spacing w:line="250" w:lineRule="exact"/>
              <w:jc w:val="both"/>
              <w:rPr>
                <w:rFonts w:hint="eastAsia" w:asciiTheme="minorEastAsia" w:hAnsiTheme="minorEastAsia" w:eastAsiaTheme="minorEastAsia" w:cstheme="minorEastAsia"/>
                <w:b w:val="0"/>
                <w:bCs w:val="0"/>
                <w:color w:val="000000"/>
                <w:sz w:val="18"/>
                <w:szCs w:val="18"/>
                <w:lang w:val="en-US" w:eastAsia="zh-CN"/>
              </w:rPr>
            </w:pPr>
            <w:r>
              <w:rPr>
                <w:rFonts w:hint="eastAsia" w:asciiTheme="minorEastAsia" w:hAnsiTheme="minorEastAsia" w:eastAsiaTheme="minorEastAsia" w:cstheme="minorEastAsia"/>
                <w:b w:val="0"/>
                <w:bCs w:val="0"/>
                <w:color w:val="000000"/>
                <w:sz w:val="18"/>
                <w:szCs w:val="18"/>
                <w:lang w:val="en-US" w:eastAsia="zh-CN"/>
              </w:rPr>
              <w:t>2.1-10月份，“12345”市民服务热线月综合排名两次获得四区县排名第一，“12345”市民服务热线主动作为、热忱服务的良好做法被上级业务部门通报表扬。</w:t>
            </w:r>
          </w:p>
          <w:p>
            <w:pPr>
              <w:numPr>
                <w:ilvl w:val="0"/>
                <w:numId w:val="0"/>
              </w:numPr>
              <w:spacing w:line="250" w:lineRule="exact"/>
              <w:jc w:val="both"/>
              <w:rPr>
                <w:rFonts w:hint="eastAsia" w:asciiTheme="minorEastAsia" w:hAnsiTheme="minorEastAsia" w:eastAsiaTheme="minorEastAsia" w:cstheme="minorEastAsia"/>
                <w:b w:val="0"/>
                <w:bCs w:val="0"/>
                <w:color w:val="000000"/>
                <w:sz w:val="18"/>
                <w:szCs w:val="18"/>
                <w:lang w:val="en-US" w:eastAsia="zh-CN"/>
              </w:rPr>
            </w:pPr>
            <w:r>
              <w:rPr>
                <w:rFonts w:hint="eastAsia" w:asciiTheme="minorEastAsia" w:hAnsiTheme="minorEastAsia" w:eastAsiaTheme="minorEastAsia" w:cstheme="minorEastAsia"/>
                <w:b w:val="0"/>
                <w:bCs w:val="0"/>
                <w:color w:val="000000"/>
                <w:sz w:val="18"/>
                <w:szCs w:val="18"/>
                <w:lang w:val="en-US" w:eastAsia="zh-CN"/>
              </w:rPr>
              <w:t>3.顺利完成了今年的铁人三项以及区内重大活动的各项保障任务。配合区环保局建设秸秆焚烧平台，并将水务监测系统、秸秆</w:t>
            </w:r>
            <w:bookmarkStart w:id="0" w:name="_GoBack"/>
            <w:bookmarkEnd w:id="0"/>
            <w:r>
              <w:rPr>
                <w:rFonts w:hint="eastAsia" w:asciiTheme="minorEastAsia" w:hAnsiTheme="minorEastAsia" w:eastAsiaTheme="minorEastAsia" w:cstheme="minorEastAsia"/>
                <w:b w:val="0"/>
                <w:bCs w:val="0"/>
                <w:color w:val="000000"/>
                <w:sz w:val="18"/>
                <w:szCs w:val="18"/>
                <w:lang w:val="en-US" w:eastAsia="zh-CN"/>
              </w:rPr>
              <w:t>焚烧系统、城管智能视频监控平台等视频监控数据接入二楼指挥大厅大屏幕，为日常业务监管和重大任务保障提供了科技支撑。按照望城区智慧城市建设规划，我中心配合数据资源中心完成社会治理平台的顶层设计、升级建设需求以及相关方案材料，目前已进入可研阶段。</w:t>
            </w:r>
          </w:p>
          <w:p>
            <w:pPr>
              <w:pStyle w:val="2"/>
              <w:jc w:val="both"/>
              <w:rPr>
                <w:rFonts w:hint="eastAsia" w:asciiTheme="minorEastAsia" w:hAnsiTheme="minorEastAsia" w:eastAsiaTheme="minorEastAsia" w:cstheme="minorEastAsia"/>
                <w:sz w:val="18"/>
                <w:szCs w:val="18"/>
                <w:lang w:val="en-US" w:eastAsia="zh-CN"/>
              </w:rPr>
            </w:pPr>
          </w:p>
          <w:p>
            <w:pPr>
              <w:pStyle w:val="2"/>
              <w:jc w:val="both"/>
              <w:rPr>
                <w:rFonts w:hint="eastAsi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76" w:hRule="atLeast"/>
          <w:jc w:val="center"/>
        </w:trPr>
        <w:tc>
          <w:tcPr>
            <w:tcW w:w="9063" w:type="dxa"/>
            <w:gridSpan w:val="17"/>
            <w:tcBorders>
              <w:tl2br w:val="nil"/>
              <w:tr2bl w:val="nil"/>
            </w:tcBorders>
            <w:vAlign w:val="center"/>
          </w:tcPr>
          <w:p>
            <w:pPr>
              <w:spacing w:line="250" w:lineRule="exact"/>
              <w:jc w:val="center"/>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分解目标自评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blHeader/>
          <w:jc w:val="center"/>
        </w:trPr>
        <w:tc>
          <w:tcPr>
            <w:tcW w:w="50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一级指标</w:t>
            </w:r>
          </w:p>
        </w:tc>
        <w:tc>
          <w:tcPr>
            <w:tcW w:w="50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50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二级</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0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78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三级</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评价标准</w:t>
            </w:r>
          </w:p>
        </w:tc>
        <w:tc>
          <w:tcPr>
            <w:tcW w:w="2673"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指标说明</w:t>
            </w:r>
          </w:p>
        </w:tc>
        <w:tc>
          <w:tcPr>
            <w:tcW w:w="59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得分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45" w:hRule="atLeast"/>
          <w:jc w:val="center"/>
        </w:trPr>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投入</w:t>
            </w:r>
          </w:p>
        </w:tc>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预算配置</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以100%为标准。在职人员控制率≦100%，计5分；每超过一个百分点扣0.5分，扣完为止。</w:t>
            </w:r>
          </w:p>
        </w:tc>
        <w:tc>
          <w:tcPr>
            <w:tcW w:w="2673" w:type="dxa"/>
            <w:gridSpan w:val="3"/>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在职人员控制率=（在职人员数/编制数）×100%，在职人员数：部门（单位）实际在职人数，以财政厅确定的部门决算编制口径为准。</w:t>
            </w:r>
          </w:p>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编制数：机构编制部门核定批复的部门（单位）的人员编制数。</w:t>
            </w:r>
          </w:p>
        </w:tc>
        <w:tc>
          <w:tcPr>
            <w:tcW w:w="595"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34"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“三公经费”变动率≦0,计5分；“三公经费”＞0，每超过一个百分点扣0.8分，扣完为止。</w:t>
            </w:r>
          </w:p>
        </w:tc>
        <w:tc>
          <w:tcPr>
            <w:tcW w:w="2673" w:type="dxa"/>
            <w:gridSpan w:val="3"/>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“三公经费”变动率=[（本年度“三公经费”预算数-上年度“三公经费”预算数）/上年度“三公经费”预算数]×100%</w:t>
            </w:r>
          </w:p>
        </w:tc>
        <w:tc>
          <w:tcPr>
            <w:tcW w:w="595"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365" w:hRule="atLeast"/>
          <w:jc w:val="center"/>
        </w:trPr>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hint="eastAsia" w:asciiTheme="minorEastAsia" w:hAnsiTheme="minorEastAsia" w:eastAsiaTheme="minorEastAsia" w:cstheme="minorEastAsia"/>
                <w:kern w:val="0"/>
                <w:sz w:val="18"/>
                <w:szCs w:val="18"/>
              </w:rPr>
            </w:pPr>
          </w:p>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60</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预算执行</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20</w:t>
            </w: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100%计满分，每低于5%扣2分，扣完为止。</w:t>
            </w:r>
          </w:p>
        </w:tc>
        <w:tc>
          <w:tcPr>
            <w:tcW w:w="2673" w:type="dxa"/>
            <w:gridSpan w:val="3"/>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预算完成率=（上年结转+年初预算+本年追加预算-年末结余）/（上年结转+年初预算+本年追加预算）×100%。</w:t>
            </w:r>
          </w:p>
        </w:tc>
        <w:tc>
          <w:tcPr>
            <w:tcW w:w="595"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预算控制率=0，计5分；0-10%（含），计4分；10-20%（含），计3分；20-30%（含），计2分；大于30%不得分。</w:t>
            </w:r>
          </w:p>
        </w:tc>
        <w:tc>
          <w:tcPr>
            <w:tcW w:w="2673" w:type="dxa"/>
            <w:gridSpan w:val="3"/>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预算控制率=（本年追加预算/年初预算）×100%。</w:t>
            </w:r>
          </w:p>
        </w:tc>
        <w:tc>
          <w:tcPr>
            <w:tcW w:w="595"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新建楼堂馆所面积控制率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100%以下（含）计满分，每超出5%扣2分，扣完为止。没有楼堂馆所项目的部门按满分计算。</w:t>
            </w:r>
          </w:p>
        </w:tc>
        <w:tc>
          <w:tcPr>
            <w:tcW w:w="2673" w:type="dxa"/>
            <w:gridSpan w:val="3"/>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楼堂馆所面积控制率=实际建设面积/批准建设面积×100% 。</w:t>
            </w:r>
          </w:p>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该指标以当年完工的新建楼堂馆所为评价内容。</w:t>
            </w:r>
          </w:p>
        </w:tc>
        <w:tc>
          <w:tcPr>
            <w:tcW w:w="595"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新建楼堂馆所投资概算控制率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w:t>
            </w:r>
          </w:p>
        </w:tc>
        <w:tc>
          <w:tcPr>
            <w:tcW w:w="2673" w:type="dxa"/>
            <w:gridSpan w:val="3"/>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楼堂馆所投资预算控制率=实际投资金额/批准投资金额×100% 。</w:t>
            </w:r>
          </w:p>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该指标以当年完工的新建楼堂馆所为评价内容。</w:t>
            </w:r>
          </w:p>
        </w:tc>
        <w:tc>
          <w:tcPr>
            <w:tcW w:w="595"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40</w:t>
            </w: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673" w:type="dxa"/>
            <w:gridSpan w:val="3"/>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公用经费控制率=（实际支出公用经费总额/预算安排公用经费总额）×100%。</w:t>
            </w:r>
          </w:p>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公用经费支出是指部门基本支出中的一般商品和服务支出。</w:t>
            </w:r>
          </w:p>
        </w:tc>
        <w:tc>
          <w:tcPr>
            <w:tcW w:w="595"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7</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673" w:type="dxa"/>
            <w:gridSpan w:val="3"/>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“三公经费”控制率=（“三公经费”实际支出数/“三公经费”预算安排数）×100%。</w:t>
            </w:r>
          </w:p>
        </w:tc>
        <w:tc>
          <w:tcPr>
            <w:tcW w:w="595"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100%计满分，每超过（降低）5%扣2分。扣完为止。</w:t>
            </w:r>
          </w:p>
        </w:tc>
        <w:tc>
          <w:tcPr>
            <w:tcW w:w="2673" w:type="dxa"/>
            <w:gridSpan w:val="3"/>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政府采购执行率=（实际政府采购金额/政府采购预算数）×100%</w:t>
            </w:r>
          </w:p>
        </w:tc>
        <w:tc>
          <w:tcPr>
            <w:tcW w:w="595"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rPr>
            </w:pPr>
            <w:r>
              <w:rPr>
                <w:rFonts w:hint="eastAsia" w:asciiTheme="minorEastAsia" w:hAnsiTheme="minorEastAsia" w:eastAsiaTheme="minorEastAsia" w:cstheme="minorEastAsia"/>
                <w:kern w:val="0"/>
                <w:sz w:val="18"/>
                <w:szCs w:val="18"/>
                <w:shd w:val="clear" w:color="auto" w:fill="FFFFFF"/>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016" w:hRule="atLeast"/>
          <w:jc w:val="center"/>
        </w:trPr>
        <w:tc>
          <w:tcPr>
            <w:tcW w:w="503" w:type="dxa"/>
            <w:vMerge w:val="continue"/>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管理制度健全性</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①有内部财务管理制度、会计核算制度等管理制度，2分；</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②有本部门厉行节约制度,2分；</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③相关管理制度合法、合规、完整，2分；④相关管理制度得到有效执行，2分。</w:t>
            </w:r>
          </w:p>
        </w:tc>
        <w:tc>
          <w:tcPr>
            <w:tcW w:w="2673" w:type="dxa"/>
            <w:gridSpan w:val="3"/>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p>
        </w:tc>
        <w:tc>
          <w:tcPr>
            <w:tcW w:w="595"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485" w:hRule="atLeast"/>
          <w:jc w:val="center"/>
        </w:trPr>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hint="eastAsia" w:asciiTheme="minorEastAsia" w:hAnsiTheme="minorEastAsia" w:eastAsiaTheme="minorEastAsia" w:cstheme="minorEastAsia"/>
                <w:kern w:val="0"/>
                <w:sz w:val="18"/>
                <w:szCs w:val="18"/>
              </w:rPr>
            </w:pP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val="en-US" w:eastAsia="zh-CN"/>
              </w:rPr>
              <w:t>60</w:t>
            </w:r>
          </w:p>
        </w:tc>
        <w:tc>
          <w:tcPr>
            <w:tcW w:w="503" w:type="dxa"/>
            <w:gridSpan w:val="2"/>
            <w:vMerge w:val="restart"/>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val="en-US" w:eastAsia="zh-CN"/>
              </w:rPr>
              <w:t>40</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资金使用合规性</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p>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以上情况每出现一例不符合要求的扣1分，扣完为止。</w:t>
            </w:r>
          </w:p>
        </w:tc>
        <w:tc>
          <w:tcPr>
            <w:tcW w:w="2673" w:type="dxa"/>
            <w:gridSpan w:val="3"/>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p>
        </w:tc>
        <w:tc>
          <w:tcPr>
            <w:tcW w:w="595"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65"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预决算信息公开性</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xml:space="preserve">①按规定内容公开预决算信息，1分；②按规定时限公开预决算信息，1分；③基础数据信息和会计信息资料真实，1分；④基础数据信息和会计信息资料完整，1分；⑤基础数据信息和汇集信息资料准确，1分。  </w:t>
            </w:r>
          </w:p>
        </w:tc>
        <w:tc>
          <w:tcPr>
            <w:tcW w:w="2673" w:type="dxa"/>
            <w:gridSpan w:val="3"/>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预决算信息是指与部门预算、执行、决算、监督、绩效等管理相关的信息。</w:t>
            </w:r>
          </w:p>
        </w:tc>
        <w:tc>
          <w:tcPr>
            <w:tcW w:w="595"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735" w:hRule="atLeast"/>
          <w:jc w:val="center"/>
        </w:trPr>
        <w:tc>
          <w:tcPr>
            <w:tcW w:w="503"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产出及效率</w:t>
            </w:r>
          </w:p>
        </w:tc>
        <w:tc>
          <w:tcPr>
            <w:tcW w:w="503"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30</w:t>
            </w:r>
          </w:p>
        </w:tc>
        <w:tc>
          <w:tcPr>
            <w:tcW w:w="50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职责履行</w:t>
            </w:r>
          </w:p>
        </w:tc>
        <w:tc>
          <w:tcPr>
            <w:tcW w:w="50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重点工作实际完成率</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eastAsia="zh-CN"/>
              </w:rPr>
              <w:t>根据履职情况，结合绩效目标和项目性质，对重点工作计划完成、产出质量、产出时效和有关成本控制情况评价，实现</w:t>
            </w:r>
            <w:r>
              <w:rPr>
                <w:rFonts w:hint="eastAsia" w:asciiTheme="minorEastAsia" w:hAnsiTheme="minorEastAsia" w:eastAsiaTheme="minorEastAsia" w:cstheme="minorEastAsia"/>
                <w:kern w:val="0"/>
                <w:sz w:val="18"/>
                <w:szCs w:val="18"/>
                <w:lang w:val="en-US" w:eastAsia="zh-CN"/>
              </w:rPr>
              <w:t>70%以上得4分，70%以下不得分。</w:t>
            </w:r>
          </w:p>
        </w:tc>
        <w:tc>
          <w:tcPr>
            <w:tcW w:w="2673" w:type="dxa"/>
            <w:gridSpan w:val="3"/>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p>
        </w:tc>
        <w:tc>
          <w:tcPr>
            <w:tcW w:w="595"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54"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履职 效益</w:t>
            </w: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经济</w:t>
            </w: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2483" w:type="dxa"/>
            <w:gridSpan w:val="4"/>
            <w:vMerge w:val="restart"/>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此两项指标为设置部门整体支出绩效评价指标时必须考虑的共性要素，可根据部门实际情况有选择的进行设置，并将其细化为相应的个性化指标。</w:t>
            </w:r>
          </w:p>
        </w:tc>
        <w:tc>
          <w:tcPr>
            <w:tcW w:w="2673" w:type="dxa"/>
            <w:gridSpan w:val="3"/>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rPr>
            </w:pPr>
          </w:p>
        </w:tc>
        <w:tc>
          <w:tcPr>
            <w:tcW w:w="595"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69"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w:t>
            </w: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2483" w:type="dxa"/>
            <w:gridSpan w:val="4"/>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2673" w:type="dxa"/>
            <w:gridSpan w:val="3"/>
            <w:vMerge w:val="continue"/>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p>
        </w:tc>
        <w:tc>
          <w:tcPr>
            <w:tcW w:w="595" w:type="dxa"/>
            <w:vMerge w:val="continue"/>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12</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行政</w:t>
            </w: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效能</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促进部门改进文风会风，加强经费及资产管理，推动网上办事，提高行政效率，降低行政成本效果较好的计6分；一般3分；无效果或者效果不明显0分。</w:t>
            </w:r>
          </w:p>
        </w:tc>
        <w:tc>
          <w:tcPr>
            <w:tcW w:w="2673" w:type="dxa"/>
            <w:gridSpan w:val="3"/>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根据部门自评材料评定。</w:t>
            </w:r>
          </w:p>
        </w:tc>
        <w:tc>
          <w:tcPr>
            <w:tcW w:w="595"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社会公众或服务对象满意度</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90%（含）以上计6分；</w:t>
            </w:r>
          </w:p>
          <w:p>
            <w:pPr>
              <w:spacing w:line="28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80%（含）-90%，计4分；</w:t>
            </w:r>
          </w:p>
          <w:p>
            <w:pPr>
              <w:spacing w:line="280" w:lineRule="exact"/>
              <w:jc w:val="left"/>
              <w:rPr>
                <w:rFonts w:hint="eastAsia" w:asciiTheme="minorEastAsia" w:hAnsiTheme="minorEastAsia" w:eastAsiaTheme="minorEastAsia" w:cstheme="minorEastAsia"/>
                <w:kern w:val="0"/>
                <w:sz w:val="18"/>
                <w:szCs w:val="18"/>
                <w:lang w:eastAsia="zh-CN"/>
              </w:rPr>
            </w:pPr>
            <w:r>
              <w:rPr>
                <w:rFonts w:hint="eastAsia" w:asciiTheme="minorEastAsia" w:hAnsiTheme="minorEastAsia" w:eastAsiaTheme="minorEastAsia" w:cstheme="minorEastAsia"/>
                <w:kern w:val="0"/>
                <w:sz w:val="18"/>
                <w:szCs w:val="18"/>
              </w:rPr>
              <w:t>70%（含）-80%，计2分；</w:t>
            </w:r>
          </w:p>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低于70%计0分。</w:t>
            </w:r>
          </w:p>
        </w:tc>
        <w:tc>
          <w:tcPr>
            <w:tcW w:w="2673" w:type="dxa"/>
            <w:gridSpan w:val="3"/>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社会公众或服务对象是指部门（单位）履行职责而影响到的部门、群体或个人，一般采取社会调查的方式。</w:t>
            </w:r>
          </w:p>
        </w:tc>
        <w:tc>
          <w:tcPr>
            <w:tcW w:w="595"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shd w:val="clear" w:color="auto" w:fill="FFFFFF"/>
                <w:lang w:val="en-US" w:eastAsia="zh-CN"/>
              </w:rPr>
              <w:t>6</w:t>
            </w:r>
            <w:r>
              <w:rPr>
                <w:rFonts w:hint="eastAsia" w:asciiTheme="minorEastAsia" w:hAnsiTheme="minorEastAsia" w:eastAsiaTheme="minorEastAsia" w:cstheme="minorEastAsia"/>
                <w:kern w:val="0"/>
                <w:sz w:val="18"/>
                <w:szCs w:val="18"/>
                <w:shd w:val="clear" w:color="auto" w:fill="FFFFFF"/>
              </w:rPr>
              <w:fldChar w:fldCharType="begin">
                <w:fldData xml:space="preserve">QgAzADUAMgBGADUAMgBDADkAMAAzADAANAA1ADMAOABCADAARgA0ADAANAA5AEEAOQA0AEUAMgA0
ADQARQAxAA==
</w:fldData>
              </w:fldChar>
            </w:r>
            <w:r>
              <w:rPr>
                <w:rFonts w:hint="eastAsia" w:asciiTheme="minorEastAsia" w:hAnsiTheme="minorEastAsia" w:eastAsiaTheme="minorEastAsia" w:cstheme="minorEastAsia"/>
                <w:kern w:val="0"/>
                <w:sz w:val="18"/>
                <w:szCs w:val="18"/>
                <w:shd w:val="clear" w:color="auto" w:fill="FFFFFF"/>
              </w:rPr>
              <w:instrText xml:space="preserve">Addin PF16</w:instrText>
            </w:r>
            <w:r>
              <w:rPr>
                <w:rFonts w:hint="eastAsia" w:asciiTheme="minorEastAsia" w:hAnsiTheme="minorEastAsia" w:eastAsiaTheme="minorEastAsia" w:cstheme="minorEastAsia"/>
                <w:kern w:val="0"/>
                <w:sz w:val="18"/>
                <w:szCs w:val="18"/>
                <w:shd w:val="clear" w:color="auto" w:fill="FFFFFF"/>
              </w:rPr>
              <w:fldChar w:fldCharType="separate"/>
            </w:r>
            <w:r>
              <w:rPr>
                <w:rFonts w:hint="eastAsia" w:asciiTheme="minorEastAsia" w:hAnsiTheme="minorEastAsia" w:eastAsiaTheme="minorEastAsia" w:cstheme="minorEastAsia"/>
                <w:kern w:val="0"/>
                <w:sz w:val="18"/>
                <w:szCs w:val="18"/>
                <w:shd w:val="clear" w:color="auto" w:fill="FFFFFF"/>
              </w:rPr>
              <w:fldChar w:fldCharType="end"/>
            </w:r>
          </w:p>
        </w:tc>
      </w:tr>
    </w:tbl>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2019</w:t>
      </w:r>
      <w:r>
        <w:rPr>
          <w:rFonts w:hint="eastAsia" w:ascii="方正小标宋简体" w:hAnsi="方正小标宋简体" w:eastAsia="方正小标宋简体" w:cs="方正小标宋简体"/>
          <w:sz w:val="44"/>
          <w:szCs w:val="44"/>
        </w:rPr>
        <w:t>年度</w:t>
      </w:r>
      <w:r>
        <w:rPr>
          <w:rFonts w:hint="eastAsia" w:ascii="方正小标宋简体" w:hAnsi="方正小标宋简体" w:eastAsia="方正小标宋简体" w:cs="方正小标宋简体"/>
          <w:sz w:val="44"/>
          <w:szCs w:val="44"/>
          <w:lang w:eastAsia="zh-CN"/>
        </w:rPr>
        <w:t>望城区社会治理服务中心</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rPr>
        <w:t>部门整体支出预算绩效自评报告</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部门基本情况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（一）机构、人员情况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长沙市望城区</w:t>
      </w:r>
      <w:r>
        <w:rPr>
          <w:rFonts w:hint="eastAsia" w:ascii="仿宋_GB2312" w:hAnsi="仿宋_GB2312" w:eastAsia="仿宋_GB2312" w:cs="仿宋_GB2312"/>
          <w:sz w:val="32"/>
          <w:szCs w:val="32"/>
          <w:lang w:eastAsia="zh-CN"/>
        </w:rPr>
        <w:t>社会治理服务</w:t>
      </w:r>
      <w:r>
        <w:rPr>
          <w:rFonts w:hint="eastAsia" w:ascii="仿宋_GB2312" w:hAnsi="仿宋_GB2312" w:eastAsia="仿宋_GB2312" w:cs="仿宋_GB2312"/>
          <w:sz w:val="32"/>
          <w:szCs w:val="32"/>
        </w:rPr>
        <w:t>中心</w:t>
      </w:r>
      <w:r>
        <w:rPr>
          <w:rFonts w:hint="eastAsia" w:ascii="仿宋_GB2312" w:hAnsi="仿宋_GB2312" w:eastAsia="仿宋_GB2312" w:cs="仿宋_GB2312"/>
          <w:sz w:val="32"/>
          <w:szCs w:val="32"/>
          <w:lang w:eastAsia="zh-CN"/>
        </w:rPr>
        <w:t>根据《中共长沙市委办公厅长沙市人民政府办公厅关于印发</w:t>
      </w:r>
      <w:r>
        <w:rPr>
          <w:rFonts w:hint="eastAsia" w:ascii="仿宋_GB2312" w:hAnsi="仿宋_GB2312" w:eastAsia="仿宋_GB2312" w:cs="仿宋_GB2312"/>
          <w:sz w:val="32"/>
          <w:szCs w:val="32"/>
          <w:lang w:val="en-US" w:eastAsia="zh-CN"/>
        </w:rPr>
        <w:t>&lt;望城区机构改革方案&gt;的通知</w:t>
      </w:r>
      <w:r>
        <w:rPr>
          <w:rFonts w:hint="eastAsia" w:ascii="仿宋_GB2312" w:hAnsi="仿宋_GB2312" w:eastAsia="仿宋_GB2312" w:cs="仿宋_GB2312"/>
          <w:sz w:val="32"/>
          <w:szCs w:val="32"/>
          <w:lang w:eastAsia="zh-CN"/>
        </w:rPr>
        <w:t>》（长办【</w:t>
      </w:r>
      <w:r>
        <w:rPr>
          <w:rFonts w:hint="eastAsia" w:ascii="仿宋_GB2312" w:hAnsi="仿宋_GB2312" w:eastAsia="仿宋_GB2312" w:cs="仿宋_GB2312"/>
          <w:sz w:val="32"/>
          <w:szCs w:val="32"/>
          <w:lang w:val="en-US" w:eastAsia="zh-CN"/>
        </w:rPr>
        <w:t>2019</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21号</w:t>
      </w:r>
      <w:r>
        <w:rPr>
          <w:rFonts w:hint="eastAsia" w:ascii="仿宋_GB2312" w:hAnsi="仿宋_GB2312" w:eastAsia="仿宋_GB2312" w:cs="仿宋_GB2312"/>
          <w:sz w:val="32"/>
          <w:szCs w:val="32"/>
          <w:lang w:eastAsia="zh-CN"/>
        </w:rPr>
        <w:t>）、《中共长沙市委机构编制委员会关于长沙市望城区机构改革涉改科级事业单位调整的批复》（长编委发【</w:t>
      </w:r>
      <w:r>
        <w:rPr>
          <w:rFonts w:hint="eastAsia" w:ascii="仿宋_GB2312" w:hAnsi="仿宋_GB2312" w:eastAsia="仿宋_GB2312" w:cs="仿宋_GB2312"/>
          <w:sz w:val="32"/>
          <w:szCs w:val="32"/>
          <w:lang w:val="en-US" w:eastAsia="zh-CN"/>
        </w:rPr>
        <w:t>2019</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8号</w:t>
      </w:r>
      <w:r>
        <w:rPr>
          <w:rFonts w:hint="eastAsia" w:ascii="仿宋_GB2312" w:hAnsi="仿宋_GB2312" w:eastAsia="仿宋_GB2312" w:cs="仿宋_GB2312"/>
          <w:sz w:val="32"/>
          <w:szCs w:val="32"/>
          <w:lang w:eastAsia="zh-CN"/>
        </w:rPr>
        <w:t>）组建成立。</w:t>
      </w:r>
      <w:r>
        <w:rPr>
          <w:rFonts w:hint="eastAsia" w:ascii="仿宋_GB2312" w:hAnsi="仿宋_GB2312" w:eastAsia="仿宋_GB2312" w:cs="仿宋_GB2312"/>
          <w:sz w:val="32"/>
          <w:szCs w:val="32"/>
        </w:rPr>
        <w:t>目前中心在</w:t>
      </w:r>
      <w:r>
        <w:rPr>
          <w:rFonts w:hint="eastAsia" w:ascii="仿宋_GB2312" w:hAnsi="仿宋_GB2312" w:eastAsia="仿宋_GB2312" w:cs="仿宋_GB2312"/>
          <w:sz w:val="32"/>
          <w:szCs w:val="32"/>
          <w:lang w:eastAsia="zh-CN"/>
        </w:rPr>
        <w:t>职在编</w:t>
      </w:r>
      <w:r>
        <w:rPr>
          <w:rFonts w:hint="eastAsia" w:ascii="仿宋_GB2312" w:hAnsi="仿宋_GB2312" w:eastAsia="仿宋_GB2312" w:cs="仿宋_GB2312"/>
          <w:sz w:val="32"/>
          <w:szCs w:val="32"/>
        </w:rPr>
        <w:t>人员</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eastAsia="zh-CN"/>
        </w:rPr>
        <w:t>借调人员</w:t>
      </w:r>
      <w:r>
        <w:rPr>
          <w:rFonts w:hint="eastAsia" w:ascii="仿宋_GB2312" w:hAnsi="仿宋_GB2312" w:eastAsia="仿宋_GB2312" w:cs="仿宋_GB2312"/>
          <w:sz w:val="32"/>
          <w:szCs w:val="32"/>
          <w:lang w:val="en-US" w:eastAsia="zh-CN"/>
        </w:rPr>
        <w:t>2人，</w:t>
      </w:r>
      <w:r>
        <w:rPr>
          <w:rFonts w:hint="eastAsia" w:ascii="仿宋_GB2312" w:hAnsi="仿宋_GB2312" w:eastAsia="仿宋_GB2312" w:cs="仿宋_GB2312"/>
          <w:sz w:val="32"/>
          <w:szCs w:val="32"/>
        </w:rPr>
        <w:t>政府雇员</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人， 合同制士官</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人，合同制临聘人员</w:t>
      </w:r>
      <w:r>
        <w:rPr>
          <w:rFonts w:hint="eastAsia" w:ascii="仿宋_GB2312" w:hAnsi="仿宋_GB2312" w:eastAsia="仿宋_GB2312" w:cs="仿宋_GB2312"/>
          <w:sz w:val="32"/>
          <w:szCs w:val="32"/>
          <w:lang w:val="en-US" w:eastAsia="zh-CN"/>
        </w:rPr>
        <w:t>39</w:t>
      </w:r>
      <w:r>
        <w:rPr>
          <w:rFonts w:hint="eastAsia" w:ascii="仿宋_GB2312" w:hAnsi="仿宋_GB2312" w:eastAsia="仿宋_GB2312" w:cs="仿宋_GB2312"/>
          <w:sz w:val="32"/>
          <w:szCs w:val="32"/>
        </w:rPr>
        <w:t>人。</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（二）主要职责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ascii="Times New Roman" w:hAnsi="Times New Roman" w:eastAsia="仿宋_GB2312" w:cs="Times New Roman"/>
          <w:sz w:val="32"/>
          <w:szCs w:val="32"/>
        </w:rPr>
      </w:pPr>
      <w:r>
        <w:rPr>
          <w:rFonts w:hint="eastAsia" w:ascii="仿宋_GB2312" w:hAnsi="仿宋_GB2312" w:eastAsia="仿宋_GB2312" w:cs="仿宋_GB2312"/>
          <w:sz w:val="32"/>
          <w:szCs w:val="32"/>
          <w:lang w:val="en-US" w:eastAsia="zh-CN"/>
        </w:rPr>
        <w:t>1.</w:t>
      </w:r>
      <w:r>
        <w:rPr>
          <w:rFonts w:ascii="Times New Roman" w:hAnsi="Times New Roman" w:eastAsia="仿宋_GB2312" w:cs="Times New Roman"/>
          <w:sz w:val="32"/>
          <w:szCs w:val="32"/>
        </w:rPr>
        <w:t>负责全区</w:t>
      </w:r>
      <w:r>
        <w:rPr>
          <w:rFonts w:hint="eastAsia" w:ascii="Times New Roman" w:hAnsi="Times New Roman" w:eastAsia="仿宋_GB2312" w:cs="Times New Roman"/>
          <w:sz w:val="32"/>
          <w:szCs w:val="32"/>
          <w:lang w:eastAsia="zh-CN"/>
        </w:rPr>
        <w:t>社会治理网格化体系建设、运行、管理工作</w:t>
      </w:r>
      <w:r>
        <w:rPr>
          <w:rFonts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ascii="Times New Roman" w:hAnsi="Times New Roman" w:eastAsia="仿宋_GB2312" w:cs="Times New Roman"/>
          <w:sz w:val="32"/>
          <w:szCs w:val="32"/>
        </w:rPr>
      </w:pPr>
      <w:r>
        <w:rPr>
          <w:rFonts w:hint="eastAsia" w:ascii="仿宋_GB2312" w:hAnsi="仿宋_GB2312" w:eastAsia="仿宋_GB2312" w:cs="仿宋_GB2312"/>
          <w:sz w:val="32"/>
          <w:szCs w:val="32"/>
          <w:lang w:val="en-US" w:eastAsia="zh-CN"/>
        </w:rPr>
        <w:t>2.</w:t>
      </w:r>
      <w:r>
        <w:rPr>
          <w:rFonts w:ascii="Times New Roman" w:hAnsi="Times New Roman" w:eastAsia="仿宋_GB2312" w:cs="Times New Roman"/>
          <w:sz w:val="32"/>
          <w:szCs w:val="32"/>
        </w:rPr>
        <w:t>负责全区</w:t>
      </w:r>
      <w:r>
        <w:rPr>
          <w:rFonts w:hint="eastAsia" w:ascii="Times New Roman" w:hAnsi="Times New Roman" w:eastAsia="仿宋_GB2312" w:cs="Times New Roman"/>
          <w:sz w:val="32"/>
          <w:szCs w:val="32"/>
          <w:lang w:eastAsia="zh-CN"/>
        </w:rPr>
        <w:t>市场、农业、交通、文化、生态环境、城市管理等执法领域以及应急、综治维稳等方面各类社会治理信息的收集、跟踪、反馈、调度等</w:t>
      </w:r>
      <w:r>
        <w:rPr>
          <w:rFonts w:ascii="Times New Roman" w:hAnsi="Times New Roman" w:eastAsia="仿宋_GB2312" w:cs="Times New Roman"/>
          <w:sz w:val="32"/>
          <w:szCs w:val="32"/>
        </w:rPr>
        <w:t>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ascii="Times New Roman" w:hAnsi="Times New Roman" w:eastAsia="仿宋_GB2312" w:cs="Times New Roman"/>
          <w:sz w:val="32"/>
          <w:szCs w:val="32"/>
        </w:rPr>
      </w:pPr>
      <w:r>
        <w:rPr>
          <w:rFonts w:hint="eastAsia" w:ascii="仿宋_GB2312" w:hAnsi="仿宋_GB2312" w:eastAsia="仿宋_GB2312" w:cs="仿宋_GB2312"/>
          <w:sz w:val="32"/>
          <w:szCs w:val="32"/>
          <w:lang w:val="en-US" w:eastAsia="zh-CN"/>
        </w:rPr>
        <w:t>3.</w:t>
      </w:r>
      <w:r>
        <w:rPr>
          <w:rFonts w:ascii="Times New Roman" w:hAnsi="Times New Roman" w:eastAsia="仿宋_GB2312" w:cs="Times New Roman"/>
          <w:sz w:val="32"/>
          <w:szCs w:val="32"/>
        </w:rPr>
        <w:t>负责全区</w:t>
      </w:r>
      <w:r>
        <w:rPr>
          <w:rFonts w:hint="eastAsia" w:ascii="Times New Roman" w:hAnsi="Times New Roman" w:eastAsia="仿宋_GB2312" w:cs="Times New Roman"/>
          <w:sz w:val="32"/>
          <w:szCs w:val="32"/>
          <w:lang w:eastAsia="zh-CN"/>
        </w:rPr>
        <w:t>社会治理问题及热线的受理、分派、反馈工</w:t>
      </w:r>
      <w:r>
        <w:rPr>
          <w:rFonts w:ascii="Times New Roman" w:hAnsi="Times New Roman" w:eastAsia="仿宋_GB2312" w:cs="Times New Roman"/>
          <w:sz w:val="32"/>
          <w:szCs w:val="32"/>
        </w:rPr>
        <w:t>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imes New Roman" w:hAnsi="Times New Roman" w:eastAsia="仿宋_GB2312" w:cs="Times New Roman"/>
          <w:sz w:val="32"/>
          <w:szCs w:val="32"/>
          <w:lang w:eastAsia="zh-CN"/>
        </w:rPr>
      </w:pPr>
      <w:r>
        <w:rPr>
          <w:rFonts w:hint="eastAsia" w:ascii="仿宋_GB2312" w:hAnsi="仿宋_GB2312" w:eastAsia="仿宋_GB2312" w:cs="仿宋_GB2312"/>
          <w:sz w:val="32"/>
          <w:szCs w:val="32"/>
          <w:lang w:val="en-US" w:eastAsia="zh-CN"/>
        </w:rPr>
        <w:t>4.</w:t>
      </w:r>
      <w:r>
        <w:rPr>
          <w:rFonts w:ascii="Times New Roman" w:hAnsi="Times New Roman" w:eastAsia="仿宋_GB2312" w:cs="Times New Roman"/>
          <w:sz w:val="32"/>
          <w:szCs w:val="32"/>
        </w:rPr>
        <w:t>负责</w:t>
      </w:r>
      <w:r>
        <w:rPr>
          <w:rFonts w:hint="eastAsia" w:ascii="Times New Roman" w:hAnsi="Times New Roman" w:eastAsia="仿宋_GB2312" w:cs="Times New Roman"/>
          <w:sz w:val="32"/>
          <w:szCs w:val="32"/>
          <w:lang w:eastAsia="zh-CN"/>
        </w:rPr>
        <w:t>组织</w:t>
      </w:r>
      <w:r>
        <w:rPr>
          <w:rFonts w:ascii="Times New Roman" w:hAnsi="Times New Roman" w:eastAsia="仿宋_GB2312" w:cs="Times New Roman"/>
          <w:sz w:val="32"/>
          <w:szCs w:val="32"/>
        </w:rPr>
        <w:t>区</w:t>
      </w:r>
      <w:r>
        <w:rPr>
          <w:rFonts w:hint="eastAsia" w:ascii="Times New Roman" w:hAnsi="Times New Roman" w:eastAsia="仿宋_GB2312" w:cs="Times New Roman"/>
          <w:sz w:val="32"/>
          <w:szCs w:val="32"/>
          <w:lang w:eastAsia="zh-CN"/>
        </w:rPr>
        <w:t>、街镇、村（社区）三级信息过滤、调度、处置平台的建设、维护、管理和应用工作，建立健全与应急、城管及其他执法机构的信息共享机制。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ascii="Times New Roman" w:hAnsi="Times New Roman" w:eastAsia="仿宋_GB2312" w:cs="Times New Roman"/>
          <w:sz w:val="32"/>
          <w:szCs w:val="32"/>
        </w:rPr>
      </w:pPr>
      <w:r>
        <w:rPr>
          <w:rFonts w:hint="eastAsia" w:ascii="仿宋_GB2312" w:hAnsi="仿宋_GB2312" w:eastAsia="仿宋_GB2312" w:cs="仿宋_GB2312"/>
          <w:sz w:val="32"/>
          <w:szCs w:val="32"/>
          <w:lang w:val="en-US" w:eastAsia="zh-CN"/>
        </w:rPr>
        <w:t>5.</w:t>
      </w:r>
      <w:r>
        <w:rPr>
          <w:rFonts w:ascii="Times New Roman" w:hAnsi="Times New Roman" w:eastAsia="仿宋_GB2312" w:cs="Times New Roman"/>
          <w:sz w:val="32"/>
          <w:szCs w:val="32"/>
        </w:rPr>
        <w:t xml:space="preserve">完成区委、区政府交办的其他任务。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部门预算管理及执行情况</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lang w:eastAsia="zh-CN"/>
        </w:rPr>
      </w:pPr>
      <w:r>
        <w:rPr>
          <w:rFonts w:hint="eastAsia" w:ascii="楷体_GB2312" w:hAnsi="楷体_GB2312" w:eastAsia="楷体_GB2312" w:cs="楷体_GB2312"/>
          <w:lang w:eastAsia="zh-CN"/>
        </w:rPr>
        <w:t>基本支出</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hAnsi="仿宋_GB2312" w:cs="仿宋_GB2312"/>
          <w:sz w:val="32"/>
          <w:szCs w:val="32"/>
          <w:lang w:val="en-US" w:eastAsia="zh-CN"/>
        </w:rPr>
        <w:t>1.</w:t>
      </w:r>
      <w:r>
        <w:rPr>
          <w:rFonts w:hint="eastAsia" w:ascii="仿宋_GB2312" w:hAnsi="仿宋_GB2312" w:eastAsia="仿宋_GB2312" w:cs="仿宋_GB2312"/>
          <w:sz w:val="32"/>
          <w:szCs w:val="32"/>
          <w:lang w:val="en-US" w:eastAsia="zh-CN"/>
        </w:rPr>
        <w:t>人员经费支出244.3万元。包括在职人员的工资福利支出</w:t>
      </w:r>
      <w:r>
        <w:rPr>
          <w:rFonts w:hint="eastAsia" w:hAnsi="仿宋_GB2312" w:cs="仿宋_GB2312"/>
          <w:sz w:val="32"/>
          <w:szCs w:val="32"/>
          <w:lang w:val="en-US" w:eastAsia="zh-CN"/>
        </w:rPr>
        <w:t>；</w:t>
      </w:r>
      <w:r>
        <w:rPr>
          <w:rFonts w:hint="eastAsia" w:ascii="仿宋_GB2312" w:hAnsi="仿宋_GB2312" w:eastAsia="仿宋_GB2312" w:cs="仿宋_GB2312"/>
          <w:sz w:val="32"/>
          <w:szCs w:val="32"/>
          <w:lang w:val="en-US" w:eastAsia="zh-CN"/>
        </w:rPr>
        <w:t>政策规定发放的补贴及奖金</w:t>
      </w:r>
      <w:r>
        <w:rPr>
          <w:rFonts w:hint="eastAsia" w:hAnsi="仿宋_GB2312" w:cs="仿宋_GB2312"/>
          <w:sz w:val="32"/>
          <w:szCs w:val="32"/>
          <w:lang w:val="en-US" w:eastAsia="zh-CN"/>
        </w:rPr>
        <w:t>；</w:t>
      </w:r>
      <w:r>
        <w:rPr>
          <w:rFonts w:hint="eastAsia" w:ascii="仿宋_GB2312" w:hAnsi="仿宋_GB2312" w:eastAsia="仿宋_GB2312" w:cs="仿宋_GB2312"/>
          <w:sz w:val="32"/>
          <w:szCs w:val="32"/>
          <w:lang w:val="en-US" w:eastAsia="zh-CN"/>
        </w:rPr>
        <w:t>社会保障缴费等。</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hAnsi="仿宋_GB2312" w:cs="仿宋_GB2312"/>
          <w:sz w:val="32"/>
          <w:szCs w:val="32"/>
          <w:lang w:val="en-US" w:eastAsia="zh-CN"/>
        </w:rPr>
        <w:t>2.</w:t>
      </w:r>
      <w:r>
        <w:rPr>
          <w:rFonts w:hint="eastAsia" w:ascii="仿宋_GB2312" w:hAnsi="仿宋_GB2312" w:eastAsia="仿宋_GB2312" w:cs="仿宋_GB2312"/>
          <w:sz w:val="32"/>
          <w:szCs w:val="32"/>
          <w:lang w:val="en-US" w:eastAsia="zh-CN"/>
        </w:rPr>
        <w:t>日常公用经费支出31</w:t>
      </w:r>
      <w:r>
        <w:rPr>
          <w:rFonts w:hint="eastAsia" w:hAnsi="仿宋_GB2312" w:cs="仿宋_GB2312"/>
          <w:sz w:val="32"/>
          <w:szCs w:val="32"/>
          <w:lang w:val="en-US" w:eastAsia="zh-CN"/>
        </w:rPr>
        <w:t>.2</w:t>
      </w:r>
      <w:r>
        <w:rPr>
          <w:rFonts w:hint="eastAsia" w:ascii="仿宋_GB2312" w:hAnsi="仿宋_GB2312" w:eastAsia="仿宋_GB2312" w:cs="仿宋_GB2312"/>
          <w:sz w:val="32"/>
          <w:szCs w:val="32"/>
          <w:lang w:val="en-US" w:eastAsia="zh-CN"/>
        </w:rPr>
        <w:t>万元。包括车辆运行及其他交通费用；以及办公费、印刷费、邮电费、维修（护）费、劳务费、工会经费及其他商品服务支出。</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hAnsi="仿宋_GB2312" w:cs="仿宋_GB2312"/>
          <w:sz w:val="32"/>
          <w:szCs w:val="32"/>
          <w:lang w:val="en-US" w:eastAsia="zh-CN"/>
        </w:rPr>
        <w:t>3.</w:t>
      </w:r>
      <w:r>
        <w:rPr>
          <w:rFonts w:hint="eastAsia" w:ascii="仿宋_GB2312" w:hAnsi="仿宋_GB2312" w:eastAsia="仿宋_GB2312" w:cs="仿宋_GB2312"/>
          <w:sz w:val="32"/>
          <w:szCs w:val="32"/>
          <w:lang w:val="en-US" w:eastAsia="zh-CN"/>
        </w:rPr>
        <w:t>对个人和家庭的补助支出</w:t>
      </w:r>
      <w:r>
        <w:rPr>
          <w:rFonts w:hint="eastAsia" w:hAnsi="仿宋_GB2312" w:cs="仿宋_GB2312"/>
          <w:sz w:val="32"/>
          <w:szCs w:val="32"/>
          <w:lang w:val="en-US" w:eastAsia="zh-CN"/>
        </w:rPr>
        <w:t>0</w:t>
      </w:r>
      <w:r>
        <w:rPr>
          <w:rFonts w:hint="eastAsia" w:ascii="仿宋_GB2312" w:hAnsi="仿宋_GB2312" w:eastAsia="仿宋_GB2312" w:cs="仿宋_GB2312"/>
          <w:sz w:val="32"/>
          <w:szCs w:val="32"/>
          <w:lang w:val="en-US" w:eastAsia="zh-CN"/>
        </w:rPr>
        <w:t>万元。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hAnsi="仿宋_GB2312" w:cs="仿宋_GB2312"/>
          <w:sz w:val="32"/>
          <w:szCs w:val="32"/>
          <w:lang w:val="en-US" w:eastAsia="zh-CN"/>
        </w:rPr>
        <w:t>4.</w:t>
      </w:r>
      <w:r>
        <w:rPr>
          <w:rFonts w:hint="eastAsia" w:ascii="仿宋_GB2312" w:hAnsi="仿宋_GB2312" w:eastAsia="仿宋_GB2312" w:cs="仿宋_GB2312"/>
          <w:sz w:val="32"/>
          <w:szCs w:val="32"/>
          <w:lang w:val="en-US" w:eastAsia="zh-CN"/>
        </w:rPr>
        <w:t>“三公经费”：</w:t>
      </w:r>
      <w:r>
        <w:rPr>
          <w:rFonts w:hint="eastAsia" w:hAnsi="仿宋_GB2312" w:cs="仿宋_GB2312"/>
          <w:sz w:val="32"/>
          <w:szCs w:val="32"/>
          <w:lang w:val="en-US" w:eastAsia="zh-CN"/>
        </w:rPr>
        <w:t>2019年度“三公经费”总支出5.2万元。其中公务用车运行维护费5万元，公务接待费</w:t>
      </w:r>
      <w:r>
        <w:rPr>
          <w:rFonts w:hint="eastAsia" w:ascii="仿宋_GB2312" w:hAnsi="仿宋_GB2312" w:eastAsia="仿宋_GB2312" w:cs="仿宋_GB2312"/>
          <w:sz w:val="32"/>
          <w:szCs w:val="32"/>
          <w:lang w:val="en-US" w:eastAsia="zh-CN"/>
        </w:rPr>
        <w:t>支出数为</w:t>
      </w:r>
      <w:r>
        <w:rPr>
          <w:rFonts w:hint="eastAsia" w:hAnsi="仿宋_GB2312" w:cs="仿宋_GB2312"/>
          <w:sz w:val="32"/>
          <w:szCs w:val="32"/>
          <w:lang w:val="en-US" w:eastAsia="zh-CN"/>
        </w:rPr>
        <w:t>0.2</w:t>
      </w:r>
      <w:r>
        <w:rPr>
          <w:rFonts w:hint="eastAsia" w:ascii="仿宋_GB2312" w:hAnsi="仿宋_GB2312" w:eastAsia="仿宋_GB2312" w:cs="仿宋_GB2312"/>
          <w:sz w:val="32"/>
          <w:szCs w:val="32"/>
          <w:lang w:val="en-US" w:eastAsia="zh-CN"/>
        </w:rPr>
        <w:t>万元。</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（二）项目支出</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hAnsi="仿宋_GB2312" w:cs="仿宋_GB2312"/>
          <w:sz w:val="32"/>
          <w:szCs w:val="32"/>
          <w:lang w:val="en-US" w:eastAsia="zh-CN"/>
        </w:rPr>
        <w:t>1.2019</w:t>
      </w:r>
      <w:r>
        <w:rPr>
          <w:rFonts w:hint="eastAsia" w:ascii="仿宋_GB2312" w:hAnsi="仿宋_GB2312" w:eastAsia="仿宋_GB2312" w:cs="仿宋_GB2312"/>
          <w:sz w:val="32"/>
          <w:szCs w:val="32"/>
          <w:lang w:val="en-US" w:eastAsia="zh-CN"/>
        </w:rPr>
        <w:t>年度预算安排专项资金</w:t>
      </w:r>
      <w:r>
        <w:rPr>
          <w:rFonts w:hint="eastAsia" w:hAnsi="仿宋_GB2312" w:cs="仿宋_GB2312"/>
          <w:sz w:val="32"/>
          <w:szCs w:val="32"/>
          <w:lang w:val="en-US" w:eastAsia="zh-CN"/>
        </w:rPr>
        <w:t>487.8</w:t>
      </w:r>
      <w:r>
        <w:rPr>
          <w:rFonts w:hint="eastAsia" w:ascii="仿宋_GB2312" w:hAnsi="仿宋_GB2312" w:eastAsia="仿宋_GB2312" w:cs="仿宋_GB2312"/>
          <w:sz w:val="32"/>
          <w:szCs w:val="32"/>
          <w:lang w:val="en-US" w:eastAsia="zh-CN"/>
        </w:rPr>
        <w:t>万元。含应急指挥日常事务经费450万元</w:t>
      </w:r>
      <w:r>
        <w:rPr>
          <w:rFonts w:hint="eastAsia" w:hAnsi="仿宋_GB2312" w:cs="仿宋_GB2312"/>
          <w:sz w:val="32"/>
          <w:szCs w:val="32"/>
          <w:lang w:val="en-US" w:eastAsia="zh-CN"/>
        </w:rPr>
        <w:t>，云视讯高清会议系统租赁</w:t>
      </w:r>
      <w:r>
        <w:rPr>
          <w:rFonts w:hint="eastAsia" w:ascii="仿宋_GB2312" w:hAnsi="仿宋_GB2312" w:eastAsia="仿宋_GB2312" w:cs="仿宋_GB2312"/>
          <w:sz w:val="32"/>
          <w:szCs w:val="32"/>
          <w:lang w:val="en-US" w:eastAsia="zh-CN"/>
        </w:rPr>
        <w:t>经费</w:t>
      </w:r>
      <w:r>
        <w:rPr>
          <w:rFonts w:hint="eastAsia" w:hAnsi="仿宋_GB2312" w:cs="仿宋_GB2312"/>
          <w:sz w:val="32"/>
          <w:szCs w:val="32"/>
          <w:lang w:val="en-US" w:eastAsia="zh-CN"/>
        </w:rPr>
        <w:t>37.8</w:t>
      </w:r>
      <w:r>
        <w:rPr>
          <w:rFonts w:hint="eastAsia" w:ascii="仿宋_GB2312" w:hAnsi="仿宋_GB2312" w:eastAsia="仿宋_GB2312" w:cs="仿宋_GB2312"/>
          <w:sz w:val="32"/>
          <w:szCs w:val="32"/>
          <w:lang w:val="en-US" w:eastAsia="zh-CN"/>
        </w:rPr>
        <w:t>万元。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hAnsi="仿宋_GB2312" w:cs="仿宋_GB2312"/>
          <w:sz w:val="32"/>
          <w:szCs w:val="32"/>
          <w:lang w:val="en-US" w:eastAsia="zh-CN"/>
        </w:rPr>
        <w:t>2.</w:t>
      </w:r>
      <w:r>
        <w:rPr>
          <w:rFonts w:hint="eastAsia" w:ascii="仿宋_GB2312" w:hAnsi="仿宋_GB2312" w:eastAsia="仿宋_GB2312" w:cs="仿宋_GB2312"/>
          <w:sz w:val="32"/>
          <w:szCs w:val="32"/>
          <w:lang w:val="en-US" w:eastAsia="zh-CN"/>
        </w:rPr>
        <w:t>实际使用情况分析</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hAnsi="仿宋_GB2312" w:cs="仿宋_GB2312"/>
          <w:sz w:val="32"/>
          <w:szCs w:val="32"/>
          <w:lang w:val="en-US" w:eastAsia="zh-CN"/>
        </w:rPr>
        <w:t>2019</w:t>
      </w:r>
      <w:r>
        <w:rPr>
          <w:rFonts w:hint="eastAsia" w:ascii="仿宋_GB2312" w:hAnsi="仿宋_GB2312" w:eastAsia="仿宋_GB2312" w:cs="仿宋_GB2312"/>
          <w:sz w:val="32"/>
          <w:szCs w:val="32"/>
          <w:lang w:val="en-US" w:eastAsia="zh-CN"/>
        </w:rPr>
        <w:t>年度项目支出</w:t>
      </w:r>
      <w:r>
        <w:rPr>
          <w:rFonts w:hint="eastAsia" w:hAnsi="仿宋_GB2312" w:cs="仿宋_GB2312"/>
          <w:sz w:val="32"/>
          <w:szCs w:val="32"/>
          <w:lang w:val="en-US" w:eastAsia="zh-CN"/>
        </w:rPr>
        <w:t>527</w:t>
      </w:r>
      <w:r>
        <w:rPr>
          <w:rFonts w:hint="eastAsia" w:ascii="仿宋_GB2312" w:hAnsi="仿宋_GB2312" w:eastAsia="仿宋_GB2312" w:cs="仿宋_GB2312"/>
          <w:sz w:val="32"/>
          <w:szCs w:val="32"/>
          <w:lang w:val="en-US" w:eastAsia="zh-CN"/>
        </w:rPr>
        <w:t>万元。包含临聘人员工资</w:t>
      </w:r>
      <w:r>
        <w:rPr>
          <w:rFonts w:hint="eastAsia" w:hAnsi="仿宋_GB2312" w:cs="仿宋_GB2312"/>
          <w:sz w:val="32"/>
          <w:szCs w:val="32"/>
          <w:lang w:val="en-US" w:eastAsia="zh-CN"/>
        </w:rPr>
        <w:t>社保</w:t>
      </w:r>
      <w:r>
        <w:rPr>
          <w:rFonts w:hint="eastAsia" w:ascii="仿宋_GB2312" w:hAnsi="仿宋_GB2312" w:eastAsia="仿宋_GB2312" w:cs="仿宋_GB2312"/>
          <w:sz w:val="32"/>
          <w:szCs w:val="32"/>
          <w:lang w:val="en-US" w:eastAsia="zh-CN"/>
        </w:rPr>
        <w:t>等福利支出、</w:t>
      </w:r>
      <w:r>
        <w:rPr>
          <w:rFonts w:hint="eastAsia" w:hAnsi="仿宋_GB2312" w:cs="仿宋_GB2312"/>
          <w:sz w:val="32"/>
          <w:szCs w:val="32"/>
          <w:lang w:val="en-US" w:eastAsia="zh-CN"/>
        </w:rPr>
        <w:t>工装购置、</w:t>
      </w:r>
      <w:r>
        <w:rPr>
          <w:rFonts w:hint="eastAsia" w:ascii="仿宋_GB2312" w:hAnsi="仿宋_GB2312" w:eastAsia="仿宋_GB2312" w:cs="仿宋_GB2312"/>
          <w:sz w:val="32"/>
          <w:szCs w:val="32"/>
          <w:lang w:val="en-US" w:eastAsia="zh-CN"/>
        </w:rPr>
        <w:t>云视讯高清会议系统租赁等费用支出。</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黑体" w:cs="Times New Roman"/>
          <w:sz w:val="32"/>
          <w:szCs w:val="32"/>
          <w:lang w:eastAsia="zh-CN"/>
        </w:rPr>
      </w:pPr>
      <w:r>
        <w:rPr>
          <w:rFonts w:hint="default" w:ascii="Times New Roman" w:hAnsi="Times New Roman" w:eastAsia="黑体" w:cs="Times New Roman"/>
          <w:sz w:val="32"/>
          <w:szCs w:val="32"/>
        </w:rPr>
        <w:t>部门</w:t>
      </w:r>
      <w:r>
        <w:rPr>
          <w:rFonts w:hint="eastAsia" w:ascii="Times New Roman" w:hAnsi="Times New Roman" w:eastAsia="黑体" w:cs="Times New Roman"/>
          <w:sz w:val="32"/>
          <w:szCs w:val="32"/>
          <w:lang w:eastAsia="zh-CN"/>
        </w:rPr>
        <w:t>资产管理情况</w:t>
      </w:r>
    </w:p>
    <w:p>
      <w:pPr>
        <w:keepNext w:val="0"/>
        <w:keepLines w:val="0"/>
        <w:pageBreakBefore w:val="0"/>
        <w:widowControl w:val="0"/>
        <w:kinsoku/>
        <w:wordWrap/>
        <w:overflowPunct/>
        <w:topLinePunct w:val="0"/>
        <w:autoSpaceDE/>
        <w:autoSpaceDN/>
        <w:bidi w:val="0"/>
        <w:adjustRightInd/>
        <w:snapToGrid/>
        <w:spacing w:line="600" w:lineRule="exact"/>
        <w:ind w:firstLine="720" w:firstLineChars="225"/>
        <w:textAlignment w:val="auto"/>
        <w:rPr>
          <w:rFonts w:hint="eastAsia" w:ascii="仿宋_GB2312" w:hAnsi="仿宋_GB2312" w:eastAsia="仿宋_GB2312" w:cs="仿宋_GB2312"/>
          <w:b w:val="0"/>
          <w:bCs/>
          <w:kern w:val="0"/>
          <w:sz w:val="32"/>
          <w:szCs w:val="32"/>
          <w:lang w:val="en-US" w:eastAsia="zh-CN"/>
        </w:rPr>
      </w:pPr>
      <w:r>
        <w:rPr>
          <w:rFonts w:hint="eastAsia" w:ascii="仿宋_GB2312" w:hAnsi="仿宋_GB2312" w:eastAsia="仿宋_GB2312" w:cs="仿宋_GB2312"/>
          <w:b w:val="0"/>
          <w:bCs/>
          <w:kern w:val="0"/>
          <w:sz w:val="32"/>
          <w:szCs w:val="32"/>
          <w:lang w:eastAsia="zh-CN"/>
        </w:rPr>
        <w:t>截至</w:t>
      </w:r>
      <w:r>
        <w:rPr>
          <w:rFonts w:hint="eastAsia" w:ascii="仿宋_GB2312" w:hAnsi="仿宋_GB2312" w:eastAsia="仿宋_GB2312" w:cs="仿宋_GB2312"/>
          <w:b w:val="0"/>
          <w:bCs/>
          <w:kern w:val="0"/>
          <w:sz w:val="32"/>
          <w:szCs w:val="32"/>
          <w:lang w:val="en-US" w:eastAsia="zh-CN"/>
        </w:rPr>
        <w:t>2019年12月31日，我单位资产总计账面数242.4万元。经清查盘点后，资产总计实有数242.4万元。其中流动资产13.1万元，占5.4%；固定资产期末账面数原值408.2万元，累计折旧179.4万元，净值228.8万元，占94.4%；无形资产期末账面数原值0.7万元，累计摊销0.2万元，净值0.5万元，占0.2%。其中：通用设备327.6万元，占固定资产80.2%；专用设备37.9万元，占9.3%；</w:t>
      </w:r>
      <w:r>
        <w:rPr>
          <w:rFonts w:hint="eastAsia" w:ascii="仿宋_GB2312" w:hAnsi="仿宋_GB2312" w:eastAsia="仿宋_GB2312" w:cs="仿宋_GB2312"/>
          <w:sz w:val="32"/>
          <w:szCs w:val="32"/>
        </w:rPr>
        <w:t>家具、用具、装具及动植物</w:t>
      </w:r>
      <w:r>
        <w:rPr>
          <w:rFonts w:hint="eastAsia" w:ascii="仿宋_GB2312" w:hAnsi="仿宋_GB2312" w:eastAsia="仿宋_GB2312" w:cs="仿宋_GB2312"/>
          <w:sz w:val="32"/>
          <w:szCs w:val="32"/>
          <w:lang w:val="en-US" w:eastAsia="zh-CN"/>
        </w:rPr>
        <w:t>42.7</w:t>
      </w:r>
      <w:r>
        <w:rPr>
          <w:rFonts w:hint="eastAsia" w:ascii="仿宋_GB2312" w:hAnsi="仿宋_GB2312" w:eastAsia="仿宋_GB2312" w:cs="仿宋_GB2312"/>
          <w:b w:val="0"/>
          <w:bCs/>
          <w:kern w:val="0"/>
          <w:sz w:val="32"/>
          <w:szCs w:val="32"/>
          <w:lang w:val="en-US" w:eastAsia="zh-CN"/>
        </w:rPr>
        <w:t>万元，占10.5%。</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kern w:val="0"/>
          <w:sz w:val="32"/>
          <w:szCs w:val="32"/>
          <w:lang w:val="en-US" w:eastAsia="zh-CN"/>
        </w:rPr>
      </w:pPr>
      <w:r>
        <w:rPr>
          <w:rFonts w:hint="eastAsia" w:ascii="仿宋_GB2312" w:hAnsi="仿宋_GB2312" w:eastAsia="仿宋_GB2312" w:cs="仿宋_GB2312"/>
          <w:b w:val="0"/>
          <w:bCs/>
          <w:kern w:val="0"/>
          <w:sz w:val="32"/>
          <w:szCs w:val="32"/>
          <w:lang w:val="en-US" w:eastAsia="zh-CN"/>
        </w:rPr>
        <w:t>资产管理由财务室进行核算并设置专人进行资产卡片管理及使用状况监督；办公设备由办公室设置专人进行实物卡片管理及使用状况监督。我单位建立了严格的资产交付使用验收制度。资产采购根据合同、供应商发货单等对所购资产的品种、规格、数量、质量、技术要求及其他资料进行验收。未通过验收的不合格资产，不得接收，务必按照合同等有关规定办理退换货或其他的弥补措施。</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rPr>
      </w:pPr>
      <w:r>
        <w:rPr>
          <w:rFonts w:hint="eastAsia" w:ascii="Times New Roman" w:hAnsi="Times New Roman" w:eastAsia="黑体" w:cs="Times New Roman"/>
          <w:sz w:val="32"/>
          <w:szCs w:val="32"/>
          <w:lang w:eastAsia="zh-CN"/>
        </w:rPr>
        <w:t>四、</w:t>
      </w:r>
      <w:r>
        <w:rPr>
          <w:rFonts w:hint="default" w:ascii="Times New Roman" w:hAnsi="Times New Roman" w:eastAsia="黑体" w:cs="Times New Roman"/>
          <w:sz w:val="32"/>
          <w:szCs w:val="32"/>
        </w:rPr>
        <w:t>部门整体支出绩效目标及开展情况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w:t>
      </w:r>
      <w:r>
        <w:rPr>
          <w:rFonts w:hint="eastAsia" w:hAnsi="仿宋_GB2312" w:cs="仿宋_GB2312"/>
          <w:sz w:val="32"/>
          <w:szCs w:val="32"/>
          <w:lang w:val="en-US" w:eastAsia="zh-CN"/>
        </w:rPr>
        <w:t>9</w:t>
      </w:r>
      <w:r>
        <w:rPr>
          <w:rFonts w:hint="eastAsia" w:ascii="仿宋_GB2312" w:hAnsi="仿宋_GB2312" w:eastAsia="仿宋_GB2312" w:cs="仿宋_GB2312"/>
          <w:sz w:val="32"/>
          <w:szCs w:val="32"/>
          <w:lang w:val="en-US" w:eastAsia="zh-CN"/>
        </w:rPr>
        <w:t>年度区</w:t>
      </w:r>
      <w:r>
        <w:rPr>
          <w:rFonts w:hint="eastAsia" w:hAnsi="仿宋_GB2312" w:cs="仿宋_GB2312"/>
          <w:sz w:val="32"/>
          <w:szCs w:val="32"/>
          <w:lang w:val="en-US" w:eastAsia="zh-CN"/>
        </w:rPr>
        <w:t>社会治理服务</w:t>
      </w:r>
      <w:r>
        <w:rPr>
          <w:rFonts w:hint="eastAsia" w:ascii="仿宋_GB2312" w:hAnsi="仿宋_GB2312" w:eastAsia="仿宋_GB2312" w:cs="仿宋_GB2312"/>
          <w:sz w:val="32"/>
          <w:szCs w:val="32"/>
          <w:lang w:val="en-US" w:eastAsia="zh-CN"/>
        </w:rPr>
        <w:t>中心部门整体支出绩效自我评价打分</w:t>
      </w:r>
      <w:r>
        <w:rPr>
          <w:rFonts w:hint="eastAsia" w:hAnsi="仿宋_GB2312" w:cs="仿宋_GB2312"/>
          <w:sz w:val="32"/>
          <w:szCs w:val="32"/>
          <w:lang w:val="en-US" w:eastAsia="zh-CN"/>
        </w:rPr>
        <w:t>95</w:t>
      </w:r>
      <w:r>
        <w:rPr>
          <w:rFonts w:hint="eastAsia" w:ascii="仿宋_GB2312" w:hAnsi="仿宋_GB2312" w:eastAsia="仿宋_GB2312" w:cs="仿宋_GB2312"/>
          <w:sz w:val="32"/>
          <w:szCs w:val="32"/>
          <w:lang w:val="en-US" w:eastAsia="zh-CN"/>
        </w:rPr>
        <w:t>分。具体评价情况如下：</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hAnsi="仿宋_GB2312" w:cs="仿宋_GB2312"/>
          <w:sz w:val="32"/>
          <w:szCs w:val="32"/>
          <w:lang w:val="en-US" w:eastAsia="zh-CN"/>
        </w:rPr>
        <w:t>1.</w:t>
      </w:r>
      <w:r>
        <w:rPr>
          <w:rFonts w:hint="eastAsia" w:ascii="仿宋_GB2312" w:hAnsi="仿宋_GB2312" w:eastAsia="仿宋_GB2312" w:cs="仿宋_GB2312"/>
          <w:sz w:val="32"/>
          <w:szCs w:val="32"/>
          <w:lang w:val="en-US" w:eastAsia="zh-CN"/>
        </w:rPr>
        <w:t>投入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预算配置指标分值</w:t>
      </w:r>
      <w:r>
        <w:rPr>
          <w:rFonts w:hint="eastAsia" w:hAnsi="仿宋_GB2312" w:cs="仿宋_GB2312"/>
          <w:sz w:val="32"/>
          <w:szCs w:val="32"/>
          <w:lang w:val="en-US" w:eastAsia="zh-CN"/>
        </w:rPr>
        <w:t>7分。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hAnsi="仿宋_GB2312" w:cs="仿宋_GB2312"/>
          <w:sz w:val="32"/>
          <w:szCs w:val="32"/>
          <w:lang w:val="en-US" w:eastAsia="zh-CN"/>
        </w:rPr>
        <w:t>2.</w:t>
      </w:r>
      <w:r>
        <w:rPr>
          <w:rFonts w:hint="eastAsia" w:ascii="仿宋_GB2312" w:hAnsi="仿宋_GB2312" w:eastAsia="仿宋_GB2312" w:cs="仿宋_GB2312"/>
          <w:sz w:val="32"/>
          <w:szCs w:val="32"/>
          <w:lang w:val="en-US" w:eastAsia="zh-CN"/>
        </w:rPr>
        <w:t>过程</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预算执行指标分值</w:t>
      </w:r>
      <w:r>
        <w:rPr>
          <w:rFonts w:hint="eastAsia" w:hAnsi="仿宋_GB2312" w:cs="仿宋_GB2312"/>
          <w:sz w:val="32"/>
          <w:szCs w:val="32"/>
          <w:lang w:val="en-US" w:eastAsia="zh-CN"/>
        </w:rPr>
        <w:t>19</w:t>
      </w:r>
      <w:r>
        <w:rPr>
          <w:rFonts w:hint="eastAsia" w:ascii="仿宋_GB2312" w:hAnsi="仿宋_GB2312" w:eastAsia="仿宋_GB2312" w:cs="仿宋_GB2312"/>
          <w:sz w:val="32"/>
          <w:szCs w:val="32"/>
          <w:lang w:val="en-US" w:eastAsia="zh-CN"/>
        </w:rPr>
        <w:t>分，预算完成率为100%，预算控制率为</w:t>
      </w:r>
      <w:r>
        <w:rPr>
          <w:rFonts w:hint="eastAsia" w:hAnsi="仿宋_GB2312" w:cs="仿宋_GB2312"/>
          <w:sz w:val="32"/>
          <w:szCs w:val="32"/>
          <w:lang w:val="en-US" w:eastAsia="zh-CN"/>
        </w:rPr>
        <w:t>20%</w:t>
      </w:r>
      <w:r>
        <w:rPr>
          <w:rFonts w:hint="eastAsia" w:ascii="仿宋_GB2312" w:hAnsi="仿宋_GB2312" w:eastAsia="仿宋_GB2312" w:cs="仿宋_GB2312"/>
          <w:sz w:val="32"/>
          <w:szCs w:val="32"/>
          <w:lang w:val="en-US" w:eastAsia="zh-CN"/>
        </w:rPr>
        <w:t>，我单位没有楼堂馆所项目。预算管理指标分值</w:t>
      </w:r>
      <w:r>
        <w:rPr>
          <w:rFonts w:hint="eastAsia" w:hAnsi="仿宋_GB2312" w:cs="仿宋_GB2312"/>
          <w:sz w:val="32"/>
          <w:szCs w:val="32"/>
          <w:lang w:val="en-US" w:eastAsia="zh-CN"/>
        </w:rPr>
        <w:t>39</w:t>
      </w:r>
      <w:r>
        <w:rPr>
          <w:rFonts w:hint="eastAsia" w:ascii="仿宋_GB2312" w:hAnsi="仿宋_GB2312" w:eastAsia="仿宋_GB2312" w:cs="仿宋_GB2312"/>
          <w:sz w:val="32"/>
          <w:szCs w:val="32"/>
          <w:lang w:val="en-US" w:eastAsia="zh-CN"/>
        </w:rPr>
        <w:t>分，扣分主要原因是政府采购预算安排较少。管理制度健全，资金使用合规。</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hAnsi="仿宋_GB2312" w:cs="仿宋_GB2312"/>
          <w:sz w:val="32"/>
          <w:szCs w:val="32"/>
          <w:lang w:val="en-US" w:eastAsia="zh-CN"/>
        </w:rPr>
        <w:t>3.</w:t>
      </w:r>
      <w:r>
        <w:rPr>
          <w:rFonts w:hint="eastAsia" w:ascii="仿宋_GB2312" w:hAnsi="仿宋_GB2312" w:eastAsia="仿宋_GB2312" w:cs="仿宋_GB2312"/>
          <w:sz w:val="32"/>
          <w:szCs w:val="32"/>
          <w:lang w:val="en-US" w:eastAsia="zh-CN"/>
        </w:rPr>
        <w:t>产出及效率</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职责履行指标分值</w:t>
      </w:r>
      <w:r>
        <w:rPr>
          <w:rFonts w:hint="eastAsia" w:hAnsi="仿宋_GB2312" w:cs="仿宋_GB2312"/>
          <w:sz w:val="32"/>
          <w:szCs w:val="32"/>
          <w:lang w:val="en-US" w:eastAsia="zh-CN"/>
        </w:rPr>
        <w:t>8</w:t>
      </w:r>
      <w:r>
        <w:rPr>
          <w:rFonts w:hint="eastAsia" w:ascii="仿宋_GB2312" w:hAnsi="仿宋_GB2312" w:eastAsia="仿宋_GB2312" w:cs="仿宋_GB2312"/>
          <w:sz w:val="32"/>
          <w:szCs w:val="32"/>
          <w:lang w:val="en-US" w:eastAsia="zh-CN"/>
        </w:rPr>
        <w:t>分，履职效益指标分值</w:t>
      </w:r>
      <w:r>
        <w:rPr>
          <w:rFonts w:hint="eastAsia" w:hAnsi="仿宋_GB2312" w:cs="仿宋_GB2312"/>
          <w:sz w:val="32"/>
          <w:szCs w:val="32"/>
          <w:lang w:val="en-US" w:eastAsia="zh-CN"/>
        </w:rPr>
        <w:t>22</w:t>
      </w:r>
      <w:r>
        <w:rPr>
          <w:rFonts w:hint="eastAsia" w:ascii="仿宋_GB2312" w:hAnsi="仿宋_GB2312" w:eastAsia="仿宋_GB2312" w:cs="仿宋_GB2312"/>
          <w:sz w:val="32"/>
          <w:szCs w:val="32"/>
          <w:lang w:val="en-US" w:eastAsia="zh-CN"/>
        </w:rPr>
        <w:t>分。基本按照厉行节约的原则，发挥资金最大效益。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rPr>
      </w:pPr>
      <w:r>
        <w:rPr>
          <w:rFonts w:hint="eastAsia" w:ascii="Times New Roman" w:hAnsi="Times New Roman" w:eastAsia="黑体" w:cs="Times New Roman"/>
          <w:sz w:val="32"/>
          <w:szCs w:val="32"/>
          <w:lang w:eastAsia="zh-CN"/>
        </w:rPr>
        <w:t>五</w:t>
      </w:r>
      <w:r>
        <w:rPr>
          <w:rFonts w:hint="default" w:ascii="Times New Roman" w:hAnsi="Times New Roman" w:eastAsia="黑体" w:cs="Times New Roman"/>
          <w:sz w:val="32"/>
          <w:szCs w:val="32"/>
        </w:rPr>
        <w:t>、部门整体支出绩效实现情况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（一）履职完成情况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color w:val="auto"/>
          <w:sz w:val="32"/>
          <w:szCs w:val="32"/>
          <w:lang w:eastAsia="zh-CN"/>
        </w:rPr>
        <w:t>社会治理网格</w:t>
      </w:r>
      <w:r>
        <w:rPr>
          <w:rFonts w:hint="eastAsia" w:ascii="仿宋_GB2312" w:hAnsi="仿宋_GB2312" w:eastAsia="仿宋_GB2312" w:cs="仿宋_GB2312"/>
          <w:b w:val="0"/>
          <w:bCs w:val="0"/>
          <w:sz w:val="32"/>
          <w:szCs w:val="32"/>
          <w:lang w:eastAsia="zh-CN"/>
        </w:rPr>
        <w:t>化建设工作：</w:t>
      </w:r>
      <w:r>
        <w:rPr>
          <w:rFonts w:hint="eastAsia" w:ascii="仿宋_GB2312" w:hAnsi="仿宋_GB2312" w:eastAsia="仿宋_GB2312" w:cs="仿宋_GB2312"/>
          <w:b w:val="0"/>
          <w:bCs w:val="0"/>
          <w:color w:val="auto"/>
          <w:sz w:val="32"/>
          <w:szCs w:val="32"/>
          <w:lang w:val="en-US" w:eastAsia="zh-CN"/>
        </w:rPr>
        <w:t>一是网格划分进一步细化。</w:t>
      </w:r>
      <w:r>
        <w:rPr>
          <w:rFonts w:hint="eastAsia" w:ascii="仿宋_GB2312" w:hAnsi="仿宋_GB2312" w:eastAsia="仿宋_GB2312" w:cs="仿宋_GB2312"/>
          <w:color w:val="auto"/>
          <w:sz w:val="32"/>
          <w:szCs w:val="32"/>
          <w:lang w:eastAsia="zh-CN"/>
        </w:rPr>
        <w:t>我中心将全区划分为</w:t>
      </w:r>
      <w:r>
        <w:rPr>
          <w:rFonts w:hint="eastAsia" w:ascii="仿宋_GB2312" w:hAnsi="仿宋_GB2312" w:eastAsia="仿宋_GB2312" w:cs="仿宋_GB2312"/>
          <w:color w:val="auto"/>
          <w:sz w:val="32"/>
          <w:szCs w:val="32"/>
          <w:lang w:val="en-US" w:eastAsia="zh-CN"/>
        </w:rPr>
        <w:t>14个</w:t>
      </w:r>
      <w:r>
        <w:rPr>
          <w:rFonts w:hint="eastAsia" w:ascii="仿宋_GB2312" w:hAnsi="仿宋_GB2312" w:eastAsia="仿宋_GB2312" w:cs="仿宋_GB2312"/>
          <w:color w:val="auto"/>
          <w:sz w:val="32"/>
          <w:szCs w:val="32"/>
          <w:lang w:eastAsia="zh-CN"/>
        </w:rPr>
        <w:t>一级网格、</w:t>
      </w:r>
      <w:r>
        <w:rPr>
          <w:rFonts w:hint="eastAsia" w:ascii="仿宋_GB2312" w:hAnsi="仿宋_GB2312" w:eastAsia="仿宋_GB2312" w:cs="仿宋_GB2312"/>
          <w:color w:val="auto"/>
          <w:sz w:val="32"/>
          <w:szCs w:val="32"/>
          <w:lang w:val="en-US" w:eastAsia="zh-CN"/>
        </w:rPr>
        <w:t>138个</w:t>
      </w:r>
      <w:r>
        <w:rPr>
          <w:rFonts w:hint="eastAsia" w:ascii="仿宋_GB2312" w:hAnsi="仿宋_GB2312" w:eastAsia="仿宋_GB2312" w:cs="仿宋_GB2312"/>
          <w:color w:val="auto"/>
          <w:sz w:val="32"/>
          <w:szCs w:val="32"/>
          <w:lang w:eastAsia="zh-CN"/>
        </w:rPr>
        <w:t>二级网格，</w:t>
      </w:r>
      <w:r>
        <w:rPr>
          <w:rFonts w:hint="eastAsia" w:ascii="仿宋_GB2312" w:hAnsi="仿宋_GB2312" w:eastAsia="仿宋_GB2312" w:cs="仿宋_GB2312"/>
          <w:color w:val="auto"/>
          <w:sz w:val="32"/>
          <w:szCs w:val="32"/>
          <w:lang w:val="en-US" w:eastAsia="zh-CN"/>
        </w:rPr>
        <w:t>781个</w:t>
      </w:r>
      <w:r>
        <w:rPr>
          <w:rFonts w:hint="eastAsia" w:ascii="仿宋_GB2312" w:hAnsi="仿宋_GB2312" w:eastAsia="仿宋_GB2312" w:cs="仿宋_GB2312"/>
          <w:color w:val="auto"/>
          <w:sz w:val="32"/>
          <w:szCs w:val="32"/>
          <w:lang w:eastAsia="zh-CN"/>
        </w:rPr>
        <w:t>三级网格</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二是网格化工作机制更加完善。</w:t>
      </w:r>
      <w:r>
        <w:rPr>
          <w:rFonts w:hint="eastAsia" w:ascii="仿宋_GB2312" w:hAnsi="仿宋_GB2312" w:eastAsia="仿宋_GB2312" w:cs="仿宋_GB2312"/>
          <w:color w:val="auto"/>
          <w:sz w:val="32"/>
          <w:szCs w:val="32"/>
          <w:lang w:val="en-US" w:eastAsia="zh-CN"/>
        </w:rPr>
        <w:t>9月份、10月份连续召开了两次全区网格试点工作推进会议，明确在高塘岭街道开展网格化管理示范创建工作，将城管、环保、综治类信息采集、派单、调度职能划入我中心，逐步统一全区问题采集和派单渠道，并统筹建立全区三级网格员队伍体系。</w:t>
      </w:r>
      <w:r>
        <w:rPr>
          <w:rFonts w:hint="eastAsia" w:ascii="仿宋_GB2312" w:hAnsi="仿宋_GB2312" w:eastAsia="仿宋_GB2312" w:cs="仿宋_GB2312"/>
          <w:b w:val="0"/>
          <w:bCs w:val="0"/>
          <w:sz w:val="32"/>
          <w:szCs w:val="32"/>
          <w:lang w:eastAsia="zh-CN"/>
        </w:rPr>
        <w:t>市民服务热线工作：</w:t>
      </w:r>
      <w:r>
        <w:rPr>
          <w:rFonts w:hint="eastAsia" w:ascii="仿宋_GB2312" w:hAnsi="仿宋_GB2312" w:eastAsia="仿宋_GB2312" w:cs="仿宋_GB2312"/>
          <w:sz w:val="32"/>
          <w:szCs w:val="32"/>
        </w:rPr>
        <w:t>1-11月份“12345”市民服务热线平台共签收上级平台交办工单29886件，按时签收率100%，办结率100%，每月工单办理满意度均在95%以上，1-10月份平均满意度为97.46%，办单质量较去年同期相比有大幅提升。“雷锋580”热线共接听市民来电15518通，形成有效工单5400件，办结5214件，办结率100%。河长办热线值守派遣工单74件。林火预警平台通过监控巡查派遣工单233件，按期办结218件，超期办结11件，未结4条，办结率98.28%。区长信箱收到市民来信1316件，处置率100%</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val="0"/>
          <w:bCs w:val="0"/>
          <w:sz w:val="32"/>
          <w:szCs w:val="32"/>
          <w:lang w:val="en-US" w:eastAsia="zh-CN"/>
        </w:rPr>
        <w:t>软硬件建设工作：</w:t>
      </w:r>
      <w:r>
        <w:rPr>
          <w:rFonts w:hint="eastAsia" w:ascii="仿宋_GB2312" w:hAnsi="仿宋_GB2312" w:eastAsia="仿宋_GB2312" w:cs="仿宋_GB2312"/>
          <w:b w:val="0"/>
          <w:bCs w:val="0"/>
          <w:sz w:val="32"/>
          <w:szCs w:val="32"/>
        </w:rPr>
        <w:t>一是</w:t>
      </w:r>
      <w:r>
        <w:rPr>
          <w:rFonts w:hint="eastAsia" w:ascii="仿宋_GB2312" w:hAnsi="仿宋_GB2312" w:eastAsia="仿宋_GB2312" w:cs="仿宋_GB2312"/>
          <w:sz w:val="32"/>
          <w:szCs w:val="32"/>
        </w:rPr>
        <w:t>顺利完成了今年的铁人三项以及区内重大活动的各项保障任务。</w:t>
      </w:r>
      <w:r>
        <w:rPr>
          <w:rFonts w:hint="eastAsia" w:ascii="仿宋_GB2312" w:hAnsi="仿宋_GB2312" w:eastAsia="仿宋_GB2312" w:cs="仿宋_GB2312"/>
          <w:b w:val="0"/>
          <w:bCs w:val="0"/>
          <w:sz w:val="32"/>
          <w:szCs w:val="32"/>
        </w:rPr>
        <w:t>二是</w:t>
      </w:r>
      <w:r>
        <w:rPr>
          <w:rFonts w:hint="eastAsia" w:ascii="仿宋_GB2312" w:hAnsi="仿宋_GB2312" w:eastAsia="仿宋_GB2312" w:cs="仿宋_GB2312"/>
          <w:sz w:val="32"/>
          <w:szCs w:val="32"/>
        </w:rPr>
        <w:t>配合区环保局建设</w:t>
      </w:r>
      <w:r>
        <w:rPr>
          <w:rFonts w:ascii="微软雅黑" w:hAnsi="微软雅黑" w:eastAsia="微软雅黑" w:cs="微软雅黑"/>
          <w:i w:val="0"/>
          <w:iCs w:val="0"/>
          <w:caps w:val="0"/>
          <w:color w:val="6A6F7B"/>
          <w:spacing w:val="0"/>
          <w:sz w:val="18"/>
          <w:szCs w:val="18"/>
          <w:shd w:val="clear" w:fill="FFFFFF"/>
        </w:rPr>
        <w:t>秸秆</w:t>
      </w:r>
      <w:r>
        <w:rPr>
          <w:rFonts w:hint="eastAsia" w:ascii="仿宋_GB2312" w:hAnsi="仿宋_GB2312" w:eastAsia="仿宋_GB2312" w:cs="仿宋_GB2312"/>
          <w:sz w:val="32"/>
          <w:szCs w:val="32"/>
        </w:rPr>
        <w:t>焚烧平台，并将水务监测系统、秸</w:t>
      </w:r>
      <w:r>
        <w:rPr>
          <w:rFonts w:hint="eastAsia" w:hAnsi="仿宋_GB2312" w:cs="仿宋_GB2312"/>
          <w:sz w:val="32"/>
          <w:szCs w:val="32"/>
          <w:lang w:eastAsia="zh-CN"/>
        </w:rPr>
        <w:t>秆</w:t>
      </w:r>
      <w:r>
        <w:rPr>
          <w:rFonts w:hint="eastAsia" w:ascii="仿宋_GB2312" w:hAnsi="仿宋_GB2312" w:eastAsia="仿宋_GB2312" w:cs="仿宋_GB2312"/>
          <w:sz w:val="32"/>
          <w:szCs w:val="32"/>
        </w:rPr>
        <w:t>焚烧系统、城管智能视频监控平台等视频监控数据接入二楼指挥大厅大屏幕，为日常业务监管和重大任务保障提供了科技支撑。</w:t>
      </w:r>
      <w:r>
        <w:rPr>
          <w:rFonts w:hint="eastAsia" w:ascii="仿宋_GB2312" w:hAnsi="仿宋_GB2312" w:eastAsia="仿宋_GB2312" w:cs="仿宋_GB2312"/>
          <w:b w:val="0"/>
          <w:bCs w:val="0"/>
          <w:sz w:val="32"/>
          <w:szCs w:val="32"/>
        </w:rPr>
        <w:t>三是</w:t>
      </w:r>
      <w:r>
        <w:rPr>
          <w:rFonts w:hint="eastAsia" w:ascii="仿宋_GB2312" w:hAnsi="仿宋_GB2312" w:eastAsia="仿宋_GB2312" w:cs="仿宋_GB2312"/>
          <w:sz w:val="32"/>
          <w:szCs w:val="32"/>
        </w:rPr>
        <w:t>按照望城区智慧城市建设规划，我中心配合数据资源中心完成社会治理平台的顶层设计、升级建设需求以及相关方案材料，目前已进入可研阶段。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（二）履职效果情况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color w:val="auto"/>
          <w:sz w:val="32"/>
          <w:szCs w:val="32"/>
          <w:lang w:val="en-US" w:eastAsia="zh-CN"/>
        </w:rPr>
        <w:t>网格化工作成效明显：</w:t>
      </w:r>
      <w:r>
        <w:rPr>
          <w:rFonts w:hint="eastAsia" w:ascii="仿宋_GB2312" w:hAnsi="仿宋_GB2312" w:eastAsia="仿宋_GB2312" w:cs="仿宋_GB2312"/>
          <w:color w:val="auto"/>
          <w:sz w:val="32"/>
          <w:szCs w:val="32"/>
          <w:lang w:val="en-US" w:eastAsia="zh-CN"/>
        </w:rPr>
        <w:t>今年以来全区各网格共采集上报64682条</w:t>
      </w:r>
      <w:r>
        <w:rPr>
          <w:rFonts w:hint="eastAsia" w:ascii="仿宋_GB2312" w:hAnsi="仿宋_GB2312" w:eastAsia="仿宋_GB2312" w:cs="仿宋_GB2312"/>
          <w:b w:val="0"/>
          <w:bCs w:val="0"/>
          <w:color w:val="000000"/>
          <w:sz w:val="32"/>
          <w:szCs w:val="32"/>
          <w:lang w:val="en-US" w:eastAsia="zh-CN"/>
        </w:rPr>
        <w:t>，结案63022条，结案率97.43%，</w:t>
      </w:r>
      <w:r>
        <w:rPr>
          <w:rFonts w:hint="eastAsia" w:ascii="仿宋_GB2312" w:hAnsi="仿宋_GB2312" w:eastAsia="仿宋_GB2312" w:cs="仿宋_GB2312"/>
          <w:color w:val="000000"/>
          <w:sz w:val="32"/>
          <w:szCs w:val="32"/>
          <w:lang w:eastAsia="zh-CN"/>
        </w:rPr>
        <w:t>采集量较去年同期相比增加</w:t>
      </w:r>
      <w:r>
        <w:rPr>
          <w:rFonts w:hint="eastAsia" w:ascii="仿宋_GB2312" w:hAnsi="仿宋_GB2312" w:eastAsia="仿宋_GB2312" w:cs="仿宋_GB2312"/>
          <w:color w:val="000000"/>
          <w:sz w:val="32"/>
          <w:szCs w:val="32"/>
          <w:lang w:val="en-US" w:eastAsia="zh-CN"/>
        </w:rPr>
        <w:t>53234条，结案率提高22.1%</w:t>
      </w:r>
      <w:r>
        <w:rPr>
          <w:rFonts w:hint="eastAsia" w:ascii="仿宋_GB2312" w:hAnsi="仿宋_GB2312" w:eastAsia="仿宋_GB2312" w:cs="仿宋_GB2312"/>
          <w:color w:val="000000"/>
          <w:sz w:val="32"/>
          <w:szCs w:val="32"/>
          <w:lang w:eastAsia="zh-CN"/>
        </w:rPr>
        <w:t>。今年</w:t>
      </w:r>
      <w:r>
        <w:rPr>
          <w:rFonts w:hint="eastAsia" w:ascii="仿宋_GB2312" w:hAnsi="仿宋_GB2312" w:eastAsia="仿宋_GB2312" w:cs="仿宋_GB2312"/>
          <w:color w:val="000000"/>
          <w:sz w:val="32"/>
          <w:szCs w:val="32"/>
          <w:lang w:val="en-US" w:eastAsia="zh-CN"/>
        </w:rPr>
        <w:t>经济日报和长沙晚报都以《创新社会治理服务、开启智慧望城建设》为题，专题报导了我区社会治理工作</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b w:val="0"/>
          <w:bCs w:val="0"/>
          <w:sz w:val="32"/>
          <w:szCs w:val="32"/>
          <w:lang w:eastAsia="zh-CN"/>
        </w:rPr>
        <w:t>市民服务热线工作质量进一步提高：</w:t>
      </w:r>
      <w:r>
        <w:rPr>
          <w:rFonts w:hint="eastAsia" w:ascii="仿宋_GB2312" w:hAnsi="仿宋_GB2312" w:eastAsia="仿宋_GB2312" w:cs="仿宋_GB2312"/>
          <w:sz w:val="32"/>
          <w:szCs w:val="32"/>
        </w:rPr>
        <w:t>1-10月份，“12345”市民服务热线月综合排名两次获得四区县排名第一，“12345”市民服务热线主动作为、热忱服务的良好做法被上级业务部门通报表扬（长政务办〔2019〕6号、〔2019〕7号、〔2019〕11号）。</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（三）</w:t>
      </w:r>
      <w:r>
        <w:rPr>
          <w:rFonts w:hint="eastAsia" w:ascii="楷体_GB2312" w:hAnsi="楷体_GB2312" w:eastAsia="楷体_GB2312" w:cs="楷体_GB2312"/>
          <w:sz w:val="32"/>
          <w:szCs w:val="32"/>
        </w:rPr>
        <w:t>社会满意度情况</w:t>
      </w:r>
    </w:p>
    <w:p>
      <w:pPr>
        <w:pStyle w:val="2"/>
        <w:numPr>
          <w:ilvl w:val="0"/>
          <w:numId w:val="0"/>
        </w:numPr>
        <w:ind w:firstLine="640" w:firstLineChars="200"/>
        <w:rPr>
          <w:rFonts w:hint="eastAsia" w:ascii="仿宋_GB2312" w:hAnsi="仿宋_GB2312" w:eastAsia="仿宋_GB2312" w:cs="仿宋_GB2312"/>
          <w:lang w:eastAsia="zh-CN"/>
        </w:rPr>
      </w:pPr>
      <w:r>
        <w:rPr>
          <w:rFonts w:hint="eastAsia" w:ascii="仿宋_GB2312" w:hAnsi="仿宋_GB2312" w:eastAsia="仿宋_GB2312" w:cs="仿宋_GB2312"/>
          <w:lang w:eastAsia="zh-CN"/>
        </w:rPr>
        <w:t>整体满意。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rPr>
      </w:pPr>
      <w:r>
        <w:rPr>
          <w:rFonts w:hint="eastAsia" w:ascii="Times New Roman" w:hAnsi="Times New Roman" w:eastAsia="黑体" w:cs="Times New Roman"/>
          <w:sz w:val="32"/>
          <w:szCs w:val="32"/>
          <w:lang w:eastAsia="zh-CN"/>
        </w:rPr>
        <w:t>六</w:t>
      </w:r>
      <w:r>
        <w:rPr>
          <w:rFonts w:hint="default" w:ascii="Times New Roman" w:hAnsi="Times New Roman" w:eastAsia="黑体" w:cs="Times New Roman"/>
          <w:sz w:val="32"/>
          <w:szCs w:val="32"/>
        </w:rPr>
        <w:t>、部门整体支出绩效中存在问题及改进措施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（一）主要问题及原因分析</w:t>
      </w:r>
    </w:p>
    <w:p>
      <w:pPr>
        <w:pStyle w:val="2"/>
        <w:ind w:firstLine="640" w:firstLineChars="200"/>
        <w:rPr>
          <w:rFonts w:hint="eastAsia" w:hAnsi="仿宋_GB2312" w:cs="仿宋_GB2312"/>
          <w:sz w:val="32"/>
          <w:szCs w:val="32"/>
          <w:lang w:val="en-US" w:eastAsia="zh-CN"/>
        </w:rPr>
      </w:pPr>
      <w:r>
        <w:rPr>
          <w:rFonts w:hint="eastAsia" w:hAnsi="仿宋_GB2312" w:cs="仿宋_GB2312"/>
          <w:sz w:val="32"/>
          <w:szCs w:val="32"/>
          <w:lang w:val="en-US" w:eastAsia="zh-CN"/>
        </w:rPr>
        <w:t>我单位2017年为临时机构，在上报2018年部门预算时，未编制“三公经费”预算，导致“三公经费”变动率得分较低。政府采购执行率得分较低，因年初政府采购预算包含的激光打印机当年度实际未购置。</w:t>
      </w:r>
    </w:p>
    <w:p>
      <w:pPr>
        <w:pStyle w:val="2"/>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（二）</w:t>
      </w:r>
      <w:r>
        <w:rPr>
          <w:rFonts w:hint="eastAsia" w:ascii="楷体_GB2312" w:hAnsi="楷体_GB2312" w:eastAsia="楷体_GB2312" w:cs="楷体_GB2312"/>
          <w:sz w:val="32"/>
          <w:szCs w:val="32"/>
        </w:rPr>
        <w:t>改进的方向和具体措施</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1.细化预算编制工作，认真做好预算的编制。进一步加强单位内部机构各科室的预算管理意识，严格按照预算编制的相关制度和要求进行预算编制。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加强财务管理，严格财务审核。加强单位财务管理，健全单位财务管理制度体系，规范单位财务行为。在费用报账支付时，按照预算规定的费用项目和用途进行资金使用审核、列报支付、财务核算、杜绝超支现象的发生。</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3.完善资产管理，抓好“三公”经费控制。严格编制政府采购年初预算和计划，规范各类资产的购置</w:t>
      </w:r>
      <w:r>
        <w:rPr>
          <w:rFonts w:hint="eastAsia" w:ascii="仿宋_GB2312" w:hAnsi="仿宋_GB2312" w:eastAsia="仿宋_GB2312" w:cs="仿宋_GB2312"/>
          <w:i w:val="0"/>
          <w:caps w:val="0"/>
          <w:color w:val="000000"/>
          <w:spacing w:val="0"/>
          <w:sz w:val="32"/>
          <w:szCs w:val="32"/>
          <w:shd w:val="clear" w:fill="FFFFFF"/>
        </w:rPr>
        <w:t>审批制度、资产采购制度、使用管理制度、资产处置和报废审批制度、资产管理岗位职责制度等，加强单位内部的资产管理工作。严格控制“三公”经费的规模和比例，把关“三公”经费支出的审核、审批，杜绝挪用和挤占其他预算资金行为；进一步细化“三公”经费的管理，合理压缩“三公”经费支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七、其它需要说明的情况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cs="Times New Roman"/>
          <w:szCs w:val="21"/>
          <w:lang w:eastAsia="zh-CN"/>
        </w:rPr>
      </w:pPr>
      <w:r>
        <w:rPr>
          <w:rFonts w:hint="eastAsia" w:ascii="Times New Roman" w:hAnsi="Times New Roman" w:cs="Times New Roman"/>
          <w:szCs w:val="21"/>
          <w:lang w:eastAsia="zh-CN"/>
        </w:rPr>
        <w:t>无。</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cs="Times New Roman"/>
          <w:szCs w:val="21"/>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cs="Times New Roman"/>
          <w:szCs w:val="21"/>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仿宋_GB2312" w:hAnsi="仿宋_GB2312" w:eastAsia="仿宋_GB2312" w:cs="仿宋_GB2312"/>
          <w:szCs w:val="21"/>
          <w:lang w:eastAsia="zh-CN"/>
        </w:rPr>
      </w:pPr>
      <w:r>
        <w:rPr>
          <w:rFonts w:hint="eastAsia" w:ascii="仿宋_GB2312" w:hAnsi="仿宋_GB2312" w:eastAsia="仿宋_GB2312" w:cs="仿宋_GB2312"/>
          <w:szCs w:val="21"/>
          <w:lang w:eastAsia="zh-CN"/>
        </w:rPr>
        <w:t>长沙市望城区社会治理服务中心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default" w:ascii="Times New Roman" w:hAnsi="Times New Roman" w:cs="Times New Roman"/>
          <w:szCs w:val="21"/>
        </w:rPr>
      </w:pPr>
      <w:r>
        <w:rPr>
          <w:rFonts w:hint="eastAsia" w:ascii="仿宋_GB2312" w:hAnsi="仿宋_GB2312" w:eastAsia="仿宋_GB2312" w:cs="仿宋_GB2312"/>
          <w:szCs w:val="21"/>
          <w:lang w:val="en-US" w:eastAsia="zh-CN"/>
        </w:rPr>
        <w:t xml:space="preserve">                       2020年4月</w:t>
      </w:r>
      <w:r>
        <w:rPr>
          <w:rFonts w:hint="eastAsia" w:hAnsi="仿宋_GB2312" w:cs="仿宋_GB2312"/>
          <w:szCs w:val="21"/>
          <w:lang w:val="en-US" w:eastAsia="zh-CN"/>
        </w:rPr>
        <w:t>10</w:t>
      </w:r>
      <w:r>
        <w:rPr>
          <w:rFonts w:hint="eastAsia" w:ascii="仿宋_GB2312" w:hAnsi="仿宋_GB2312" w:eastAsia="仿宋_GB2312" w:cs="仿宋_GB2312"/>
          <w:szCs w:val="21"/>
          <w:lang w:val="en-US" w:eastAsia="zh-CN"/>
        </w:rPr>
        <w:t>日</w:t>
      </w:r>
      <w:r>
        <w:rPr>
          <w:rFonts w:hint="default" w:ascii="Times New Roman" w:hAnsi="Times New Roman" w:cs="Times New Roman"/>
          <w:szCs w:val="21"/>
        </w:rPr>
        <w:br w:type="page"/>
      </w:r>
    </w:p>
    <w:p>
      <w:pPr>
        <w:pStyle w:val="2"/>
        <w:rPr>
          <w:rFonts w:hint="default"/>
        </w:rPr>
      </w:pPr>
    </w:p>
    <w:p>
      <w:pPr>
        <w:pStyle w:val="2"/>
        <w:rPr>
          <w:rFonts w:hint="default"/>
        </w:rPr>
      </w:pPr>
    </w:p>
    <w:p>
      <w:pPr>
        <w:keepNext w:val="0"/>
        <w:keepLines w:val="0"/>
        <w:pageBreakBefore w:val="0"/>
        <w:widowControl w:val="0"/>
        <w:kinsoku/>
        <w:wordWrap/>
        <w:overflowPunct/>
        <w:topLinePunct w:val="0"/>
        <w:autoSpaceDE/>
        <w:autoSpaceDN/>
        <w:bidi w:val="0"/>
        <w:spacing w:line="600" w:lineRule="exact"/>
        <w:textAlignment w:val="auto"/>
      </w:pPr>
    </w:p>
    <w:sectPr>
      <w:pgSz w:w="11906" w:h="16838"/>
      <w:pgMar w:top="1814" w:right="1474" w:bottom="1474" w:left="1587" w:header="851" w:footer="992" w:gutter="0"/>
      <w:cols w:space="0" w:num="1"/>
      <w:rtlGutter w:val="0"/>
      <w:docGrid w:type="lines" w:linePitch="437"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AD46D1"/>
    <w:multiLevelType w:val="singleLevel"/>
    <w:tmpl w:val="2EAD46D1"/>
    <w:lvl w:ilvl="0" w:tentative="0">
      <w:start w:val="1"/>
      <w:numFmt w:val="chineseCounting"/>
      <w:suff w:val="nothing"/>
      <w:lvlText w:val="（%1）"/>
      <w:lvlJc w:val="left"/>
      <w:rPr>
        <w:rFonts w:hint="eastAsia"/>
      </w:rPr>
    </w:lvl>
  </w:abstractNum>
  <w:abstractNum w:abstractNumId="1">
    <w:nsid w:val="3F8778EF"/>
    <w:multiLevelType w:val="singleLevel"/>
    <w:tmpl w:val="3F8778EF"/>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219"/>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15054A"/>
    <w:rsid w:val="008F0564"/>
    <w:rsid w:val="01791EFD"/>
    <w:rsid w:val="03472496"/>
    <w:rsid w:val="03D96E72"/>
    <w:rsid w:val="04D818AE"/>
    <w:rsid w:val="05662E24"/>
    <w:rsid w:val="05ED081F"/>
    <w:rsid w:val="06BC3CF5"/>
    <w:rsid w:val="084C518E"/>
    <w:rsid w:val="096E498C"/>
    <w:rsid w:val="0A7806F7"/>
    <w:rsid w:val="0D7E7092"/>
    <w:rsid w:val="0F784AF1"/>
    <w:rsid w:val="114854FE"/>
    <w:rsid w:val="118869DA"/>
    <w:rsid w:val="11F74A46"/>
    <w:rsid w:val="12557DD5"/>
    <w:rsid w:val="16985321"/>
    <w:rsid w:val="17707F9E"/>
    <w:rsid w:val="18EC65E8"/>
    <w:rsid w:val="1AAD3E4E"/>
    <w:rsid w:val="1B2A212B"/>
    <w:rsid w:val="1B746A4D"/>
    <w:rsid w:val="1C5B59ED"/>
    <w:rsid w:val="1CDC1AD3"/>
    <w:rsid w:val="1D40661F"/>
    <w:rsid w:val="1DE24830"/>
    <w:rsid w:val="212006B3"/>
    <w:rsid w:val="220A6BEE"/>
    <w:rsid w:val="24024A78"/>
    <w:rsid w:val="248B3E73"/>
    <w:rsid w:val="24E47A8A"/>
    <w:rsid w:val="24EC400E"/>
    <w:rsid w:val="2510797E"/>
    <w:rsid w:val="26721326"/>
    <w:rsid w:val="29572C83"/>
    <w:rsid w:val="2C445D77"/>
    <w:rsid w:val="30143350"/>
    <w:rsid w:val="315E2931"/>
    <w:rsid w:val="329A03F3"/>
    <w:rsid w:val="34C47250"/>
    <w:rsid w:val="34DB742A"/>
    <w:rsid w:val="350C4620"/>
    <w:rsid w:val="36F001C4"/>
    <w:rsid w:val="386B2B5D"/>
    <w:rsid w:val="3B1D192D"/>
    <w:rsid w:val="3F205F56"/>
    <w:rsid w:val="40FF4CAC"/>
    <w:rsid w:val="414820FD"/>
    <w:rsid w:val="41673938"/>
    <w:rsid w:val="45275B26"/>
    <w:rsid w:val="455B5AEA"/>
    <w:rsid w:val="46363643"/>
    <w:rsid w:val="4AE6687A"/>
    <w:rsid w:val="4BDC4F38"/>
    <w:rsid w:val="4D41721E"/>
    <w:rsid w:val="4E0655DD"/>
    <w:rsid w:val="4E8C55A8"/>
    <w:rsid w:val="507D73B4"/>
    <w:rsid w:val="50EF7E05"/>
    <w:rsid w:val="52A1098E"/>
    <w:rsid w:val="563958B2"/>
    <w:rsid w:val="5715054A"/>
    <w:rsid w:val="57252DD3"/>
    <w:rsid w:val="57365B83"/>
    <w:rsid w:val="578976B2"/>
    <w:rsid w:val="57EC0237"/>
    <w:rsid w:val="592163FB"/>
    <w:rsid w:val="5A2B7D4A"/>
    <w:rsid w:val="5B9962E7"/>
    <w:rsid w:val="5DAC30CE"/>
    <w:rsid w:val="5EB13446"/>
    <w:rsid w:val="5FC72002"/>
    <w:rsid w:val="65E108D3"/>
    <w:rsid w:val="667C6451"/>
    <w:rsid w:val="69B65DF5"/>
    <w:rsid w:val="6A125B89"/>
    <w:rsid w:val="6B181EB4"/>
    <w:rsid w:val="6BE95EF4"/>
    <w:rsid w:val="6E8925EC"/>
    <w:rsid w:val="6F9202D5"/>
    <w:rsid w:val="710D619C"/>
    <w:rsid w:val="715D28C3"/>
    <w:rsid w:val="71670B1D"/>
    <w:rsid w:val="73F857EC"/>
    <w:rsid w:val="749175E2"/>
    <w:rsid w:val="74C16048"/>
    <w:rsid w:val="761511A1"/>
    <w:rsid w:val="76743C77"/>
    <w:rsid w:val="76F17B9B"/>
    <w:rsid w:val="793C3986"/>
    <w:rsid w:val="79F2167E"/>
    <w:rsid w:val="7A987A3E"/>
    <w:rsid w:val="7C38604F"/>
    <w:rsid w:val="7E083340"/>
    <w:rsid w:val="7F2E0167"/>
    <w:rsid w:val="7F4C5A7A"/>
    <w:rsid w:val="7F5B44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419</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2020-03-26T08:23:00Z</dcterms:created>
  <dc:creator>WCYJ_admin</dc:creator>
  <cp:lastModifiedBy>姣^o^</cp:lastModifiedBy>
  <cp:lastPrinted>2020-04-10T01:38:00Z</cp:lastPrinted>
  <dcterms:modified xsi:type="dcterms:W3CDTF">2022-01-13T03:12:50Z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D8790A2EB9014E40B8119EA2A681DC06</vt:lpwstr>
  </property>
</Properties>
</file>