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2</w:t>
      </w:r>
    </w:p>
    <w:p>
      <w:pPr>
        <w:spacing w:line="560" w:lineRule="exact"/>
        <w:jc w:val="center"/>
        <w:rPr>
          <w:rFonts w:eastAsia="方正小标宋简体"/>
          <w:kern w:val="0"/>
          <w:sz w:val="40"/>
          <w:szCs w:val="40"/>
        </w:rPr>
      </w:pPr>
    </w:p>
    <w:p>
      <w:pPr>
        <w:spacing w:line="560" w:lineRule="exact"/>
        <w:jc w:val="center"/>
        <w:rPr>
          <w:rFonts w:hint="eastAsia" w:eastAsia="方正小标宋简体"/>
          <w:kern w:val="0"/>
          <w:sz w:val="40"/>
          <w:szCs w:val="40"/>
          <w:lang w:eastAsia="zh-CN"/>
        </w:rPr>
      </w:pPr>
      <w:r>
        <w:rPr>
          <w:rFonts w:hint="eastAsia" w:ascii="仿宋" w:hAnsi="仿宋" w:eastAsia="仿宋" w:cs="仿宋"/>
          <w:kern w:val="0"/>
          <w:sz w:val="40"/>
          <w:szCs w:val="40"/>
          <w:lang w:val="en-US" w:eastAsia="zh-CN"/>
        </w:rPr>
        <w:t>2019</w:t>
      </w:r>
      <w:r>
        <w:rPr>
          <w:rFonts w:hint="eastAsia" w:eastAsia="方正小标宋简体"/>
          <w:kern w:val="0"/>
          <w:sz w:val="40"/>
          <w:szCs w:val="40"/>
          <w:lang w:val="en-US" w:eastAsia="zh-CN"/>
        </w:rPr>
        <w:t>年度</w:t>
      </w:r>
      <w:r>
        <w:rPr>
          <w:rFonts w:eastAsia="方正小标宋简体"/>
          <w:kern w:val="0"/>
          <w:sz w:val="40"/>
          <w:szCs w:val="40"/>
        </w:rPr>
        <w:t>部门整体支出绩效</w:t>
      </w:r>
      <w:r>
        <w:rPr>
          <w:rFonts w:hint="eastAsia" w:eastAsia="方正小标宋简体"/>
          <w:kern w:val="0"/>
          <w:sz w:val="40"/>
          <w:szCs w:val="40"/>
          <w:lang w:eastAsia="zh-CN"/>
        </w:rPr>
        <w:t>自</w:t>
      </w:r>
      <w:r>
        <w:rPr>
          <w:rFonts w:eastAsia="方正小标宋简体"/>
          <w:kern w:val="0"/>
          <w:sz w:val="40"/>
          <w:szCs w:val="40"/>
        </w:rPr>
        <w:t>评表</w:t>
      </w:r>
    </w:p>
    <w:tbl>
      <w:tblPr>
        <w:tblStyle w:val="3"/>
        <w:tblW w:w="906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503"/>
        <w:gridCol w:w="503"/>
        <w:gridCol w:w="91"/>
        <w:gridCol w:w="293"/>
        <w:gridCol w:w="622"/>
        <w:gridCol w:w="156"/>
        <w:gridCol w:w="627"/>
        <w:gridCol w:w="517"/>
        <w:gridCol w:w="537"/>
        <w:gridCol w:w="1231"/>
        <w:gridCol w:w="569"/>
        <w:gridCol w:w="146"/>
        <w:gridCol w:w="363"/>
        <w:gridCol w:w="1593"/>
        <w:gridCol w:w="717"/>
        <w:gridCol w:w="59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部门名称</w:t>
            </w:r>
          </w:p>
        </w:tc>
        <w:tc>
          <w:tcPr>
            <w:tcW w:w="4259"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eastAsia="zh-CN"/>
              </w:rPr>
              <w:t>长沙市自然资源和规划局望城分局</w:t>
            </w:r>
            <w:r>
              <w:rPr>
                <w:rFonts w:hint="eastAsia" w:asciiTheme="minorEastAsia" w:hAnsiTheme="minorEastAsia" w:eastAsiaTheme="minorEastAsia" w:cstheme="minorEastAsia"/>
                <w:color w:val="000000"/>
                <w:sz w:val="21"/>
                <w:szCs w:val="21"/>
              </w:rPr>
              <w:t>　</w:t>
            </w:r>
          </w:p>
        </w:tc>
        <w:tc>
          <w:tcPr>
            <w:tcW w:w="2102"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pPr>
              <w:spacing w:line="250" w:lineRule="exact"/>
              <w:jc w:val="center"/>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整体支出规模</w:t>
            </w:r>
          </w:p>
        </w:tc>
        <w:tc>
          <w:tcPr>
            <w:tcW w:w="2459" w:type="dxa"/>
            <w:gridSpan w:val="5"/>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eastAsia="zh-CN"/>
              </w:rPr>
              <w:t>项</w:t>
            </w:r>
            <w:r>
              <w:rPr>
                <w:rFonts w:hint="eastAsia" w:asciiTheme="minorEastAsia" w:hAnsiTheme="minorEastAsia" w:eastAsiaTheme="minorEastAsia" w:cstheme="minorEastAsia"/>
                <w:color w:val="000000"/>
                <w:sz w:val="21"/>
                <w:szCs w:val="21"/>
                <w:lang w:val="en-US" w:eastAsia="zh-CN"/>
              </w:rPr>
              <w:t xml:space="preserve">   </w:t>
            </w:r>
            <w:r>
              <w:rPr>
                <w:rFonts w:hint="eastAsia" w:asciiTheme="minorEastAsia" w:hAnsiTheme="minorEastAsia" w:eastAsiaTheme="minorEastAsia" w:cstheme="minorEastAsia"/>
                <w:color w:val="000000"/>
                <w:sz w:val="21"/>
                <w:szCs w:val="21"/>
                <w:lang w:eastAsia="zh-CN"/>
              </w:rPr>
              <w:t>目</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执行率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来</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源</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143343712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2499171265.36</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1743%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（1）财政拨</w:t>
            </w:r>
            <w:r>
              <w:rPr>
                <w:rFonts w:hint="eastAsia" w:asciiTheme="minorEastAsia" w:hAnsiTheme="minorEastAsia" w:eastAsiaTheme="minorEastAsia" w:cstheme="minorEastAsia"/>
                <w:color w:val="000000"/>
                <w:sz w:val="21"/>
                <w:szCs w:val="21"/>
                <w:lang w:eastAsia="zh-CN"/>
              </w:rPr>
              <w:t>款</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143343712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2499171265.36</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1743%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资</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金</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结</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构</w:t>
            </w:r>
          </w:p>
          <w:p>
            <w:pPr>
              <w:spacing w:line="250" w:lineRule="exact"/>
              <w:jc w:val="center"/>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eastAsia="zh-CN"/>
              </w:rPr>
              <w:t>合计</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143343712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2499171265.36</w:t>
            </w:r>
            <w:r>
              <w:rPr>
                <w:rFonts w:hint="eastAsia" w:asciiTheme="minorEastAsia" w:hAnsiTheme="minorEastAsia" w:eastAsiaTheme="minorEastAsia" w:cstheme="minorEastAsia"/>
                <w:color w:val="000000"/>
                <w:sz w:val="21"/>
                <w:szCs w:val="21"/>
              </w:rPr>
              <w:t>　</w:t>
            </w:r>
          </w:p>
        </w:tc>
        <w:tc>
          <w:tcPr>
            <w:tcW w:w="595" w:type="dxa"/>
            <w:tcBorders>
              <w:tl2br w:val="nil"/>
              <w:tr2bl w:val="nil"/>
            </w:tcBorders>
            <w:tcMar>
              <w:top w:w="15" w:type="dxa"/>
              <w:left w:w="15" w:type="dxa"/>
              <w:bottom w:w="0" w:type="dxa"/>
              <w:right w:w="15" w:type="dxa"/>
            </w:tcMar>
            <w:vAlign w:val="center"/>
          </w:tcPr>
          <w:p>
            <w:pPr>
              <w:spacing w:line="250" w:lineRule="exact"/>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1743%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（1）基本支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55107712</w:t>
            </w:r>
            <w:r>
              <w:rPr>
                <w:rFonts w:hint="eastAsia" w:asciiTheme="minorEastAsia" w:hAnsiTheme="minorEastAsia" w:eastAsiaTheme="minorEastAsia" w:cstheme="minorEastAsia"/>
                <w:color w:val="000000"/>
                <w:sz w:val="21"/>
                <w:szCs w:val="21"/>
              </w:rPr>
              <w:t>　</w:t>
            </w:r>
          </w:p>
        </w:tc>
        <w:tc>
          <w:tcPr>
            <w:tcW w:w="2310" w:type="dxa"/>
            <w:gridSpan w:val="2"/>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55585571.34</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100.9%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9" w:hRule="atLeast"/>
          <w:jc w:val="center"/>
        </w:trPr>
        <w:tc>
          <w:tcPr>
            <w:tcW w:w="1390" w:type="dxa"/>
            <w:gridSpan w:val="4"/>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21"/>
                <w:szCs w:val="21"/>
              </w:rPr>
            </w:pPr>
          </w:p>
        </w:tc>
        <w:tc>
          <w:tcPr>
            <w:tcW w:w="778" w:type="dxa"/>
            <w:gridSpan w:val="2"/>
            <w:vMerge w:val="continue"/>
            <w:tcBorders>
              <w:tl2br w:val="nil"/>
              <w:tr2bl w:val="nil"/>
            </w:tcBorders>
            <w:tcMar>
              <w:top w:w="15" w:type="dxa"/>
              <w:left w:w="15" w:type="dxa"/>
              <w:bottom w:w="0" w:type="dxa"/>
              <w:right w:w="15" w:type="dxa"/>
            </w:tcMar>
            <w:vAlign w:val="center"/>
          </w:tcPr>
          <w:p>
            <w:pPr>
              <w:spacing w:line="250" w:lineRule="exact"/>
              <w:jc w:val="right"/>
              <w:rPr>
                <w:rFonts w:hint="eastAsia" w:asciiTheme="minorEastAsia" w:hAnsiTheme="minorEastAsia" w:eastAsia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pPr>
              <w:tabs>
                <w:tab w:val="left" w:pos="567"/>
              </w:tabs>
              <w:spacing w:line="250" w:lineRule="exact"/>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rPr>
              <w:t>（2）项目支</w:t>
            </w:r>
            <w:r>
              <w:rPr>
                <w:rFonts w:hint="eastAsia" w:asciiTheme="minorEastAsia" w:hAnsiTheme="minorEastAsia" w:eastAsiaTheme="minorEastAsia" w:cstheme="minorEastAsia"/>
                <w:color w:val="000000"/>
                <w:sz w:val="21"/>
                <w:szCs w:val="21"/>
                <w:lang w:eastAsia="zh-CN"/>
              </w:rPr>
              <w:t>出</w:t>
            </w:r>
          </w:p>
        </w:tc>
        <w:tc>
          <w:tcPr>
            <w:tcW w:w="2309" w:type="dxa"/>
            <w:gridSpan w:val="4"/>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lang w:val="en-US" w:eastAsia="zh-CN"/>
              </w:rPr>
              <w:t>88236000</w:t>
            </w:r>
          </w:p>
        </w:tc>
        <w:tc>
          <w:tcPr>
            <w:tcW w:w="2310" w:type="dxa"/>
            <w:gridSpan w:val="2"/>
            <w:tcBorders>
              <w:tl2br w:val="nil"/>
              <w:tr2bl w:val="nil"/>
            </w:tcBorders>
            <w:tcMar>
              <w:top w:w="15" w:type="dxa"/>
              <w:left w:w="15" w:type="dxa"/>
              <w:bottom w:w="0"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2443585694.02</w:t>
            </w:r>
          </w:p>
        </w:tc>
        <w:tc>
          <w:tcPr>
            <w:tcW w:w="595" w:type="dxa"/>
            <w:tcBorders>
              <w:tl2br w:val="nil"/>
              <w:tr2bl w:val="nil"/>
            </w:tcBorders>
            <w:tcMar>
              <w:top w:w="15" w:type="dxa"/>
              <w:left w:w="15" w:type="dxa"/>
              <w:bottom w:w="0" w:type="dxa"/>
              <w:right w:w="15" w:type="dxa"/>
            </w:tcMar>
            <w:vAlign w:val="center"/>
          </w:tcPr>
          <w:p>
            <w:pPr>
              <w:spacing w:line="250" w:lineRule="exact"/>
              <w:rPr>
                <w:rFonts w:hint="default"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rPr>
              <w:t>　</w:t>
            </w:r>
            <w:r>
              <w:rPr>
                <w:rFonts w:hint="eastAsia" w:asciiTheme="minorEastAsia" w:hAnsiTheme="minorEastAsia" w:eastAsiaTheme="minorEastAsia" w:cstheme="minorEastAsia"/>
                <w:color w:val="000000"/>
                <w:sz w:val="21"/>
                <w:szCs w:val="21"/>
                <w:lang w:val="en-US" w:eastAsia="zh-CN"/>
              </w:rPr>
              <w:t>2769%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28" w:hRule="atLeast"/>
          <w:jc w:val="center"/>
        </w:trPr>
        <w:tc>
          <w:tcPr>
            <w:tcW w:w="1097" w:type="dxa"/>
            <w:gridSpan w:val="3"/>
            <w:vMerge w:val="restart"/>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年度总</w:t>
            </w:r>
          </w:p>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体目标</w:t>
            </w:r>
          </w:p>
        </w:tc>
        <w:tc>
          <w:tcPr>
            <w:tcW w:w="3983" w:type="dxa"/>
            <w:gridSpan w:val="7"/>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全年完成情况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350" w:hRule="atLeast"/>
          <w:jc w:val="center"/>
        </w:trPr>
        <w:tc>
          <w:tcPr>
            <w:tcW w:w="1097" w:type="dxa"/>
            <w:gridSpan w:val="3"/>
            <w:vMerge w:val="continue"/>
            <w:tcBorders>
              <w:tl2br w:val="nil"/>
              <w:tr2bl w:val="nil"/>
            </w:tcBorders>
            <w:vAlign w:val="center"/>
          </w:tcPr>
          <w:p>
            <w:pPr>
              <w:spacing w:line="250" w:lineRule="exact"/>
              <w:rPr>
                <w:rFonts w:hint="eastAsia" w:asciiTheme="minorEastAsia" w:hAnsiTheme="minorEastAsia" w:eastAsiaTheme="minorEastAsia" w:cstheme="minorEastAsia"/>
                <w:color w:val="000000"/>
                <w:sz w:val="18"/>
                <w:szCs w:val="18"/>
              </w:rPr>
            </w:pPr>
          </w:p>
        </w:tc>
        <w:tc>
          <w:tcPr>
            <w:tcW w:w="3983" w:type="dxa"/>
            <w:gridSpan w:val="7"/>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全面贯彻落实“切实保护资源，依法保障资源，服务经济发展”的总体工作目标，认真贯彻落实节约优先战略和最严格的土地管理制度，不断健全和完善用地管理各项制度，坚持当前与长远相结合，国土资源保障能力不断提高，国土资源保护取得长足发展，为促进区域经济社会发展发展，建设资源节约型、环境友好型社会作出了积极贡献。　</w:t>
            </w:r>
          </w:p>
        </w:tc>
        <w:tc>
          <w:tcPr>
            <w:tcW w:w="3983" w:type="dxa"/>
            <w:gridSpan w:val="6"/>
            <w:tcBorders>
              <w:tl2br w:val="nil"/>
              <w:tr2bl w:val="nil"/>
            </w:tcBorders>
            <w:tcMar>
              <w:top w:w="15" w:type="dxa"/>
              <w:left w:w="15" w:type="dxa"/>
              <w:bottom w:w="0" w:type="dxa"/>
              <w:right w:w="15" w:type="dxa"/>
            </w:tcMar>
            <w:vAlign w:val="center"/>
          </w:tcPr>
          <w:p>
            <w:pPr>
              <w:spacing w:line="250" w:lineRule="exact"/>
              <w:jc w:val="left"/>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全面贯彻落实“切实保护资源，依法保障资源，服务经济发展”的总体工作目标，认真贯彻落实节约优先战略和最严格的土地管理制度，不断健全和完善用地管理各项制度，坚持当前与长远相结合，国土资源保障能力不断提高，国土资源保护取得长足发展，为促进区域经济社会发展发展，建设资源节约型、环境友好型社会作出了积极贡献。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1" w:hRule="atLeast"/>
          <w:jc w:val="center"/>
        </w:trPr>
        <w:tc>
          <w:tcPr>
            <w:tcW w:w="9063" w:type="dxa"/>
            <w:gridSpan w:val="16"/>
            <w:tcBorders>
              <w:tl2br w:val="nil"/>
              <w:tr2bl w:val="nil"/>
            </w:tcBorders>
            <w:vAlign w:val="center"/>
          </w:tcPr>
          <w:p>
            <w:pPr>
              <w:spacing w:line="250" w:lineRule="exact"/>
              <w:jc w:val="center"/>
              <w:rPr>
                <w:rFonts w:hint="eastAsia"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分解目标自评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blHeader/>
          <w:jc w:val="center"/>
        </w:trPr>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一级指标</w:t>
            </w:r>
          </w:p>
        </w:tc>
        <w:tc>
          <w:tcPr>
            <w:tcW w:w="50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384"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二级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62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783" w:type="dxa"/>
            <w:gridSpan w:val="2"/>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三级</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w:t>
            </w:r>
          </w:p>
        </w:tc>
        <w:tc>
          <w:tcPr>
            <w:tcW w:w="517"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分值</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评价标准</w:t>
            </w:r>
          </w:p>
        </w:tc>
        <w:tc>
          <w:tcPr>
            <w:tcW w:w="2673" w:type="dxa"/>
            <w:gridSpan w:val="3"/>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指标说明</w:t>
            </w:r>
          </w:p>
        </w:tc>
        <w:tc>
          <w:tcPr>
            <w:tcW w:w="59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得分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投入</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384"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预算配置</w:t>
            </w:r>
          </w:p>
        </w:tc>
        <w:tc>
          <w:tcPr>
            <w:tcW w:w="62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在职人员控制率=（在职人员数/编制数）×100%，在职人员数：部门（单位）实际在职人数，以财政厅确定的部门决算编制口径为准。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编制数：机构编制部门核定批复的部门（单位）的人员编制数。</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49"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“三公经费”变动率≦0,计5分；“三公经费”＞0，每超过一个百分点扣0.8分，扣完为止。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60</w:t>
            </w:r>
          </w:p>
        </w:tc>
        <w:tc>
          <w:tcPr>
            <w:tcW w:w="384"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预算执行</w:t>
            </w:r>
          </w:p>
        </w:tc>
        <w:tc>
          <w:tcPr>
            <w:tcW w:w="62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20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100%计满分，每低于5%扣2分，扣完为止。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预算控制率=0，计5分；0-10%（含），计4分；10-20%（含），计3分；20-30%（含），计2分；大于30%不得分。</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预算控制率=（本年追加预算/年初预算）×100%。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新建楼堂馆所面积控制率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楼堂馆所面积控制率=实际建设面积/批准建设面积×100%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新建楼堂馆所投资概算控制率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楼堂馆所投资预算控制率=实际投资金额/批准投资金额×100% 。</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该指标以当年完工的新建楼堂馆所为评价内容。</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622"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40</w:t>
            </w: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公用经费控制率=（实际支出公用经费总额/预算安排公用经费总额）×100%。</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公用经费支出是指部门基本支出中的一般商品和服务支出。</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7</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100%以下（含）计满分，每超出1%扣1分，扣完为止。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“三公经费”控制率=（“三公经费”实际支出数/“三公经费”预算安排数）×100%。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60" w:hRule="atLeast"/>
          <w:jc w:val="center"/>
        </w:trPr>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w:t>
            </w:r>
          </w:p>
        </w:tc>
        <w:tc>
          <w:tcPr>
            <w:tcW w:w="517" w:type="dxa"/>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100%计满分，每超过（降低）5%扣2分。扣完为止。</w:t>
            </w:r>
          </w:p>
        </w:tc>
        <w:tc>
          <w:tcPr>
            <w:tcW w:w="2673" w:type="dxa"/>
            <w:gridSpan w:val="3"/>
            <w:tcBorders>
              <w:tl2br w:val="nil"/>
              <w:tr2bl w:val="nil"/>
            </w:tcBorders>
            <w:vAlign w:val="center"/>
          </w:tcPr>
          <w:p>
            <w:pPr>
              <w:spacing w:line="24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政府采购执行率=（实际政府采购金额/政府采购预算数）×100%</w:t>
            </w:r>
          </w:p>
        </w:tc>
        <w:tc>
          <w:tcPr>
            <w:tcW w:w="595" w:type="dxa"/>
            <w:tcBorders>
              <w:tl2br w:val="nil"/>
              <w:tr2bl w:val="nil"/>
            </w:tcBorders>
            <w:vAlign w:val="center"/>
          </w:tcPr>
          <w:p>
            <w:pPr>
              <w:spacing w:line="24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QQAyADgAOAA0ADIANgBBAEUANwBDADYANABEADMARABCADQAQgA1ADEAQgAzAEIAQgBBAEIARAAy
ADcARQAzAA==
</w:fldData>
              </w:fldChar>
            </w:r>
            <w:r>
              <w:rPr>
                <w:rFonts w:hint="eastAsia" w:asciiTheme="minorEastAsia" w:hAnsiTheme="minorEastAsia" w:eastAsiaTheme="minorEastAsia" w:cstheme="minorEastAsia"/>
                <w:kern w:val="0"/>
                <w:sz w:val="18"/>
                <w:szCs w:val="18"/>
                <w:shd w:val="clear" w:color="auto" w:fill="FFFFFF"/>
              </w:rPr>
              <w:instrText xml:space="preserve">Addin PF9</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016" w:hRule="atLeast"/>
          <w:jc w:val="center"/>
        </w:trPr>
        <w:tc>
          <w:tcPr>
            <w:tcW w:w="503" w:type="dxa"/>
            <w:vMerge w:val="continue"/>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管理制度健全性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①有内部财务管理制度、会计核算制度等管理制度，2分；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②有本部门厉行节约制度,2分；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③相关管理制度合法、合规、完整，2分；④相关管理制度得到有效执行，2分。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2485" w:hRule="atLeast"/>
          <w:jc w:val="center"/>
        </w:trPr>
        <w:tc>
          <w:tcPr>
            <w:tcW w:w="503" w:type="dxa"/>
            <w:vMerge w:val="restart"/>
            <w:tcBorders>
              <w:tl2br w:val="nil"/>
              <w:tr2bl w:val="nil"/>
            </w:tcBorders>
            <w:vAlign w:val="center"/>
          </w:tcPr>
          <w:p>
            <w:pPr>
              <w:spacing w:line="24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过</w:t>
            </w:r>
          </w:p>
          <w:p>
            <w:pPr>
              <w:spacing w:line="240" w:lineRule="exact"/>
              <w:jc w:val="center"/>
              <w:rPr>
                <w:rFonts w:hint="eastAsia" w:asciiTheme="minorEastAsia" w:hAnsiTheme="minorEastAsia" w:eastAsiaTheme="minorEastAsia" w:cstheme="minorEastAsia"/>
                <w:kern w:val="0"/>
                <w:sz w:val="18"/>
                <w:szCs w:val="18"/>
              </w:rPr>
            </w:pP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程</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60</w:t>
            </w:r>
          </w:p>
        </w:tc>
        <w:tc>
          <w:tcPr>
            <w:tcW w:w="384" w:type="dxa"/>
            <w:gridSpan w:val="2"/>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预算管理</w:t>
            </w:r>
          </w:p>
        </w:tc>
        <w:tc>
          <w:tcPr>
            <w:tcW w:w="622"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val="en-US" w:eastAsia="zh-CN"/>
              </w:rPr>
              <w:t>40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资金使用合规性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以上情况每出现一例不符合要求的扣1分，扣完为止。</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865"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预决算信息公开性</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5</w:t>
            </w:r>
          </w:p>
        </w:tc>
        <w:tc>
          <w:tcPr>
            <w:tcW w:w="2483"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line="260" w:lineRule="exact"/>
              <w:jc w:val="left"/>
              <w:textAlignment w:val="auto"/>
              <w:outlineLvl w:val="9"/>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预决算信息是指与部门预算、执行、决算、监督、绩效等管理相关的信息。</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735" w:hRule="atLeast"/>
          <w:jc w:val="center"/>
        </w:trPr>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产出及效率</w:t>
            </w:r>
          </w:p>
        </w:tc>
        <w:tc>
          <w:tcPr>
            <w:tcW w:w="503"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30</w:t>
            </w:r>
          </w:p>
        </w:tc>
        <w:tc>
          <w:tcPr>
            <w:tcW w:w="384"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职责履行</w:t>
            </w:r>
          </w:p>
        </w:tc>
        <w:tc>
          <w:tcPr>
            <w:tcW w:w="622"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重点工作实际完成率</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8</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lang w:val="en-US" w:eastAsia="zh-CN"/>
              </w:rPr>
            </w:pPr>
            <w:r>
              <w:rPr>
                <w:rFonts w:hint="eastAsia" w:asciiTheme="minorEastAsia" w:hAnsiTheme="minorEastAsia" w:eastAsiaTheme="minorEastAsia" w:cstheme="minorEastAsia"/>
                <w:kern w:val="0"/>
                <w:sz w:val="18"/>
                <w:szCs w:val="18"/>
                <w:lang w:eastAsia="zh-CN"/>
              </w:rPr>
              <w:t>根据履职情况，结合绩效目标和项目性质，对重点工作计划完成、产出质量、产出时效和有关成本控制情况评价，实现</w:t>
            </w:r>
            <w:r>
              <w:rPr>
                <w:rFonts w:hint="eastAsia" w:asciiTheme="minorEastAsia" w:hAnsiTheme="minorEastAsia" w:eastAsiaTheme="minorEastAsia" w:cstheme="minorEastAsia"/>
                <w:kern w:val="0"/>
                <w:sz w:val="18"/>
                <w:szCs w:val="18"/>
                <w:lang w:val="en-US" w:eastAsia="zh-CN"/>
              </w:rPr>
              <w:t>70%以上得4分，70%以下不得分。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　</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75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履职 效益</w:t>
            </w:r>
          </w:p>
        </w:tc>
        <w:tc>
          <w:tcPr>
            <w:tcW w:w="622"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经济</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10</w:t>
            </w:r>
          </w:p>
        </w:tc>
        <w:tc>
          <w:tcPr>
            <w:tcW w:w="2483" w:type="dxa"/>
            <w:gridSpan w:val="4"/>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p>
        </w:tc>
        <w:tc>
          <w:tcPr>
            <w:tcW w:w="595" w:type="dxa"/>
            <w:vMerge w:val="restart"/>
            <w:tcBorders>
              <w:tl2br w:val="nil"/>
              <w:tr2bl w:val="nil"/>
            </w:tcBorders>
            <w:vAlign w:val="center"/>
          </w:tcPr>
          <w:p>
            <w:pPr>
              <w:spacing w:line="280" w:lineRule="exact"/>
              <w:jc w:val="left"/>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69"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效益</w:t>
            </w:r>
          </w:p>
        </w:tc>
        <w:tc>
          <w:tcPr>
            <w:tcW w:w="517"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483" w:type="dxa"/>
            <w:gridSpan w:val="4"/>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2673" w:type="dxa"/>
            <w:gridSpan w:val="3"/>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95"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restart"/>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12</w:t>
            </w: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行政</w:t>
            </w:r>
          </w:p>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效能</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根据部门自评材料评定。</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503"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384" w:type="dxa"/>
            <w:gridSpan w:val="2"/>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622" w:type="dxa"/>
            <w:vMerge w:val="continue"/>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p>
        </w:tc>
        <w:tc>
          <w:tcPr>
            <w:tcW w:w="783" w:type="dxa"/>
            <w:gridSpan w:val="2"/>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社会公众或服务对象满意度</w:t>
            </w:r>
          </w:p>
        </w:tc>
        <w:tc>
          <w:tcPr>
            <w:tcW w:w="517" w:type="dxa"/>
            <w:tcBorders>
              <w:tl2br w:val="nil"/>
              <w:tr2bl w:val="nil"/>
            </w:tcBorders>
            <w:vAlign w:val="center"/>
          </w:tcPr>
          <w:p>
            <w:pPr>
              <w:spacing w:line="280" w:lineRule="exact"/>
              <w:jc w:val="center"/>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6</w:t>
            </w:r>
          </w:p>
        </w:tc>
        <w:tc>
          <w:tcPr>
            <w:tcW w:w="2483" w:type="dxa"/>
            <w:gridSpan w:val="4"/>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90%（含）以上计6分；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80%（含）-90%，计4分；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70%（含）-80%，计2分；</w:t>
            </w:r>
            <w:r>
              <w:rPr>
                <w:rFonts w:hint="eastAsia" w:asciiTheme="minorEastAsia" w:hAnsiTheme="minorEastAsia" w:eastAsiaTheme="minorEastAsia" w:cstheme="minorEastAsia"/>
                <w:kern w:val="0"/>
                <w:sz w:val="18"/>
                <w:szCs w:val="18"/>
              </w:rPr>
              <w:br w:type="textWrapping"/>
            </w:r>
            <w:r>
              <w:rPr>
                <w:rFonts w:hint="eastAsia" w:asciiTheme="minorEastAsia" w:hAnsiTheme="minorEastAsia" w:eastAsiaTheme="minorEastAsia" w:cstheme="minorEastAsia"/>
                <w:kern w:val="0"/>
                <w:sz w:val="18"/>
                <w:szCs w:val="18"/>
              </w:rPr>
              <w:t>低于70%计0分。</w:t>
            </w:r>
          </w:p>
        </w:tc>
        <w:tc>
          <w:tcPr>
            <w:tcW w:w="2673" w:type="dxa"/>
            <w:gridSpan w:val="3"/>
            <w:tcBorders>
              <w:tl2br w:val="nil"/>
              <w:tr2bl w:val="nil"/>
            </w:tcBorders>
            <w:vAlign w:val="center"/>
          </w:tcPr>
          <w:p>
            <w:pPr>
              <w:spacing w:line="280" w:lineRule="exact"/>
              <w:jc w:val="left"/>
              <w:rPr>
                <w:rFonts w:hint="eastAsia" w:asciiTheme="minorEastAsia" w:hAnsiTheme="minorEastAsia" w:eastAsiaTheme="minorEastAsia" w:cstheme="minorEastAsia"/>
                <w:kern w:val="0"/>
                <w:sz w:val="18"/>
                <w:szCs w:val="18"/>
              </w:rPr>
            </w:pPr>
            <w:r>
              <w:rPr>
                <w:rFonts w:hint="eastAsia" w:asciiTheme="minorEastAsia" w:hAnsiTheme="minorEastAsia" w:eastAsiaTheme="minorEastAsia" w:cstheme="minor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pPr>
              <w:spacing w:line="280" w:lineRule="exact"/>
              <w:jc w:val="left"/>
              <w:rPr>
                <w:rFonts w:hint="eastAsia"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kern w:val="0"/>
                <w:sz w:val="18"/>
                <w:szCs w:val="18"/>
              </w:rPr>
              <w:t>　</w:t>
            </w:r>
            <w:r>
              <w:rPr>
                <w:rFonts w:hint="eastAsia" w:asciiTheme="minorEastAsia" w:hAnsiTheme="minorEastAsia" w:eastAsiaTheme="minorEastAsia" w:cstheme="minorEastAsia"/>
                <w:kern w:val="0"/>
                <w:sz w:val="18"/>
                <w:szCs w:val="18"/>
                <w:lang w:val="en-US" w:eastAsia="zh-CN"/>
              </w:rPr>
              <w:t>6</w:t>
            </w:r>
            <w:r>
              <w:rPr>
                <w:rFonts w:hint="eastAsia" w:asciiTheme="minorEastAsia" w:hAnsiTheme="minorEastAsia" w:eastAsiaTheme="minorEastAsia" w:cstheme="minorEastAsia"/>
                <w:kern w:val="0"/>
                <w:sz w:val="18"/>
                <w:szCs w:val="18"/>
                <w:shd w:val="clear" w:color="auto" w:fill="FFFFFF"/>
              </w:rPr>
              <w:fldChar w:fldCharType="begin">
                <w:fldData xml:space="preserve">QgAzADUAMgBGADUAMgBDADkAMAAzADAANAA1ADMAOABCADAARgA0ADAANAA5AEEAOQA0AEUAMgA0
ADQARQAxAA==
</w:fldData>
              </w:fldChar>
            </w:r>
            <w:r>
              <w:rPr>
                <w:rFonts w:hint="eastAsia" w:asciiTheme="minorEastAsia" w:hAnsiTheme="minorEastAsia" w:eastAsiaTheme="minorEastAsia" w:cstheme="minorEastAsia"/>
                <w:kern w:val="0"/>
                <w:sz w:val="18"/>
                <w:szCs w:val="18"/>
                <w:shd w:val="clear" w:color="auto" w:fill="FFFFFF"/>
              </w:rPr>
              <w:instrText xml:space="preserve">Addin PF16</w:instrText>
            </w:r>
            <w:r>
              <w:rPr>
                <w:rFonts w:hint="eastAsia" w:asciiTheme="minorEastAsia" w:hAnsiTheme="minorEastAsia" w:eastAsiaTheme="minorEastAsia" w:cstheme="minorEastAsia"/>
                <w:kern w:val="0"/>
                <w:sz w:val="18"/>
                <w:szCs w:val="18"/>
                <w:shd w:val="clear" w:color="auto" w:fill="FFFFFF"/>
              </w:rPr>
              <w:fldChar w:fldCharType="separate"/>
            </w:r>
            <w:r>
              <w:rPr>
                <w:rFonts w:hint="eastAsia" w:asciiTheme="minorEastAsia" w:hAnsiTheme="minorEastAsia" w:eastAsiaTheme="minorEastAsia" w:cstheme="minorEastAsia"/>
                <w:kern w:val="0"/>
                <w:sz w:val="18"/>
                <w:szCs w:val="18"/>
                <w:shd w:val="clear" w:color="auto" w:fill="FFFFFF"/>
              </w:rPr>
              <w:fldChar w:fldCharType="end"/>
            </w:r>
          </w:p>
        </w:tc>
      </w:tr>
    </w:tbl>
    <w:p>
      <w:pPr>
        <w:adjustRightInd w:val="0"/>
        <w:snapToGrid w:val="0"/>
        <w:spacing w:line="600" w:lineRule="exact"/>
        <w:jc w:val="center"/>
        <w:rPr>
          <w:rFonts w:hint="default" w:ascii="Times New Roman" w:hAnsi="Times New Roman" w:eastAsia="方正小标宋简体" w:cs="Times New Roman"/>
          <w:bCs/>
          <w:color w:val="000000"/>
          <w:kern w:val="0"/>
          <w:sz w:val="36"/>
          <w:szCs w:val="36"/>
        </w:rPr>
      </w:pPr>
    </w:p>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rPr>
      </w:pPr>
    </w:p>
    <w:p>
      <w:pPr>
        <w:jc w:val="left"/>
        <w:rPr>
          <w:rFonts w:hint="eastAsia" w:ascii="黑体" w:hAnsi="黑体" w:eastAsia="黑体" w:cs="黑体"/>
          <w:kern w:val="0"/>
          <w:lang w:val="en-US" w:eastAsia="zh-CN"/>
        </w:rPr>
      </w:pPr>
      <w:r>
        <w:rPr>
          <w:rFonts w:hint="eastAsia" w:ascii="黑体" w:hAnsi="黑体" w:eastAsia="黑体" w:cs="黑体"/>
          <w:kern w:val="0"/>
        </w:rPr>
        <w:t>附件</w:t>
      </w:r>
      <w:r>
        <w:rPr>
          <w:rFonts w:hint="eastAsia" w:ascii="黑体" w:hAnsi="黑体" w:eastAsia="黑体" w:cs="黑体"/>
          <w:kern w:val="0"/>
          <w:lang w:val="en-US" w:eastAsia="zh-CN"/>
        </w:rPr>
        <w:t>3</w:t>
      </w:r>
    </w:p>
    <w:p>
      <w:pPr>
        <w:spacing w:line="600" w:lineRule="exact"/>
        <w:jc w:val="center"/>
        <w:rPr>
          <w:rFonts w:hint="default" w:ascii="Times New Roman" w:hAnsi="Times New Roman" w:eastAsia="方正小标宋简体" w:cs="Times New Roman"/>
          <w:sz w:val="36"/>
          <w:szCs w:val="36"/>
        </w:rPr>
      </w:pPr>
    </w:p>
    <w:p>
      <w:pPr>
        <w:spacing w:line="600" w:lineRule="exact"/>
        <w:jc w:val="center"/>
        <w:rPr>
          <w:rFonts w:hint="eastAsia" w:ascii="方正小标宋_GBK" w:hAnsi="方正小标宋_GBK" w:eastAsia="方正小标宋_GBK" w:cs="方正小标宋_GBK"/>
          <w:b w:val="0"/>
          <w:bCs w:val="0"/>
          <w:sz w:val="36"/>
          <w:szCs w:val="36"/>
          <w:lang w:eastAsia="zh-CN"/>
        </w:rPr>
      </w:pPr>
      <w:r>
        <w:rPr>
          <w:rFonts w:hint="eastAsia" w:ascii="仿宋" w:hAnsi="仿宋" w:eastAsia="仿宋" w:cs="仿宋"/>
          <w:b w:val="0"/>
          <w:bCs w:val="0"/>
          <w:sz w:val="36"/>
          <w:szCs w:val="36"/>
          <w:lang w:val="en-US" w:eastAsia="zh-CN"/>
        </w:rPr>
        <w:t>2019</w:t>
      </w:r>
      <w:r>
        <w:rPr>
          <w:rFonts w:hint="eastAsia" w:ascii="方正小标宋_GBK" w:hAnsi="方正小标宋_GBK" w:eastAsia="方正小标宋_GBK" w:cs="方正小标宋_GBK"/>
          <w:b w:val="0"/>
          <w:bCs w:val="0"/>
          <w:sz w:val="36"/>
          <w:szCs w:val="36"/>
        </w:rPr>
        <w:t>年度</w:t>
      </w:r>
      <w:r>
        <w:rPr>
          <w:rFonts w:hint="eastAsia" w:ascii="方正小标宋_GBK" w:hAnsi="方正小标宋_GBK" w:eastAsia="方正小标宋_GBK" w:cs="方正小标宋_GBK"/>
          <w:b w:val="0"/>
          <w:bCs w:val="0"/>
          <w:sz w:val="36"/>
          <w:szCs w:val="36"/>
          <w:lang w:eastAsia="zh-CN"/>
        </w:rPr>
        <w:t>长沙市自然资源和规划局望城分局</w:t>
      </w:r>
    </w:p>
    <w:p>
      <w:pPr>
        <w:spacing w:line="600" w:lineRule="exact"/>
        <w:jc w:val="center"/>
        <w:rPr>
          <w:rFonts w:hint="default" w:ascii="Times New Roman" w:hAnsi="Times New Roman" w:eastAsia="方正小标宋简体" w:cs="Times New Roman"/>
          <w:b w:val="0"/>
          <w:bCs w:val="0"/>
          <w:sz w:val="36"/>
          <w:szCs w:val="36"/>
        </w:rPr>
      </w:pPr>
      <w:r>
        <w:rPr>
          <w:rFonts w:hint="eastAsia" w:ascii="方正小标宋_GBK" w:hAnsi="方正小标宋_GBK" w:eastAsia="方正小标宋_GBK" w:cs="方正小标宋_GBK"/>
          <w:b w:val="0"/>
          <w:bCs w:val="0"/>
          <w:sz w:val="36"/>
          <w:szCs w:val="36"/>
        </w:rPr>
        <w:t>单位部门整体支出预算绩效</w:t>
      </w:r>
      <w:r>
        <w:rPr>
          <w:rFonts w:hint="default" w:ascii="Times New Roman" w:hAnsi="Times New Roman" w:eastAsia="方正小标宋简体" w:cs="Times New Roman"/>
          <w:b w:val="0"/>
          <w:bCs w:val="0"/>
          <w:sz w:val="36"/>
          <w:szCs w:val="36"/>
        </w:rPr>
        <w:t>自评报告</w:t>
      </w:r>
    </w:p>
    <w:p>
      <w:pPr>
        <w:spacing w:line="600" w:lineRule="exact"/>
        <w:jc w:val="center"/>
        <w:rPr>
          <w:rFonts w:hint="default" w:ascii="Times New Roman" w:hAnsi="Times New Roman" w:eastAsia="仿宋_GB2312" w:cs="Times New Roman"/>
          <w:sz w:val="32"/>
          <w:szCs w:val="32"/>
        </w:rPr>
      </w:pPr>
    </w:p>
    <w:p>
      <w:pPr>
        <w:numPr>
          <w:ilvl w:val="0"/>
          <w:numId w:val="1"/>
        </w:numPr>
        <w:spacing w:line="600" w:lineRule="exact"/>
        <w:ind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部门（单位）基本情况</w:t>
      </w:r>
    </w:p>
    <w:p>
      <w:pPr>
        <w:numPr>
          <w:ilvl w:val="0"/>
          <w:numId w:val="0"/>
        </w:numPr>
        <w:spacing w:line="600" w:lineRule="exact"/>
        <w:rPr>
          <w:rFonts w:hint="default" w:ascii="Times New Roman" w:hAnsi="Times New Roman" w:eastAsia="仿宋_GB2312" w:cs="Times New Roman"/>
          <w:sz w:val="30"/>
          <w:lang w:val="en-US" w:eastAsia="zh-CN"/>
        </w:rPr>
      </w:pPr>
      <w:r>
        <w:rPr>
          <w:rFonts w:hint="eastAsia" w:ascii="Times New Roman" w:hAnsi="Times New Roman" w:eastAsia="黑体" w:cs="Times New Roman"/>
          <w:sz w:val="30"/>
          <w:lang w:val="en-US" w:eastAsia="zh-CN"/>
        </w:rPr>
        <w:t xml:space="preserve">    </w:t>
      </w:r>
      <w:r>
        <w:rPr>
          <w:rFonts w:hint="eastAsia" w:ascii="Times New Roman" w:hAnsi="Times New Roman" w:eastAsia="仿宋_GB2312" w:cs="Times New Roman"/>
          <w:sz w:val="30"/>
          <w:lang w:val="en-US" w:eastAsia="zh-CN"/>
        </w:rPr>
        <w:t>2</w:t>
      </w:r>
      <w:r>
        <w:rPr>
          <w:rFonts w:hint="default" w:ascii="Times New Roman" w:hAnsi="Times New Roman" w:eastAsia="仿宋_GB2312" w:cs="Times New Roman"/>
          <w:sz w:val="30"/>
        </w:rPr>
        <w:t>019年3月25日，长沙市望城区国土资源局、长沙市城乡规划局望城区分局、长沙市望城区林业局整合成立长沙市自然资源和规划局望城分局并完成新机构挂牌。长沙市自然资源和规划局望城分局是长沙市自然资源和规划局的正科级派出机构，主要承担自然资源资产管理、空间规划、资源保护等17项工作职能，属区委、区政府和市局双重管理单位。内设科室16 个，二级机构11个，自然资源所15个，共有干部职工460人。</w:t>
      </w:r>
    </w:p>
    <w:p>
      <w:pPr>
        <w:numPr>
          <w:ilvl w:val="0"/>
          <w:numId w:val="1"/>
        </w:numPr>
        <w:spacing w:line="600" w:lineRule="exact"/>
        <w:ind w:left="0" w:leftChars="0" w:firstLine="600" w:firstLineChars="200"/>
        <w:rPr>
          <w:rFonts w:hint="default" w:ascii="Times New Roman" w:hAnsi="Times New Roman" w:eastAsia="黑体" w:cs="Times New Roman"/>
          <w:sz w:val="30"/>
        </w:rPr>
      </w:pPr>
      <w:r>
        <w:rPr>
          <w:rFonts w:hint="default" w:ascii="Times New Roman" w:hAnsi="Times New Roman" w:eastAsia="黑体" w:cs="Times New Roman"/>
          <w:sz w:val="30"/>
        </w:rPr>
        <w:t>部门（单位）预算管理及执行情况</w:t>
      </w:r>
    </w:p>
    <w:p>
      <w:pPr>
        <w:numPr>
          <w:ilvl w:val="0"/>
          <w:numId w:val="0"/>
        </w:numPr>
        <w:spacing w:line="600" w:lineRule="exact"/>
        <w:ind w:firstLine="600" w:firstLineChars="200"/>
        <w:rPr>
          <w:rFonts w:hint="default" w:ascii="Times New Roman" w:hAnsi="Times New Roman" w:eastAsia="仿宋_GB2312" w:cs="Times New Roman"/>
          <w:sz w:val="30"/>
          <w:lang w:val="en-US" w:eastAsia="zh-CN"/>
        </w:rPr>
      </w:pPr>
      <w:r>
        <w:rPr>
          <w:rFonts w:hint="eastAsia" w:ascii="Times New Roman" w:hAnsi="Times New Roman" w:eastAsia="仿宋_GB2312" w:cs="Times New Roman"/>
          <w:sz w:val="30"/>
          <w:lang w:val="en-US" w:eastAsia="zh-CN"/>
        </w:rPr>
        <w:t>2019年我局</w:t>
      </w:r>
      <w:r>
        <w:rPr>
          <w:rFonts w:hint="eastAsia" w:ascii="Times New Roman" w:hAnsi="Times New Roman" w:cs="Times New Roman"/>
          <w:sz w:val="30"/>
          <w:lang w:val="en-US" w:eastAsia="zh-CN"/>
        </w:rPr>
        <w:t>预算下达数143343712.00元，预算执行数2499171265.36元。预算内资金全部符合申报的用途，专项资金专款专用。预算执行数超出部分主要为省市级土地整治专项下达的上级资金和土地储备专项支出，无需申报预算但纳入年终决算统计口径。</w:t>
      </w:r>
    </w:p>
    <w:p>
      <w:pPr>
        <w:numPr>
          <w:ilvl w:val="0"/>
          <w:numId w:val="1"/>
        </w:numPr>
        <w:spacing w:line="600" w:lineRule="exact"/>
        <w:ind w:left="0" w:leftChars="0" w:firstLine="600" w:firstLineChars="200"/>
        <w:rPr>
          <w:rFonts w:hint="eastAsia" w:ascii="Times New Roman" w:hAnsi="Times New Roman" w:eastAsia="黑体" w:cs="Times New Roman"/>
          <w:sz w:val="30"/>
          <w:lang w:eastAsia="zh-CN"/>
        </w:rPr>
      </w:pPr>
      <w:r>
        <w:rPr>
          <w:rFonts w:hint="default" w:ascii="Times New Roman" w:hAnsi="Times New Roman" w:eastAsia="黑体" w:cs="Times New Roman"/>
          <w:sz w:val="30"/>
        </w:rPr>
        <w:t>部门（单位）</w:t>
      </w:r>
      <w:r>
        <w:rPr>
          <w:rFonts w:hint="eastAsia" w:ascii="Times New Roman" w:hAnsi="Times New Roman" w:eastAsia="黑体" w:cs="Times New Roman"/>
          <w:sz w:val="30"/>
          <w:lang w:eastAsia="zh-CN"/>
        </w:rPr>
        <w:t>资产管理情况</w:t>
      </w:r>
    </w:p>
    <w:p>
      <w:pPr>
        <w:numPr>
          <w:ilvl w:val="0"/>
          <w:numId w:val="0"/>
        </w:numPr>
        <w:spacing w:line="600" w:lineRule="exact"/>
        <w:ind w:firstLine="600" w:firstLineChars="200"/>
        <w:rPr>
          <w:rFonts w:hint="default" w:ascii="Times New Roman" w:hAnsi="Times New Roman" w:eastAsia="仿宋_GB2312" w:cs="Times New Roman"/>
          <w:sz w:val="30"/>
          <w:lang w:val="en-US" w:eastAsia="zh-CN"/>
        </w:rPr>
      </w:pPr>
      <w:r>
        <w:rPr>
          <w:rFonts w:hint="eastAsia" w:ascii="Times New Roman" w:hAnsi="Times New Roman" w:eastAsia="仿宋_GB2312" w:cs="Times New Roman"/>
          <w:sz w:val="30"/>
          <w:lang w:val="en-US" w:eastAsia="zh-CN"/>
        </w:rPr>
        <w:t>机构合并后，我局原国土部门资产清查已完成，原规划部门资产清查</w:t>
      </w:r>
      <w:r>
        <w:rPr>
          <w:rFonts w:hint="eastAsia" w:ascii="Times New Roman" w:hAnsi="Times New Roman" w:cs="Times New Roman"/>
          <w:sz w:val="30"/>
          <w:lang w:val="en-US" w:eastAsia="zh-CN"/>
        </w:rPr>
        <w:t>正在进行，未出国资中心审核后的最终成果。账面资产额为72173731.81元。</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四</w:t>
      </w:r>
      <w:r>
        <w:rPr>
          <w:rFonts w:hint="default" w:ascii="Times New Roman" w:hAnsi="Times New Roman" w:eastAsia="黑体" w:cs="Times New Roman"/>
          <w:sz w:val="30"/>
        </w:rPr>
        <w:t>、部门（单位）整体支出绩效目标及开展情况</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五</w:t>
      </w:r>
      <w:r>
        <w:rPr>
          <w:rFonts w:hint="default" w:ascii="Times New Roman" w:hAnsi="Times New Roman" w:eastAsia="黑体" w:cs="Times New Roman"/>
          <w:sz w:val="30"/>
        </w:rPr>
        <w:t>、部门（单位）整体支出绩效实现情况</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lang w:val="en-US" w:eastAsia="zh-CN"/>
        </w:rPr>
      </w:pPr>
      <w:r>
        <w:rPr>
          <w:rFonts w:hint="default"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一</w:t>
      </w:r>
      <w:r>
        <w:rPr>
          <w:rFonts w:hint="default"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获批用地5252亩，为全区项目建设提供用地保障；规范征地程序，严格补偿标准，依法稳妥高效完成</w:t>
      </w:r>
      <w:r>
        <w:rPr>
          <w:rFonts w:hint="eastAsia" w:ascii="仿宋" w:hAnsi="仿宋" w:eastAsia="仿宋" w:cs="仿宋"/>
          <w:sz w:val="32"/>
          <w:szCs w:val="32"/>
        </w:rPr>
        <w:t>益海嘉里、澳优智慧等</w:t>
      </w:r>
      <w:r>
        <w:rPr>
          <w:rFonts w:hint="eastAsia" w:ascii="仿宋" w:hAnsi="仿宋" w:eastAsia="仿宋" w:cs="仿宋"/>
          <w:sz w:val="32"/>
          <w:szCs w:val="32"/>
          <w:lang w:val="en-US" w:eastAsia="zh-CN"/>
        </w:rPr>
        <w:t>78</w:t>
      </w:r>
      <w:r>
        <w:rPr>
          <w:rFonts w:hint="eastAsia" w:ascii="仿宋" w:hAnsi="仿宋" w:eastAsia="仿宋" w:cs="仿宋"/>
          <w:sz w:val="32"/>
          <w:szCs w:val="32"/>
        </w:rPr>
        <w:t>个项目</w:t>
      </w:r>
      <w:r>
        <w:rPr>
          <w:rFonts w:hint="eastAsia" w:ascii="仿宋" w:hAnsi="仿宋" w:eastAsia="仿宋" w:cs="仿宋"/>
          <w:sz w:val="32"/>
          <w:szCs w:val="32"/>
          <w:lang w:val="en-US" w:eastAsia="zh-CN"/>
        </w:rPr>
        <w:t>10529</w:t>
      </w:r>
      <w:r>
        <w:rPr>
          <w:rFonts w:hint="eastAsia" w:ascii="仿宋" w:hAnsi="仿宋" w:eastAsia="仿宋" w:cs="仿宋"/>
          <w:sz w:val="32"/>
          <w:szCs w:val="32"/>
        </w:rPr>
        <w:t>亩拆迁腾地</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长益常铁路项目创造了征拆工作“望城速度”，获省征地中心通报表彰，《长沙观察》《长沙通讯》予以推介；以“月清三地”和“三资”工作为契机，采取历年来最强硬的手段、最坚决的执行力盘活土地资源，全面清查147宗履约出让土地，盘活存量土地12343亩、闲置土地4443亩；</w:t>
      </w:r>
      <w:r>
        <w:rPr>
          <w:rFonts w:hint="eastAsia" w:ascii="仿宋" w:hAnsi="仿宋" w:eastAsia="仿宋" w:cs="仿宋"/>
          <w:sz w:val="32"/>
          <w:szCs w:val="32"/>
          <w:lang w:eastAsia="zh-CN"/>
        </w:rPr>
        <w:t>首推小程序招商</w:t>
      </w:r>
      <w:r>
        <w:rPr>
          <w:rFonts w:hint="eastAsia" w:ascii="仿宋" w:hAnsi="仿宋" w:eastAsia="仿宋" w:cs="仿宋"/>
          <w:sz w:val="32"/>
          <w:szCs w:val="32"/>
          <w:lang w:val="en-US" w:eastAsia="zh-CN"/>
        </w:rPr>
        <w:t>APP，依托规划展示馆，精心精品推介宣传望城，接待万科、华为等客商团队136批，有计划、有步骤做好出让、收储、融资、招商、管护工作，全区供应土地12018亩，成交土地2445亩，</w:t>
      </w:r>
      <w:r>
        <w:rPr>
          <w:rFonts w:hint="eastAsia" w:ascii="仿宋" w:hAnsi="仿宋" w:eastAsia="仿宋" w:cs="仿宋"/>
          <w:sz w:val="32"/>
          <w:szCs w:val="32"/>
          <w:lang w:eastAsia="zh-CN"/>
        </w:rPr>
        <w:t>入库</w:t>
      </w:r>
      <w:r>
        <w:rPr>
          <w:rFonts w:hint="eastAsia" w:ascii="仿宋" w:hAnsi="仿宋" w:eastAsia="仿宋" w:cs="仿宋"/>
          <w:sz w:val="32"/>
          <w:szCs w:val="32"/>
        </w:rPr>
        <w:t>国土基金收入</w:t>
      </w:r>
      <w:r>
        <w:rPr>
          <w:rFonts w:hint="eastAsia" w:ascii="仿宋" w:hAnsi="仿宋" w:eastAsia="仿宋" w:cs="仿宋"/>
          <w:sz w:val="32"/>
          <w:szCs w:val="32"/>
          <w:lang w:val="en-US" w:eastAsia="zh-CN"/>
        </w:rPr>
        <w:t>85.58</w:t>
      </w:r>
      <w:r>
        <w:rPr>
          <w:rFonts w:hint="eastAsia" w:ascii="仿宋" w:hAnsi="仿宋" w:eastAsia="仿宋" w:cs="仿宋"/>
          <w:sz w:val="32"/>
          <w:szCs w:val="32"/>
        </w:rPr>
        <w:t>亿元</w:t>
      </w:r>
      <w:r>
        <w:rPr>
          <w:rFonts w:hint="eastAsia" w:ascii="仿宋" w:hAnsi="仿宋" w:eastAsia="仿宋" w:cs="仿宋"/>
          <w:sz w:val="32"/>
          <w:szCs w:val="32"/>
          <w:lang w:eastAsia="zh-CN"/>
        </w:rPr>
        <w:t>，单宗土地溢价和年度出让收入创历年新高，</w:t>
      </w:r>
      <w:r>
        <w:rPr>
          <w:rFonts w:hint="eastAsia" w:ascii="仿宋" w:hAnsi="仿宋" w:eastAsia="仿宋" w:cs="仿宋"/>
          <w:sz w:val="32"/>
          <w:szCs w:val="32"/>
          <w:lang w:val="en-US" w:eastAsia="zh-CN"/>
        </w:rPr>
        <w:t>为区域经济社会发展提供了坚强的财力支撑</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仿宋_GB2312" w:hAnsi="仿宋_GB2312" w:eastAsia="仿宋_GB2312" w:cs="仿宋_GB2312"/>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（二）</w:t>
      </w:r>
      <w:r>
        <w:rPr>
          <w:rFonts w:hint="eastAsia" w:ascii="仿宋" w:hAnsi="仿宋" w:eastAsia="仿宋" w:cs="仿宋"/>
          <w:sz w:val="32"/>
          <w:szCs w:val="32"/>
        </w:rPr>
        <w:t>开展乔口等5镇国土空间总体规划和76个村庄规划编制工作，</w:t>
      </w:r>
      <w:r>
        <w:rPr>
          <w:rFonts w:hint="eastAsia" w:ascii="仿宋" w:hAnsi="仿宋" w:eastAsia="仿宋" w:cs="仿宋"/>
          <w:sz w:val="32"/>
          <w:szCs w:val="32"/>
          <w:lang w:eastAsia="zh-CN"/>
        </w:rPr>
        <w:t>做好</w:t>
      </w:r>
      <w:r>
        <w:rPr>
          <w:rFonts w:hint="eastAsia" w:ascii="仿宋" w:hAnsi="仿宋" w:eastAsia="仿宋" w:cs="仿宋"/>
          <w:sz w:val="32"/>
          <w:szCs w:val="32"/>
        </w:rPr>
        <w:t>靖港</w:t>
      </w:r>
      <w:r>
        <w:rPr>
          <w:rFonts w:hint="eastAsia" w:ascii="仿宋" w:hAnsi="仿宋" w:eastAsia="仿宋" w:cs="仿宋"/>
          <w:sz w:val="32"/>
          <w:szCs w:val="32"/>
          <w:lang w:eastAsia="zh-CN"/>
        </w:rPr>
        <w:t>等</w:t>
      </w:r>
      <w:r>
        <w:rPr>
          <w:rFonts w:hint="eastAsia" w:ascii="仿宋" w:hAnsi="仿宋" w:eastAsia="仿宋" w:cs="仿宋"/>
          <w:sz w:val="32"/>
          <w:szCs w:val="32"/>
          <w:lang w:val="en-US" w:eastAsia="zh-CN"/>
        </w:rPr>
        <w:t>3个</w:t>
      </w:r>
      <w:r>
        <w:rPr>
          <w:rFonts w:hint="eastAsia" w:ascii="仿宋" w:hAnsi="仿宋" w:eastAsia="仿宋" w:cs="仿宋"/>
          <w:sz w:val="32"/>
          <w:szCs w:val="32"/>
        </w:rPr>
        <w:t>历史文化名镇保护规划</w:t>
      </w:r>
      <w:r>
        <w:rPr>
          <w:rFonts w:hint="eastAsia" w:ascii="仿宋" w:hAnsi="仿宋" w:eastAsia="仿宋" w:cs="仿宋"/>
          <w:sz w:val="32"/>
          <w:szCs w:val="32"/>
          <w:lang w:eastAsia="zh-CN"/>
        </w:rPr>
        <w:t>，助推乡村振兴；</w:t>
      </w:r>
      <w:r>
        <w:rPr>
          <w:rFonts w:hint="eastAsia" w:ascii="仿宋" w:hAnsi="仿宋" w:eastAsia="仿宋" w:cs="仿宋"/>
          <w:sz w:val="32"/>
          <w:szCs w:val="32"/>
        </w:rPr>
        <w:t>优化</w:t>
      </w:r>
      <w:r>
        <w:rPr>
          <w:rFonts w:hint="eastAsia" w:ascii="仿宋" w:hAnsi="仿宋" w:eastAsia="仿宋" w:cs="仿宋"/>
          <w:sz w:val="32"/>
          <w:szCs w:val="32"/>
          <w:lang w:eastAsia="zh-CN"/>
        </w:rPr>
        <w:t>滨</w:t>
      </w:r>
      <w:r>
        <w:rPr>
          <w:rFonts w:hint="eastAsia" w:ascii="仿宋" w:hAnsi="仿宋" w:eastAsia="仿宋" w:cs="仿宋"/>
          <w:sz w:val="32"/>
          <w:szCs w:val="32"/>
        </w:rPr>
        <w:t>水新城</w:t>
      </w:r>
      <w:r>
        <w:rPr>
          <w:rFonts w:hint="eastAsia" w:ascii="仿宋" w:hAnsi="仿宋" w:eastAsia="仿宋" w:cs="仿宋"/>
          <w:sz w:val="32"/>
          <w:szCs w:val="32"/>
          <w:lang w:eastAsia="zh-CN"/>
        </w:rPr>
        <w:t>、</w:t>
      </w:r>
      <w:r>
        <w:rPr>
          <w:rFonts w:hint="eastAsia" w:ascii="仿宋" w:hAnsi="仿宋" w:eastAsia="仿宋" w:cs="仿宋"/>
          <w:sz w:val="32"/>
          <w:szCs w:val="32"/>
        </w:rPr>
        <w:t>高铁西城</w:t>
      </w:r>
      <w:r>
        <w:rPr>
          <w:rFonts w:hint="eastAsia" w:ascii="仿宋" w:hAnsi="仿宋" w:eastAsia="仿宋" w:cs="仿宋"/>
          <w:sz w:val="32"/>
          <w:szCs w:val="32"/>
          <w:lang w:eastAsia="zh-CN"/>
        </w:rPr>
        <w:t>等</w:t>
      </w:r>
      <w:r>
        <w:rPr>
          <w:rFonts w:hint="eastAsia" w:ascii="仿宋" w:hAnsi="仿宋" w:eastAsia="仿宋" w:cs="仿宋"/>
          <w:sz w:val="32"/>
          <w:szCs w:val="32"/>
        </w:rPr>
        <w:t>片</w:t>
      </w:r>
      <w:r>
        <w:rPr>
          <w:rFonts w:hint="eastAsia" w:ascii="仿宋" w:hAnsi="仿宋" w:eastAsia="仿宋" w:cs="仿宋"/>
          <w:sz w:val="32"/>
          <w:szCs w:val="32"/>
          <w:lang w:eastAsia="zh-CN"/>
        </w:rPr>
        <w:t>区</w:t>
      </w:r>
      <w:r>
        <w:rPr>
          <w:rFonts w:hint="eastAsia" w:ascii="仿宋" w:hAnsi="仿宋" w:eastAsia="仿宋" w:cs="仿宋"/>
          <w:sz w:val="32"/>
          <w:szCs w:val="32"/>
        </w:rPr>
        <w:t>控规</w:t>
      </w:r>
      <w:r>
        <w:rPr>
          <w:rFonts w:hint="eastAsia" w:ascii="仿宋" w:hAnsi="仿宋" w:eastAsia="仿宋" w:cs="仿宋"/>
          <w:sz w:val="32"/>
          <w:szCs w:val="32"/>
          <w:lang w:eastAsia="zh-CN"/>
        </w:rPr>
        <w:t>，</w:t>
      </w:r>
      <w:r>
        <w:rPr>
          <w:rFonts w:hint="eastAsia" w:ascii="仿宋" w:hAnsi="仿宋" w:eastAsia="仿宋" w:cs="仿宋"/>
          <w:sz w:val="32"/>
          <w:szCs w:val="32"/>
        </w:rPr>
        <w:t>完成雷锋大道两厢城市设计</w:t>
      </w:r>
      <w:r>
        <w:rPr>
          <w:rFonts w:hint="eastAsia" w:ascii="仿宋" w:hAnsi="仿宋" w:eastAsia="仿宋" w:cs="仿宋"/>
          <w:sz w:val="32"/>
          <w:szCs w:val="32"/>
          <w:lang w:eastAsia="zh-CN"/>
        </w:rPr>
        <w:t>和</w:t>
      </w:r>
      <w:r>
        <w:rPr>
          <w:rFonts w:hint="eastAsia" w:ascii="仿宋" w:hAnsi="仿宋" w:eastAsia="仿宋" w:cs="仿宋"/>
          <w:sz w:val="32"/>
          <w:szCs w:val="32"/>
        </w:rPr>
        <w:t>月亮岛路等6条道路两厢绿化带设计</w:t>
      </w:r>
      <w:r>
        <w:rPr>
          <w:rFonts w:hint="eastAsia" w:ascii="仿宋" w:hAnsi="仿宋" w:eastAsia="仿宋" w:cs="仿宋"/>
          <w:sz w:val="32"/>
          <w:szCs w:val="32"/>
          <w:lang w:eastAsia="zh-CN"/>
        </w:rPr>
        <w:t>，精心</w:t>
      </w:r>
      <w:r>
        <w:rPr>
          <w:rFonts w:hint="eastAsia" w:ascii="仿宋" w:hAnsi="仿宋" w:eastAsia="仿宋" w:cs="仿宋"/>
          <w:sz w:val="32"/>
          <w:szCs w:val="32"/>
        </w:rPr>
        <w:t>编制大泽湖片区城市设计</w:t>
      </w:r>
      <w:r>
        <w:rPr>
          <w:rFonts w:hint="eastAsia" w:ascii="仿宋" w:hAnsi="仿宋" w:eastAsia="仿宋" w:cs="仿宋"/>
          <w:sz w:val="32"/>
          <w:szCs w:val="32"/>
          <w:lang w:eastAsia="zh-CN"/>
        </w:rPr>
        <w:t>，区域空间形象、用地布局、综合交通形象大幅提升；</w:t>
      </w:r>
      <w:r>
        <w:rPr>
          <w:rFonts w:hint="eastAsia" w:ascii="仿宋" w:hAnsi="仿宋" w:eastAsia="仿宋" w:cs="仿宋"/>
          <w:sz w:val="32"/>
          <w:szCs w:val="32"/>
        </w:rPr>
        <w:t>办理用地蓝线36个</w:t>
      </w:r>
      <w:r>
        <w:rPr>
          <w:rFonts w:hint="eastAsia" w:ascii="仿宋" w:hAnsi="仿宋" w:eastAsia="仿宋" w:cs="仿宋"/>
          <w:sz w:val="32"/>
          <w:szCs w:val="32"/>
          <w:lang w:eastAsia="zh-CN"/>
        </w:rPr>
        <w:t>，</w:t>
      </w:r>
      <w:r>
        <w:rPr>
          <w:rFonts w:hint="eastAsia" w:ascii="仿宋" w:hAnsi="仿宋" w:eastAsia="仿宋" w:cs="仿宋"/>
          <w:sz w:val="32"/>
          <w:szCs w:val="32"/>
        </w:rPr>
        <w:t>规划条件47个，核发建设项目用地预审和选址意见书46本</w:t>
      </w:r>
      <w:r>
        <w:rPr>
          <w:rFonts w:hint="eastAsia" w:ascii="仿宋" w:hAnsi="仿宋" w:eastAsia="仿宋" w:cs="仿宋"/>
          <w:sz w:val="32"/>
          <w:szCs w:val="32"/>
          <w:lang w:eastAsia="zh-CN"/>
        </w:rPr>
        <w:t>；</w:t>
      </w:r>
      <w:r>
        <w:rPr>
          <w:rFonts w:hint="eastAsia" w:ascii="仿宋" w:hAnsi="仿宋" w:eastAsia="仿宋" w:cs="仿宋"/>
          <w:sz w:val="32"/>
          <w:szCs w:val="32"/>
        </w:rPr>
        <w:t>潇湘北路、</w:t>
      </w:r>
      <w:r>
        <w:rPr>
          <w:rFonts w:hint="eastAsia" w:ascii="仿宋" w:hAnsi="仿宋" w:eastAsia="仿宋" w:cs="仿宋"/>
          <w:sz w:val="32"/>
          <w:szCs w:val="32"/>
          <w:lang w:eastAsia="zh-CN"/>
        </w:rPr>
        <w:t>金星北路、四医院等主干道和市政、公共服务设施相继建成，</w:t>
      </w:r>
      <w:r>
        <w:rPr>
          <w:rFonts w:hint="eastAsia" w:ascii="仿宋" w:hAnsi="仿宋" w:eastAsia="仿宋" w:cs="仿宋"/>
          <w:sz w:val="32"/>
          <w:szCs w:val="32"/>
        </w:rPr>
        <w:t>香炉洲大桥开工建设</w:t>
      </w:r>
      <w:r>
        <w:rPr>
          <w:rFonts w:hint="eastAsia" w:ascii="仿宋" w:hAnsi="仿宋" w:eastAsia="仿宋" w:cs="仿宋"/>
          <w:sz w:val="32"/>
          <w:szCs w:val="32"/>
          <w:lang w:eastAsia="zh-CN"/>
        </w:rPr>
        <w:t>，总投资超百亿的大泽湖海归小镇落户建设，中交、康佳、中石油等企业总部陆续进驻，产业集聚力、片区承载力、人口吸附力持续增强，</w:t>
      </w:r>
      <w:r>
        <w:rPr>
          <w:rFonts w:hint="eastAsia" w:ascii="仿宋" w:hAnsi="仿宋" w:eastAsia="仿宋" w:cs="仿宋"/>
          <w:sz w:val="32"/>
          <w:szCs w:val="32"/>
        </w:rPr>
        <w:t>一江两岸比翼齐飞</w:t>
      </w:r>
      <w:r>
        <w:rPr>
          <w:rFonts w:hint="eastAsia" w:ascii="仿宋" w:hAnsi="仿宋" w:eastAsia="仿宋" w:cs="仿宋"/>
          <w:sz w:val="32"/>
          <w:szCs w:val="32"/>
          <w:lang w:eastAsia="zh-CN"/>
        </w:rPr>
        <w:t>，</w:t>
      </w:r>
      <w:r>
        <w:rPr>
          <w:rFonts w:hint="eastAsia" w:ascii="仿宋" w:hAnsi="仿宋" w:eastAsia="仿宋" w:cs="仿宋"/>
          <w:sz w:val="32"/>
          <w:szCs w:val="32"/>
        </w:rPr>
        <w:t>城市发展格局</w:t>
      </w:r>
      <w:r>
        <w:rPr>
          <w:rFonts w:hint="eastAsia" w:ascii="仿宋" w:hAnsi="仿宋" w:eastAsia="仿宋" w:cs="仿宋"/>
          <w:sz w:val="32"/>
          <w:szCs w:val="32"/>
          <w:lang w:eastAsia="zh-CN"/>
        </w:rPr>
        <w:t>初具雏形</w:t>
      </w:r>
      <w:r>
        <w:rPr>
          <w:rFonts w:hint="eastAsia" w:ascii="仿宋" w:hAnsi="仿宋" w:eastAsia="仿宋" w:cs="仿宋"/>
          <w:sz w:val="32"/>
          <w:szCs w:val="32"/>
        </w:rPr>
        <w:t>，</w:t>
      </w:r>
      <w:r>
        <w:rPr>
          <w:rFonts w:hint="eastAsia" w:ascii="仿宋" w:hAnsi="仿宋" w:eastAsia="仿宋" w:cs="仿宋"/>
          <w:sz w:val="32"/>
          <w:szCs w:val="32"/>
          <w:lang w:eastAsia="zh-CN"/>
        </w:rPr>
        <w:t>城市会客厅规划建设序章逐步拉开。</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lang w:eastAsia="zh-CN"/>
        </w:rPr>
      </w:pPr>
      <w:r>
        <w:rPr>
          <w:rFonts w:hint="eastAsia"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三</w:t>
      </w:r>
      <w:r>
        <w:rPr>
          <w:rFonts w:hint="eastAsia"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坚决贯彻中央、省、市加强自然资源保护要求，多渠道开展新土地管理法、农村乱占耕地建房、森林防火、湿地保护专项宣传7次；严格落实耕地占补平衡，补充建设用地项目59个，补充耕地1605亩，坚决守住44.13万亩耕地和36.84万亩基本农田保护红线；实施4624亩增减挂钩和“空心房”整治，产生用地指标总市值5.3亿元；加强矿政管理，全面</w:t>
      </w:r>
      <w:r>
        <w:rPr>
          <w:rFonts w:hint="eastAsia" w:ascii="仿宋" w:hAnsi="仿宋" w:eastAsia="仿宋" w:cs="仿宋"/>
          <w:sz w:val="32"/>
          <w:szCs w:val="32"/>
        </w:rPr>
        <w:t>完成杨桥采石场证照注销</w:t>
      </w:r>
      <w:r>
        <w:rPr>
          <w:rFonts w:hint="eastAsia" w:ascii="仿宋" w:hAnsi="仿宋" w:eastAsia="仿宋" w:cs="仿宋"/>
          <w:sz w:val="32"/>
          <w:szCs w:val="32"/>
          <w:lang w:eastAsia="zh-CN"/>
        </w:rPr>
        <w:t>工作</w:t>
      </w:r>
      <w:r>
        <w:rPr>
          <w:rFonts w:hint="eastAsia" w:ascii="仿宋" w:hAnsi="仿宋" w:eastAsia="仿宋" w:cs="仿宋"/>
          <w:sz w:val="32"/>
          <w:szCs w:val="32"/>
        </w:rPr>
        <w:t>，</w:t>
      </w:r>
      <w:r>
        <w:rPr>
          <w:rFonts w:hint="eastAsia" w:ascii="仿宋" w:hAnsi="仿宋" w:eastAsia="仿宋" w:cs="仿宋"/>
          <w:sz w:val="32"/>
          <w:szCs w:val="32"/>
          <w:lang w:eastAsia="zh-CN"/>
        </w:rPr>
        <w:t>耗时五年的</w:t>
      </w:r>
      <w:r>
        <w:rPr>
          <w:rFonts w:hint="eastAsia" w:ascii="仿宋" w:hAnsi="仿宋" w:eastAsia="仿宋" w:cs="仿宋"/>
          <w:sz w:val="32"/>
          <w:szCs w:val="32"/>
        </w:rPr>
        <w:t>公坤石材有偿收回工作</w:t>
      </w:r>
      <w:r>
        <w:rPr>
          <w:rFonts w:hint="eastAsia" w:ascii="仿宋" w:hAnsi="仿宋" w:eastAsia="仿宋" w:cs="仿宋"/>
          <w:sz w:val="32"/>
          <w:szCs w:val="32"/>
          <w:lang w:eastAsia="zh-CN"/>
        </w:rPr>
        <w:t>已进入尾款支付阶段，</w:t>
      </w:r>
      <w:r>
        <w:rPr>
          <w:rFonts w:hint="eastAsia" w:ascii="仿宋" w:hAnsi="仿宋" w:eastAsia="仿宋" w:cs="仿宋"/>
          <w:sz w:val="32"/>
          <w:szCs w:val="32"/>
        </w:rPr>
        <w:t>旺金石业绿色矿山</w:t>
      </w:r>
      <w:r>
        <w:rPr>
          <w:rFonts w:hint="eastAsia" w:ascii="仿宋" w:hAnsi="仿宋" w:eastAsia="仿宋" w:cs="仿宋"/>
          <w:sz w:val="32"/>
          <w:szCs w:val="32"/>
          <w:lang w:eastAsia="zh-CN"/>
        </w:rPr>
        <w:t>启动</w:t>
      </w:r>
      <w:r>
        <w:rPr>
          <w:rFonts w:hint="eastAsia" w:ascii="仿宋" w:hAnsi="仿宋" w:eastAsia="仿宋" w:cs="仿宋"/>
          <w:sz w:val="32"/>
          <w:szCs w:val="32"/>
        </w:rPr>
        <w:t>建设</w:t>
      </w:r>
      <w:r>
        <w:rPr>
          <w:rFonts w:hint="eastAsia" w:ascii="仿宋" w:hAnsi="仿宋" w:eastAsia="仿宋" w:cs="仿宋"/>
          <w:sz w:val="32"/>
          <w:szCs w:val="32"/>
          <w:lang w:val="en-US" w:eastAsia="zh-CN"/>
        </w:rPr>
        <w:t>，27处废弃露天矿山生态修复全面完成，精心编制黑麋峰、千龙湖、乌山3个自然保护地整合优化预案</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严控采伐与新植造林结合，全区采伐蓄量7309立方，完成造林绿化3500亩，抚育任务7000亩；“抓源头”“建机制”，健全加强自然资源巡控违和建设用地批后监管工作机制，“长牙齿”“出硬拳”，亮剑</w:t>
      </w:r>
      <w:r>
        <w:rPr>
          <w:rFonts w:hint="eastAsia" w:ascii="仿宋" w:hAnsi="仿宋" w:eastAsia="仿宋" w:cs="仿宋"/>
          <w:sz w:val="32"/>
          <w:szCs w:val="32"/>
          <w:lang w:eastAsia="zh-CN"/>
        </w:rPr>
        <w:t>整改历年违法用地</w:t>
      </w:r>
      <w:r>
        <w:rPr>
          <w:rFonts w:hint="eastAsia" w:ascii="仿宋" w:hAnsi="仿宋" w:eastAsia="仿宋" w:cs="仿宋"/>
          <w:sz w:val="32"/>
          <w:szCs w:val="32"/>
          <w:lang w:val="en-US" w:eastAsia="zh-CN"/>
        </w:rPr>
        <w:t>844宗，新增违法用地345宗，拆除非法采(洗)砂点10处，形成44个搅拌场“一地一策”处置方案，有效遏制全区违法用地势头。“组专班”“强调度”，尽锐出战整治违建别墅75栋，摸排占用耕地建房11970宗，以坚定的政治站位落实中央决策部署。</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eastAsia="仿宋_GB2312"/>
          <w:color w:val="auto"/>
          <w:sz w:val="32"/>
          <w:szCs w:val="32"/>
        </w:rPr>
      </w:pPr>
      <w:r>
        <w:rPr>
          <w:rFonts w:hint="default"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四</w:t>
      </w:r>
      <w:r>
        <w:rPr>
          <w:rFonts w:hint="default"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第</w:t>
      </w:r>
      <w:r>
        <w:rPr>
          <w:rFonts w:hint="eastAsia" w:ascii="仿宋" w:hAnsi="仿宋" w:eastAsia="仿宋" w:cs="仿宋"/>
          <w:sz w:val="32"/>
          <w:szCs w:val="32"/>
          <w:lang w:eastAsia="zh-CN"/>
        </w:rPr>
        <w:t>三次国土调查工作高质量完成，</w:t>
      </w:r>
      <w:r>
        <w:rPr>
          <w:rFonts w:hint="eastAsia" w:ascii="仿宋" w:hAnsi="仿宋" w:eastAsia="仿宋" w:cs="仿宋"/>
          <w:sz w:val="32"/>
          <w:szCs w:val="32"/>
          <w:lang w:val="en-US" w:eastAsia="zh-CN"/>
        </w:rPr>
        <w:t>为全区自然资源保护提供最新最全最实的基础数据，时点更新速度快、质量高，图斑准确率99.9%，走在全省前列并典型发言；农村宅基地和集体建设用地房地一体确权登记发证率100%，</w:t>
      </w:r>
      <w:r>
        <w:rPr>
          <w:rFonts w:hint="eastAsia" w:ascii="仿宋" w:hAnsi="仿宋" w:eastAsia="仿宋" w:cs="仿宋"/>
          <w:sz w:val="32"/>
          <w:szCs w:val="32"/>
          <w:lang w:eastAsia="zh-CN"/>
        </w:rPr>
        <w:t>中国自然资源报、湖南红网、省不动产登记刊物予以专题报道并推广做法；全面完成设计院改制和“三测合一”市场化运作，试运行</w:t>
      </w:r>
      <w:r>
        <w:rPr>
          <w:rFonts w:hint="eastAsia" w:ascii="仿宋" w:hAnsi="仿宋" w:eastAsia="仿宋" w:cs="仿宋"/>
          <w:sz w:val="32"/>
          <w:szCs w:val="32"/>
        </w:rPr>
        <w:t>多测合一管理云平台，房产测绘数据</w:t>
      </w:r>
      <w:r>
        <w:rPr>
          <w:rFonts w:hint="eastAsia" w:ascii="仿宋" w:hAnsi="仿宋" w:eastAsia="仿宋" w:cs="仿宋"/>
          <w:sz w:val="32"/>
          <w:szCs w:val="32"/>
          <w:lang w:eastAsia="zh-CN"/>
        </w:rPr>
        <w:t>与</w:t>
      </w:r>
      <w:r>
        <w:rPr>
          <w:rFonts w:hint="eastAsia" w:ascii="仿宋" w:hAnsi="仿宋" w:eastAsia="仿宋" w:cs="仿宋"/>
          <w:sz w:val="32"/>
          <w:szCs w:val="32"/>
        </w:rPr>
        <w:t>不动产登记、商品房网签</w:t>
      </w:r>
      <w:r>
        <w:rPr>
          <w:rFonts w:hint="eastAsia" w:ascii="仿宋" w:hAnsi="仿宋" w:eastAsia="仿宋" w:cs="仿宋"/>
          <w:sz w:val="32"/>
          <w:szCs w:val="32"/>
          <w:lang w:eastAsia="zh-CN"/>
        </w:rPr>
        <w:t>实现数据共享；</w:t>
      </w:r>
      <w:r>
        <w:rPr>
          <w:rFonts w:hint="eastAsia" w:ascii="仿宋" w:hAnsi="仿宋" w:eastAsia="仿宋" w:cs="仿宋"/>
          <w:sz w:val="32"/>
          <w:szCs w:val="32"/>
        </w:rPr>
        <w:t>一站式管理服务平台</w:t>
      </w:r>
      <w:r>
        <w:rPr>
          <w:rFonts w:hint="eastAsia" w:ascii="仿宋" w:hAnsi="仿宋" w:eastAsia="仿宋" w:cs="仿宋"/>
          <w:sz w:val="32"/>
          <w:szCs w:val="32"/>
          <w:lang w:eastAsia="zh-CN"/>
        </w:rPr>
        <w:t>全面</w:t>
      </w:r>
      <w:r>
        <w:rPr>
          <w:rFonts w:hint="eastAsia" w:ascii="仿宋" w:hAnsi="仿宋" w:eastAsia="仿宋" w:cs="仿宋"/>
          <w:sz w:val="32"/>
          <w:szCs w:val="32"/>
        </w:rPr>
        <w:t>升级</w:t>
      </w:r>
      <w:r>
        <w:rPr>
          <w:rFonts w:hint="eastAsia" w:ascii="仿宋" w:hAnsi="仿宋" w:eastAsia="仿宋" w:cs="仿宋"/>
          <w:sz w:val="32"/>
          <w:szCs w:val="32"/>
          <w:lang w:eastAsia="zh-CN"/>
        </w:rPr>
        <w:t>，</w:t>
      </w:r>
      <w:r>
        <w:rPr>
          <w:rFonts w:hint="eastAsia" w:ascii="仿宋" w:hAnsi="仿宋" w:eastAsia="仿宋" w:cs="仿宋"/>
          <w:sz w:val="32"/>
          <w:szCs w:val="32"/>
        </w:rPr>
        <w:t>业务协同审批、空间数据分析、自然资源全生命周期监管</w:t>
      </w:r>
      <w:r>
        <w:rPr>
          <w:rFonts w:hint="eastAsia" w:ascii="仿宋" w:hAnsi="仿宋" w:eastAsia="仿宋" w:cs="仿宋"/>
          <w:sz w:val="32"/>
          <w:szCs w:val="32"/>
          <w:lang w:eastAsia="zh-CN"/>
        </w:rPr>
        <w:t>插上信息化翅膀；夯实自然资源和规划管理的</w:t>
      </w:r>
      <w:r>
        <w:rPr>
          <w:rFonts w:hint="eastAsia" w:ascii="仿宋" w:hAnsi="仿宋" w:eastAsia="仿宋" w:cs="仿宋"/>
          <w:sz w:val="32"/>
          <w:szCs w:val="32"/>
          <w:lang w:val="en-US" w:eastAsia="zh-CN"/>
        </w:rPr>
        <w:t>前沿阵地，</w:t>
      </w:r>
      <w:r>
        <w:rPr>
          <w:rFonts w:hint="eastAsia" w:ascii="仿宋" w:hAnsi="仿宋" w:eastAsia="仿宋" w:cs="仿宋"/>
          <w:sz w:val="32"/>
          <w:szCs w:val="32"/>
          <w:lang w:eastAsia="zh-CN"/>
        </w:rPr>
        <w:t>下沉执法平台，</w:t>
      </w:r>
      <w:r>
        <w:rPr>
          <w:rFonts w:hint="eastAsia" w:ascii="仿宋" w:hAnsi="仿宋" w:eastAsia="仿宋" w:cs="仿宋"/>
          <w:sz w:val="32"/>
          <w:szCs w:val="32"/>
          <w:lang w:val="en-US" w:eastAsia="zh-CN"/>
        </w:rPr>
        <w:t>15个基层所在“三调”、确权、个人建房、地灾防治、卫片执法、违建别墅和占耕地建房清查整治中冲锋在前，</w:t>
      </w:r>
      <w:r>
        <w:rPr>
          <w:rFonts w:hint="eastAsia" w:ascii="仿宋" w:hAnsi="仿宋" w:eastAsia="仿宋" w:cs="仿宋"/>
          <w:sz w:val="32"/>
          <w:szCs w:val="32"/>
        </w:rPr>
        <w:t>“</w:t>
      </w:r>
      <w:r>
        <w:rPr>
          <w:rFonts w:hint="eastAsia" w:ascii="仿宋" w:hAnsi="仿宋" w:eastAsia="仿宋" w:cs="仿宋"/>
          <w:sz w:val="32"/>
          <w:szCs w:val="32"/>
          <w:lang w:eastAsia="zh-CN"/>
        </w:rPr>
        <w:t>前沿</w:t>
      </w:r>
      <w:r>
        <w:rPr>
          <w:rFonts w:hint="eastAsia" w:ascii="仿宋" w:hAnsi="仿宋" w:eastAsia="仿宋" w:cs="仿宋"/>
          <w:sz w:val="32"/>
          <w:szCs w:val="32"/>
        </w:rPr>
        <w:t>哨所”作用</w:t>
      </w:r>
      <w:r>
        <w:rPr>
          <w:rFonts w:hint="eastAsia" w:ascii="仿宋" w:hAnsi="仿宋" w:eastAsia="仿宋" w:cs="仿宋"/>
          <w:sz w:val="32"/>
          <w:szCs w:val="32"/>
          <w:lang w:eastAsia="zh-CN"/>
        </w:rPr>
        <w:t>显著。</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sz w:val="32"/>
          <w:szCs w:val="32"/>
          <w:lang w:eastAsia="zh-CN"/>
        </w:rPr>
      </w:pPr>
      <w:r>
        <w:rPr>
          <w:rFonts w:hint="eastAsia" w:ascii="Times New Roman" w:hAnsi="Times New Roman" w:eastAsia="楷体_GB2312" w:cs="Times New Roman"/>
          <w:b/>
          <w:bCs/>
          <w:color w:val="auto"/>
          <w:sz w:val="32"/>
          <w:szCs w:val="32"/>
          <w:lang w:val="en-US" w:eastAsia="zh-CN"/>
        </w:rPr>
        <w:t>（</w:t>
      </w:r>
      <w:r>
        <w:rPr>
          <w:rFonts w:hint="eastAsia" w:eastAsia="楷体_GB2312" w:cs="Times New Roman"/>
          <w:b/>
          <w:bCs/>
          <w:color w:val="auto"/>
          <w:sz w:val="32"/>
          <w:szCs w:val="32"/>
          <w:lang w:val="en-US" w:eastAsia="zh-CN"/>
        </w:rPr>
        <w:t>五</w:t>
      </w:r>
      <w:r>
        <w:rPr>
          <w:rFonts w:hint="eastAsia" w:ascii="Times New Roman" w:hAnsi="Times New Roman" w:eastAsia="楷体_GB2312" w:cs="Times New Roman"/>
          <w:b/>
          <w:bCs/>
          <w:color w:val="auto"/>
          <w:sz w:val="32"/>
          <w:szCs w:val="32"/>
          <w:lang w:val="en-US" w:eastAsia="zh-CN"/>
        </w:rPr>
        <w:t>）</w:t>
      </w:r>
      <w:r>
        <w:rPr>
          <w:rFonts w:hint="eastAsia" w:ascii="仿宋" w:hAnsi="仿宋" w:eastAsia="仿宋" w:cs="仿宋"/>
          <w:sz w:val="32"/>
          <w:szCs w:val="32"/>
          <w:lang w:val="en-US" w:eastAsia="zh-CN"/>
        </w:rPr>
        <w:t>优化营商环境为切入，完善</w:t>
      </w:r>
      <w:r>
        <w:rPr>
          <w:rFonts w:hint="eastAsia" w:ascii="仿宋" w:hAnsi="仿宋" w:eastAsia="仿宋" w:cs="仿宋"/>
          <w:sz w:val="32"/>
          <w:szCs w:val="32"/>
        </w:rPr>
        <w:t>“互联网+政务”一体化平台，编制“一件事一次办”指南</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极大方便企业和群众办事</w:t>
      </w:r>
      <w:r>
        <w:rPr>
          <w:rFonts w:hint="eastAsia" w:ascii="仿宋" w:hAnsi="仿宋" w:eastAsia="仿宋" w:cs="仿宋"/>
          <w:sz w:val="32"/>
          <w:szCs w:val="32"/>
          <w:lang w:eastAsia="zh-CN"/>
        </w:rPr>
        <w:t>；不动产登记“一窗受</w:t>
      </w:r>
      <w:r>
        <w:rPr>
          <w:rFonts w:hint="eastAsia" w:ascii="仿宋" w:hAnsi="仿宋" w:eastAsia="仿宋" w:cs="仿宋"/>
          <w:sz w:val="32"/>
          <w:szCs w:val="32"/>
        </w:rPr>
        <w:t>理、并行办理”</w:t>
      </w:r>
      <w:r>
        <w:rPr>
          <w:rFonts w:hint="eastAsia" w:ascii="仿宋" w:hAnsi="仿宋" w:eastAsia="仿宋" w:cs="仿宋"/>
          <w:sz w:val="32"/>
          <w:szCs w:val="32"/>
          <w:lang w:eastAsia="zh-CN"/>
        </w:rPr>
        <w:t>，全年</w:t>
      </w:r>
      <w:r>
        <w:rPr>
          <w:rFonts w:hint="eastAsia" w:ascii="仿宋" w:hAnsi="仿宋" w:eastAsia="仿宋" w:cs="仿宋"/>
          <w:sz w:val="32"/>
          <w:szCs w:val="32"/>
          <w:lang w:val="en-US" w:eastAsia="zh-CN"/>
        </w:rPr>
        <w:t>受理业务</w:t>
      </w:r>
      <w:r>
        <w:rPr>
          <w:rFonts w:hint="eastAsia" w:ascii="仿宋" w:hAnsi="仿宋" w:eastAsia="仿宋" w:cs="仿宋"/>
          <w:sz w:val="32"/>
          <w:szCs w:val="32"/>
        </w:rPr>
        <w:t>1</w:t>
      </w:r>
      <w:r>
        <w:rPr>
          <w:rFonts w:hint="eastAsia" w:ascii="仿宋" w:hAnsi="仿宋" w:eastAsia="仿宋" w:cs="仿宋"/>
          <w:sz w:val="32"/>
          <w:szCs w:val="32"/>
          <w:lang w:val="en-US" w:eastAsia="zh-CN"/>
        </w:rPr>
        <w:t>9.78万件，</w:t>
      </w:r>
      <w:r>
        <w:rPr>
          <w:rFonts w:hint="eastAsia" w:ascii="仿宋" w:hAnsi="仿宋" w:eastAsia="仿宋" w:cs="仿宋"/>
          <w:sz w:val="32"/>
          <w:szCs w:val="32"/>
        </w:rPr>
        <w:t>5个工作日办结率达99%</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登记效率居全省首位，以中粮鸿云项目试点，</w:t>
      </w:r>
      <w:r>
        <w:rPr>
          <w:rFonts w:hint="eastAsia" w:ascii="仿宋" w:hAnsi="仿宋" w:eastAsia="仿宋" w:cs="仿宋"/>
          <w:sz w:val="32"/>
          <w:szCs w:val="32"/>
        </w:rPr>
        <w:t>全面推行“交房即交证”改革</w:t>
      </w:r>
      <w:r>
        <w:rPr>
          <w:rFonts w:hint="eastAsia" w:ascii="仿宋" w:hAnsi="仿宋" w:eastAsia="仿宋" w:cs="仿宋"/>
          <w:sz w:val="32"/>
          <w:szCs w:val="32"/>
          <w:lang w:val="en-US" w:eastAsia="zh-CN"/>
        </w:rPr>
        <w:t>，成立</w:t>
      </w:r>
      <w:r>
        <w:rPr>
          <w:rFonts w:hint="eastAsia" w:ascii="仿宋" w:hAnsi="仿宋" w:eastAsia="仿宋" w:cs="仿宋"/>
          <w:sz w:val="32"/>
          <w:szCs w:val="32"/>
        </w:rPr>
        <w:t>房地产办证信访化解</w:t>
      </w:r>
      <w:r>
        <w:rPr>
          <w:rFonts w:hint="eastAsia" w:ascii="仿宋" w:hAnsi="仿宋" w:eastAsia="仿宋" w:cs="仿宋"/>
          <w:sz w:val="32"/>
          <w:szCs w:val="32"/>
          <w:lang w:eastAsia="zh-CN"/>
        </w:rPr>
        <w:t>办</w:t>
      </w:r>
      <w:r>
        <w:rPr>
          <w:rFonts w:hint="eastAsia" w:ascii="仿宋" w:hAnsi="仿宋" w:eastAsia="仿宋" w:cs="仿宋"/>
          <w:sz w:val="32"/>
          <w:szCs w:val="32"/>
          <w:lang w:val="en-US" w:eastAsia="zh-CN"/>
        </w:rPr>
        <w:t>，</w:t>
      </w:r>
      <w:r>
        <w:rPr>
          <w:rFonts w:hint="eastAsia" w:ascii="仿宋" w:hAnsi="仿宋" w:eastAsia="仿宋" w:cs="仿宋"/>
          <w:sz w:val="32"/>
          <w:szCs w:val="32"/>
        </w:rPr>
        <w:t>清理“办证难”问题项目</w:t>
      </w:r>
      <w:r>
        <w:rPr>
          <w:rFonts w:hint="eastAsia" w:ascii="仿宋" w:hAnsi="仿宋" w:eastAsia="仿宋" w:cs="仿宋"/>
          <w:sz w:val="32"/>
          <w:szCs w:val="32"/>
          <w:lang w:val="en-US" w:eastAsia="zh-CN"/>
        </w:rPr>
        <w:t>40</w:t>
      </w:r>
      <w:r>
        <w:rPr>
          <w:rFonts w:hint="eastAsia" w:ascii="仿宋" w:hAnsi="仿宋" w:eastAsia="仿宋" w:cs="仿宋"/>
          <w:sz w:val="32"/>
          <w:szCs w:val="32"/>
        </w:rPr>
        <w:t>个，</w:t>
      </w:r>
      <w:r>
        <w:rPr>
          <w:rFonts w:hint="eastAsia" w:ascii="仿宋" w:hAnsi="仿宋" w:eastAsia="仿宋" w:cs="仿宋"/>
          <w:sz w:val="32"/>
          <w:szCs w:val="32"/>
          <w:lang w:eastAsia="zh-CN"/>
        </w:rPr>
        <w:t>成功</w:t>
      </w:r>
      <w:r>
        <w:rPr>
          <w:rFonts w:hint="eastAsia" w:ascii="仿宋" w:hAnsi="仿宋" w:eastAsia="仿宋" w:cs="仿宋"/>
          <w:sz w:val="32"/>
          <w:szCs w:val="32"/>
        </w:rPr>
        <w:t>化解</w:t>
      </w:r>
      <w:r>
        <w:rPr>
          <w:rFonts w:hint="eastAsia" w:ascii="仿宋" w:hAnsi="仿宋" w:eastAsia="仿宋" w:cs="仿宋"/>
          <w:sz w:val="32"/>
          <w:szCs w:val="32"/>
          <w:lang w:val="en-US" w:eastAsia="zh-CN"/>
        </w:rPr>
        <w:t>2113</w:t>
      </w:r>
      <w:r>
        <w:rPr>
          <w:rFonts w:hint="eastAsia" w:ascii="仿宋" w:hAnsi="仿宋" w:eastAsia="仿宋" w:cs="仿宋"/>
          <w:sz w:val="32"/>
          <w:szCs w:val="32"/>
        </w:rPr>
        <w:t>户</w:t>
      </w:r>
      <w:r>
        <w:rPr>
          <w:rFonts w:hint="eastAsia" w:ascii="仿宋" w:hAnsi="仿宋" w:eastAsia="仿宋" w:cs="仿宋"/>
          <w:sz w:val="32"/>
          <w:szCs w:val="32"/>
          <w:lang w:eastAsia="zh-CN"/>
        </w:rPr>
        <w:t>业主办证难问题</w:t>
      </w:r>
      <w:r>
        <w:rPr>
          <w:rFonts w:hint="eastAsia" w:ascii="仿宋" w:hAnsi="仿宋" w:eastAsia="仿宋" w:cs="仿宋"/>
          <w:sz w:val="32"/>
          <w:szCs w:val="32"/>
          <w:lang w:val="en-US" w:eastAsia="zh-CN"/>
        </w:rPr>
        <w:t>；办理人大建议20件、政协提案12件，社情民意落子有声，既解决层面问题，也解决实际问题，</w:t>
      </w:r>
      <w:r>
        <w:rPr>
          <w:rFonts w:hint="eastAsia" w:ascii="仿宋" w:hAnsi="仿宋" w:eastAsia="仿宋" w:cs="仿宋"/>
          <w:sz w:val="32"/>
          <w:szCs w:val="32"/>
        </w:rPr>
        <w:t>深入泰嘉</w:t>
      </w:r>
      <w:r>
        <w:rPr>
          <w:rFonts w:hint="eastAsia" w:ascii="仿宋" w:hAnsi="仿宋" w:eastAsia="仿宋" w:cs="仿宋"/>
          <w:sz w:val="32"/>
          <w:szCs w:val="32"/>
          <w:lang w:eastAsia="zh-CN"/>
        </w:rPr>
        <w:t>新材、</w:t>
      </w:r>
      <w:r>
        <w:rPr>
          <w:rFonts w:hint="eastAsia" w:ascii="仿宋" w:hAnsi="仿宋" w:eastAsia="仿宋" w:cs="仿宋"/>
          <w:sz w:val="32"/>
          <w:szCs w:val="32"/>
        </w:rPr>
        <w:t>黑金刚</w:t>
      </w:r>
      <w:r>
        <w:rPr>
          <w:rFonts w:hint="eastAsia" w:ascii="仿宋" w:hAnsi="仿宋" w:eastAsia="仿宋" w:cs="仿宋"/>
          <w:sz w:val="32"/>
          <w:szCs w:val="32"/>
          <w:lang w:eastAsia="zh-CN"/>
        </w:rPr>
        <w:t>、</w:t>
      </w:r>
      <w:r>
        <w:rPr>
          <w:rFonts w:hint="eastAsia" w:ascii="仿宋" w:hAnsi="仿宋" w:eastAsia="仿宋" w:cs="仿宋"/>
          <w:sz w:val="32"/>
          <w:szCs w:val="32"/>
        </w:rPr>
        <w:t>乌山贡茶</w:t>
      </w:r>
      <w:r>
        <w:rPr>
          <w:rFonts w:hint="eastAsia" w:ascii="仿宋" w:hAnsi="仿宋" w:eastAsia="仿宋" w:cs="仿宋"/>
          <w:sz w:val="32"/>
          <w:szCs w:val="32"/>
          <w:lang w:eastAsia="zh-CN"/>
        </w:rPr>
        <w:t>进行企业帮扶，</w:t>
      </w:r>
      <w:r>
        <w:rPr>
          <w:rFonts w:hint="eastAsia" w:ascii="仿宋" w:hAnsi="仿宋" w:eastAsia="仿宋" w:cs="仿宋"/>
          <w:sz w:val="32"/>
          <w:szCs w:val="32"/>
        </w:rPr>
        <w:t>解决问题诉求5件</w:t>
      </w:r>
      <w:r>
        <w:rPr>
          <w:rFonts w:hint="eastAsia" w:ascii="仿宋" w:hAnsi="仿宋" w:eastAsia="仿宋" w:cs="仿宋"/>
          <w:sz w:val="32"/>
          <w:szCs w:val="32"/>
          <w:lang w:eastAsia="zh-CN"/>
        </w:rPr>
        <w:t>，深受企业好评；突出民生</w:t>
      </w:r>
      <w:r>
        <w:rPr>
          <w:rFonts w:hint="eastAsia" w:ascii="仿宋" w:hAnsi="仿宋" w:eastAsia="仿宋" w:cs="仿宋"/>
          <w:sz w:val="32"/>
          <w:szCs w:val="32"/>
        </w:rPr>
        <w:t>设施</w:t>
      </w:r>
      <w:r>
        <w:rPr>
          <w:rFonts w:hint="eastAsia" w:ascii="仿宋" w:hAnsi="仿宋" w:eastAsia="仿宋" w:cs="仿宋"/>
          <w:sz w:val="32"/>
          <w:szCs w:val="32"/>
          <w:lang w:eastAsia="zh-CN"/>
        </w:rPr>
        <w:t>建设</w:t>
      </w:r>
      <w:r>
        <w:rPr>
          <w:rFonts w:hint="eastAsia" w:ascii="仿宋" w:hAnsi="仿宋" w:eastAsia="仿宋" w:cs="仿宋"/>
          <w:sz w:val="32"/>
          <w:szCs w:val="32"/>
        </w:rPr>
        <w:t>，打造15分钟生活圈19个，实施项目39个</w:t>
      </w:r>
      <w:r>
        <w:rPr>
          <w:rFonts w:hint="eastAsia" w:ascii="仿宋" w:hAnsi="仿宋" w:eastAsia="仿宋" w:cs="仿宋"/>
          <w:sz w:val="32"/>
          <w:szCs w:val="32"/>
          <w:lang w:eastAsia="zh-CN"/>
        </w:rPr>
        <w:t>，居民幸福感获得感增强；</w:t>
      </w:r>
      <w:r>
        <w:rPr>
          <w:rFonts w:hint="eastAsia" w:ascii="仿宋" w:hAnsi="仿宋" w:eastAsia="仿宋" w:cs="仿宋"/>
          <w:sz w:val="32"/>
          <w:szCs w:val="32"/>
          <w:lang w:val="en-US" w:eastAsia="zh-CN"/>
        </w:rPr>
        <w:t>积极做好信访、诉讼工作，办理复议、诉讼案件108件，受理来信来访来电2366批次，件件有回复，答复率、办结率均为100%，洪海滨、刘兴龙等一系列信访积案问题妥善化解；成功举办贺大田油画展和昆虫标本展，全年接待参观人数4万余人，展示望城形象；核实</w:t>
      </w:r>
      <w:r>
        <w:rPr>
          <w:rFonts w:hint="eastAsia" w:ascii="仿宋" w:hAnsi="仿宋" w:eastAsia="仿宋" w:cs="仿宋"/>
          <w:sz w:val="32"/>
          <w:szCs w:val="32"/>
        </w:rPr>
        <w:t>地灾隐患</w:t>
      </w:r>
      <w:r>
        <w:rPr>
          <w:rFonts w:hint="eastAsia" w:ascii="仿宋" w:hAnsi="仿宋" w:eastAsia="仿宋" w:cs="仿宋"/>
          <w:sz w:val="32"/>
          <w:szCs w:val="32"/>
          <w:lang w:eastAsia="zh-CN"/>
        </w:rPr>
        <w:t>点</w:t>
      </w:r>
      <w:r>
        <w:rPr>
          <w:rFonts w:hint="eastAsia" w:ascii="仿宋" w:hAnsi="仿宋" w:eastAsia="仿宋" w:cs="仿宋"/>
          <w:sz w:val="32"/>
          <w:szCs w:val="32"/>
        </w:rPr>
        <w:t>71处</w:t>
      </w:r>
      <w:r>
        <w:rPr>
          <w:rFonts w:hint="eastAsia" w:ascii="仿宋" w:hAnsi="仿宋" w:eastAsia="仿宋" w:cs="仿宋"/>
          <w:sz w:val="32"/>
          <w:szCs w:val="32"/>
          <w:lang w:eastAsia="zh-CN"/>
        </w:rPr>
        <w:t>，开展地灾点</w:t>
      </w:r>
      <w:r>
        <w:rPr>
          <w:rFonts w:hint="eastAsia" w:ascii="仿宋" w:hAnsi="仿宋" w:eastAsia="仿宋" w:cs="仿宋"/>
          <w:sz w:val="32"/>
          <w:szCs w:val="32"/>
        </w:rPr>
        <w:t>巡查</w:t>
      </w:r>
      <w:r>
        <w:rPr>
          <w:rFonts w:hint="eastAsia" w:ascii="仿宋" w:hAnsi="仿宋" w:eastAsia="仿宋" w:cs="仿宋"/>
          <w:sz w:val="32"/>
          <w:szCs w:val="32"/>
          <w:lang w:val="en-US" w:eastAsia="zh-CN"/>
        </w:rPr>
        <w:t>82</w:t>
      </w:r>
      <w:r>
        <w:rPr>
          <w:rFonts w:hint="eastAsia" w:ascii="仿宋" w:hAnsi="仿宋" w:eastAsia="仿宋" w:cs="仿宋"/>
          <w:sz w:val="32"/>
          <w:szCs w:val="32"/>
        </w:rPr>
        <w:t>次</w:t>
      </w:r>
      <w:r>
        <w:rPr>
          <w:rFonts w:hint="eastAsia" w:ascii="仿宋" w:hAnsi="仿宋" w:eastAsia="仿宋" w:cs="仿宋"/>
          <w:sz w:val="32"/>
          <w:szCs w:val="32"/>
          <w:lang w:eastAsia="zh-CN"/>
        </w:rPr>
        <w:t>，</w:t>
      </w:r>
      <w:r>
        <w:rPr>
          <w:rFonts w:hint="eastAsia" w:ascii="仿宋" w:hAnsi="仿宋" w:eastAsia="仿宋" w:cs="仿宋"/>
          <w:sz w:val="32"/>
          <w:szCs w:val="32"/>
        </w:rPr>
        <w:t>铜官老街集镇袁家湖</w:t>
      </w:r>
      <w:r>
        <w:rPr>
          <w:rFonts w:hint="eastAsia" w:ascii="仿宋" w:hAnsi="仿宋" w:eastAsia="仿宋" w:cs="仿宋"/>
          <w:sz w:val="32"/>
          <w:szCs w:val="32"/>
          <w:lang w:eastAsia="zh-CN"/>
        </w:rPr>
        <w:t>、</w:t>
      </w:r>
      <w:r>
        <w:rPr>
          <w:rFonts w:hint="eastAsia" w:ascii="仿宋" w:hAnsi="仿宋" w:eastAsia="仿宋" w:cs="仿宋"/>
          <w:sz w:val="32"/>
          <w:szCs w:val="32"/>
        </w:rPr>
        <w:t>石诸湖社区地灾治理</w:t>
      </w:r>
      <w:r>
        <w:rPr>
          <w:rFonts w:hint="eastAsia" w:ascii="仿宋" w:hAnsi="仿宋" w:eastAsia="仿宋" w:cs="仿宋"/>
          <w:sz w:val="32"/>
          <w:szCs w:val="32"/>
          <w:lang w:eastAsia="zh-CN"/>
        </w:rPr>
        <w:t>全面启动，全年未发生一起地灾事故，确保了人民群众生命财产安全。</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val="0"/>
          <w:color w:val="auto"/>
          <w:sz w:val="32"/>
          <w:szCs w:val="32"/>
          <w:lang w:val="en-US" w:eastAsia="zh-CN"/>
        </w:rPr>
      </w:pPr>
      <w:r>
        <w:rPr>
          <w:rFonts w:hint="eastAsia" w:ascii="仿宋" w:hAnsi="仿宋" w:eastAsia="仿宋" w:cs="仿宋"/>
          <w:b/>
          <w:bCs/>
          <w:sz w:val="32"/>
          <w:szCs w:val="32"/>
          <w:lang w:eastAsia="zh-CN"/>
        </w:rPr>
        <w:t>（六）</w:t>
      </w:r>
      <w:r>
        <w:rPr>
          <w:rFonts w:hint="eastAsia" w:ascii="仿宋" w:hAnsi="仿宋" w:eastAsia="仿宋" w:cs="仿宋"/>
          <w:b w:val="0"/>
          <w:bCs w:val="0"/>
          <w:sz w:val="32"/>
          <w:szCs w:val="32"/>
          <w:lang w:val="en-US" w:eastAsia="zh-CN"/>
        </w:rPr>
        <w:t>局党组</w:t>
      </w:r>
      <w:r>
        <w:rPr>
          <w:rFonts w:hint="eastAsia" w:ascii="仿宋" w:hAnsi="仿宋" w:eastAsia="仿宋" w:cs="仿宋"/>
          <w:sz w:val="32"/>
          <w:szCs w:val="32"/>
          <w:lang w:eastAsia="zh-CN"/>
        </w:rPr>
        <w:t>全年召开党组（扩大）会</w:t>
      </w:r>
      <w:r>
        <w:rPr>
          <w:rFonts w:hint="eastAsia" w:ascii="仿宋" w:hAnsi="仿宋" w:eastAsia="仿宋" w:cs="仿宋"/>
          <w:sz w:val="32"/>
          <w:szCs w:val="32"/>
          <w:lang w:val="en-US" w:eastAsia="zh-CN"/>
        </w:rPr>
        <w:t>34次，</w:t>
      </w:r>
      <w:r>
        <w:rPr>
          <w:rFonts w:hint="eastAsia" w:ascii="仿宋" w:hAnsi="仿宋" w:eastAsia="仿宋" w:cs="仿宋"/>
          <w:b w:val="0"/>
          <w:bCs w:val="0"/>
          <w:sz w:val="32"/>
          <w:szCs w:val="32"/>
          <w:lang w:val="en-US" w:eastAsia="zh-CN"/>
        </w:rPr>
        <w:t>“书记工程”建设成效明显，</w:t>
      </w:r>
      <w:r>
        <w:rPr>
          <w:rFonts w:hint="eastAsia" w:ascii="仿宋" w:hAnsi="仿宋" w:eastAsia="仿宋" w:cs="仿宋"/>
          <w:sz w:val="32"/>
          <w:szCs w:val="32"/>
          <w:lang w:eastAsia="zh-CN"/>
        </w:rPr>
        <w:t>领导班子大事要事讲奉献，急事难事敢担当，</w:t>
      </w:r>
      <w:r>
        <w:rPr>
          <w:rFonts w:hint="eastAsia" w:ascii="仿宋" w:hAnsi="仿宋" w:eastAsia="仿宋" w:cs="仿宋"/>
          <w:b w:val="0"/>
          <w:bCs w:val="0"/>
          <w:sz w:val="32"/>
          <w:szCs w:val="32"/>
          <w:lang w:val="en-US" w:eastAsia="zh-CN"/>
        </w:rPr>
        <w:t>机构改革后人心齐、作风硬、业务精，1+1＞2的效应逐渐放大；</w:t>
      </w:r>
      <w:r>
        <w:rPr>
          <w:rFonts w:hint="eastAsia" w:ascii="仿宋" w:hAnsi="仿宋" w:eastAsia="仿宋" w:cs="仿宋"/>
          <w:b w:val="0"/>
          <w:bCs w:val="0"/>
          <w:color w:val="auto"/>
          <w:sz w:val="32"/>
          <w:szCs w:val="32"/>
          <w:lang w:val="en-US" w:eastAsia="zh-CN"/>
        </w:rPr>
        <w:t>优化设置党支部15个，</w:t>
      </w:r>
      <w:r>
        <w:rPr>
          <w:rFonts w:hint="eastAsia" w:ascii="仿宋" w:hAnsi="仿宋" w:eastAsia="仿宋" w:cs="仿宋"/>
          <w:b w:val="0"/>
          <w:bCs w:val="0"/>
          <w:sz w:val="32"/>
          <w:szCs w:val="32"/>
          <w:lang w:val="en-US" w:eastAsia="zh-CN"/>
        </w:rPr>
        <w:t>开展党建活动26次，志愿服务活动16次，党员先锋旗帜高高飘扬在</w:t>
      </w:r>
      <w:r>
        <w:rPr>
          <w:rFonts w:hint="eastAsia" w:ascii="仿宋_GB2312" w:hAnsi="仿宋_GB2312" w:eastAsia="仿宋_GB2312" w:cs="仿宋_GB2312"/>
          <w:b w:val="0"/>
          <w:bCs w:val="0"/>
          <w:color w:val="auto"/>
          <w:sz w:val="32"/>
          <w:szCs w:val="32"/>
          <w:lang w:eastAsia="zh-CN"/>
        </w:rPr>
        <w:t>疫情防控、文明创建、扶贫帮困一线，继续保持市级文明单位荣誉称号，联点扶贫的淑一、东马193名贫困户全部脱贫摘帽，获评</w:t>
      </w:r>
      <w:r>
        <w:rPr>
          <w:rFonts w:hint="eastAsia" w:ascii="仿宋" w:hAnsi="仿宋" w:eastAsia="仿宋" w:cs="仿宋"/>
          <w:b w:val="0"/>
          <w:bCs w:val="0"/>
          <w:sz w:val="32"/>
          <w:szCs w:val="32"/>
          <w:lang w:val="en-US" w:eastAsia="zh-CN"/>
        </w:rPr>
        <w:t>2020年全市离退休干部“五化”党支部示范点；涉及</w:t>
      </w:r>
      <w:r>
        <w:rPr>
          <w:rFonts w:hint="eastAsia" w:ascii="仿宋_GB2312" w:hAnsi="仿宋_GB2312" w:eastAsia="仿宋_GB2312" w:cs="仿宋_GB2312"/>
          <w:b w:val="0"/>
          <w:bCs w:val="0"/>
          <w:color w:val="auto"/>
          <w:sz w:val="32"/>
          <w:szCs w:val="32"/>
          <w:lang w:eastAsia="zh-CN"/>
        </w:rPr>
        <w:t>球类、文艺、户外的</w:t>
      </w:r>
      <w:r>
        <w:rPr>
          <w:rFonts w:hint="eastAsia" w:ascii="仿宋_GB2312" w:hAnsi="仿宋_GB2312" w:eastAsia="仿宋_GB2312" w:cs="仿宋_GB2312"/>
          <w:b w:val="0"/>
          <w:bCs w:val="0"/>
          <w:color w:val="auto"/>
          <w:sz w:val="32"/>
          <w:szCs w:val="32"/>
          <w:lang w:val="en-US" w:eastAsia="zh-CN"/>
        </w:rPr>
        <w:t>9个兴趣小组活动纷呈，</w:t>
      </w:r>
      <w:r>
        <w:rPr>
          <w:rFonts w:hint="eastAsia" w:ascii="仿宋_GB2312" w:hAnsi="仿宋_GB2312" w:eastAsia="仿宋_GB2312" w:cs="仿宋_GB2312"/>
          <w:b w:val="0"/>
          <w:bCs w:val="0"/>
          <w:color w:val="auto"/>
          <w:sz w:val="32"/>
          <w:szCs w:val="32"/>
          <w:lang w:eastAsia="zh-CN"/>
        </w:rPr>
        <w:t>队伍凝聚力向心力不断增强，</w:t>
      </w:r>
      <w:r>
        <w:rPr>
          <w:rFonts w:hint="eastAsia" w:ascii="仿宋_GB2312" w:hAnsi="仿宋_GB2312" w:eastAsia="仿宋_GB2312" w:cs="仿宋_GB2312"/>
          <w:b w:val="0"/>
          <w:bCs w:val="0"/>
          <w:color w:val="auto"/>
          <w:sz w:val="32"/>
          <w:szCs w:val="32"/>
          <w:lang w:val="en-US" w:eastAsia="zh-CN"/>
        </w:rPr>
        <w:t>多项竞技比赛斩获市、区冠军</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lang w:val="en-US" w:eastAsia="zh-CN"/>
        </w:rPr>
        <w:t>“创新、担当、敬业”的20名</w:t>
      </w:r>
      <w:r>
        <w:rPr>
          <w:rFonts w:hint="eastAsia" w:ascii="仿宋_GB2312" w:hAnsi="仿宋_GB2312" w:eastAsia="仿宋_GB2312" w:cs="仿宋_GB2312"/>
          <w:b w:val="0"/>
          <w:bCs w:val="0"/>
          <w:color w:val="auto"/>
          <w:sz w:val="32"/>
          <w:szCs w:val="32"/>
          <w:lang w:eastAsia="zh-CN"/>
        </w:rPr>
        <w:t>“资规之星”弘扬了资规正能量，</w:t>
      </w:r>
      <w:r>
        <w:rPr>
          <w:rFonts w:hint="eastAsia" w:ascii="仿宋_GB2312" w:hAnsi="仿宋_GB2312" w:eastAsia="仿宋_GB2312" w:cs="仿宋_GB2312"/>
          <w:b w:val="0"/>
          <w:bCs w:val="0"/>
          <w:color w:val="auto"/>
          <w:sz w:val="32"/>
          <w:szCs w:val="32"/>
          <w:lang w:val="en-US" w:eastAsia="zh-CN"/>
        </w:rPr>
        <w:t>见贤思齐，比学赶超氛围蔚然成风</w:t>
      </w:r>
      <w:r>
        <w:rPr>
          <w:rFonts w:hint="eastAsia" w:ascii="仿宋_GB2312" w:hAnsi="仿宋_GB2312" w:eastAsia="仿宋_GB2312" w:cs="仿宋_GB2312"/>
          <w:b w:val="0"/>
          <w:bCs w:val="0"/>
          <w:color w:val="auto"/>
          <w:sz w:val="32"/>
          <w:szCs w:val="32"/>
          <w:lang w:eastAsia="zh-CN"/>
        </w:rPr>
        <w:t>；以赛促学、以查促改、以案说法、以问建制，不断强化党风廉政建设，</w:t>
      </w:r>
      <w:r>
        <w:rPr>
          <w:rFonts w:hint="eastAsia" w:ascii="仿宋" w:hAnsi="仿宋" w:eastAsia="仿宋" w:cs="仿宋"/>
          <w:sz w:val="32"/>
          <w:szCs w:val="32"/>
          <w:lang w:eastAsia="zh-CN"/>
        </w:rPr>
        <w:t>“勤勉奋进、务实担当、清廉高效”的班子队伍建设不断加强。</w:t>
      </w:r>
    </w:p>
    <w:p>
      <w:pPr>
        <w:spacing w:line="600" w:lineRule="exact"/>
        <w:ind w:firstLine="600" w:firstLineChars="200"/>
        <w:rPr>
          <w:rFonts w:hint="default" w:ascii="Times New Roman" w:hAnsi="Times New Roman" w:eastAsia="黑体" w:cs="Times New Roman"/>
          <w:sz w:val="30"/>
        </w:rPr>
      </w:pPr>
      <w:r>
        <w:rPr>
          <w:rFonts w:hint="eastAsia" w:ascii="Times New Roman" w:hAnsi="Times New Roman" w:eastAsia="黑体" w:cs="Times New Roman"/>
          <w:sz w:val="30"/>
          <w:lang w:eastAsia="zh-CN"/>
        </w:rPr>
        <w:t>六</w:t>
      </w:r>
      <w:r>
        <w:rPr>
          <w:rFonts w:hint="default" w:ascii="Times New Roman" w:hAnsi="Times New Roman" w:eastAsia="黑体" w:cs="Times New Roman"/>
          <w:sz w:val="30"/>
        </w:rPr>
        <w:t>、部门（单位）整体支出绩效中存在问题及改进措施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（一）主要问题及原因分析</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仿宋_GB2312" w:cs="Times New Roman"/>
          <w:sz w:val="30"/>
        </w:rPr>
        <w:t>（二）改进的方向和具体措施</w:t>
      </w:r>
    </w:p>
    <w:p>
      <w:pPr>
        <w:spacing w:line="600" w:lineRule="exact"/>
        <w:ind w:firstLine="600" w:firstLineChars="200"/>
        <w:rPr>
          <w:rFonts w:hint="default" w:ascii="Times New Roman" w:hAnsi="Times New Roman" w:eastAsia="仿宋_GB2312" w:cs="Times New Roman"/>
          <w:sz w:val="30"/>
        </w:rPr>
      </w:pPr>
      <w:r>
        <w:rPr>
          <w:rFonts w:hint="default" w:ascii="Times New Roman" w:hAnsi="Times New Roman" w:eastAsia="黑体" w:cs="Times New Roman"/>
          <w:sz w:val="30"/>
        </w:rPr>
        <w:t>七、其它需要说明的情况</w:t>
      </w:r>
    </w:p>
    <w:p>
      <w:pPr>
        <w:adjustRightInd w:val="0"/>
        <w:snapToGrid w:val="0"/>
        <w:spacing w:line="600" w:lineRule="exact"/>
        <w:jc w:val="lef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inherit">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9D540"/>
    <w:multiLevelType w:val="singleLevel"/>
    <w:tmpl w:val="1029D540"/>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A91A93"/>
    <w:rsid w:val="131746A8"/>
    <w:rsid w:val="14422BF5"/>
    <w:rsid w:val="16631BA1"/>
    <w:rsid w:val="1FA7147C"/>
    <w:rsid w:val="24451C65"/>
    <w:rsid w:val="2714014B"/>
    <w:rsid w:val="3DC2023B"/>
    <w:rsid w:val="44BC68A4"/>
    <w:rsid w:val="46A91A93"/>
    <w:rsid w:val="4AA43048"/>
    <w:rsid w:val="51B93C49"/>
    <w:rsid w:val="604F7A86"/>
    <w:rsid w:val="6CD65396"/>
    <w:rsid w:val="78B644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80" w:lineRule="exact"/>
      <w:jc w:val="both"/>
    </w:pPr>
    <w:rPr>
      <w:rFonts w:ascii="仿宋_GB2312" w:hAnsi="Calibri" w:eastAsia="仿宋_GB2312" w:cs="Times New Roman"/>
      <w:kern w:val="2"/>
      <w:sz w:val="32"/>
      <w:szCs w:val="32"/>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bCs/>
      <w:spacing w:val="11"/>
      <w:sz w:val="32"/>
      <w:szCs w:val="3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2020-06-01T01:39:00Z</dcterms:created>
  <dc:creator>ZZANDYZ</dc:creator>
  <cp:lastModifiedBy>ZZANDYZ</cp:lastModifiedBy>
  <dcterms:modified xsi:type="dcterms:W3CDTF">2021-02-07T02:34:15Z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