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tbl>
      <w:tblPr>
        <w:tblStyle w:val="6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284"/>
        <w:gridCol w:w="850"/>
        <w:gridCol w:w="1134"/>
        <w:gridCol w:w="44"/>
        <w:gridCol w:w="522"/>
        <w:gridCol w:w="143"/>
        <w:gridCol w:w="442"/>
        <w:gridCol w:w="409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度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土地储备（含专项债）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长沙市自然资源和规划局望城分局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长沙市望城区土地储备中心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188121.268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188121.268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报批面积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50.8727公顷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专项债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6.28亿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贷款偿还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本金1.396亿，利息1.4346亿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不逾期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未逾期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收储成本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159815.268万元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出让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面积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6164亩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出让收入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86.1亿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出让收益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12亿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提升政府公信力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环境保护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零排放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零排放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提升财政资金运转效率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降低财政资金时间成本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降低财政资金时间成本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 w:ascii="Times New Roman" w:hAnsi="Times New Roman" w:eastAsia="宋体"/>
                <w:kern w:val="0"/>
                <w:sz w:val="18"/>
                <w:szCs w:val="18"/>
              </w:rPr>
              <w:t>贷款银行授信金额按时足额偿还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宋体" w:hAnsi="宋体" w:eastAsia="宋体" w:cs="Arial"/>
          <w:b/>
          <w:bCs/>
          <w:sz w:val="36"/>
          <w:szCs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2019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长沙市望城区土地储备中心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单位专项资金绩效自评报告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0"/>
        <w:rPr>
          <w:rFonts w:hint="eastAsia" w:ascii="仿宋_GB2312"/>
          <w:sz w:val="30"/>
          <w:szCs w:val="30"/>
        </w:rPr>
      </w:pPr>
      <w:r>
        <w:rPr>
          <w:rFonts w:hint="eastAsia" w:ascii="仿宋_GB2312"/>
          <w:sz w:val="30"/>
          <w:szCs w:val="30"/>
        </w:rPr>
        <w:t>（一）项目概况。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0"/>
        <w:rPr>
          <w:rFonts w:hint="eastAsia" w:ascii="仿宋_GB2312"/>
          <w:sz w:val="30"/>
          <w:szCs w:val="30"/>
        </w:rPr>
      </w:pPr>
      <w:r>
        <w:rPr>
          <w:rFonts w:hint="eastAsia"/>
          <w:lang w:eastAsia="zh-CN"/>
        </w:rPr>
        <w:t>在</w:t>
      </w:r>
      <w:r>
        <w:rPr>
          <w:rFonts w:hint="eastAsia"/>
        </w:rPr>
        <w:t>区委、区政府和</w:t>
      </w:r>
      <w:r>
        <w:rPr>
          <w:rFonts w:hint="eastAsia"/>
          <w:lang w:eastAsia="zh-CN"/>
        </w:rPr>
        <w:t>区资规</w:t>
      </w:r>
      <w:r>
        <w:rPr>
          <w:rFonts w:hint="eastAsia"/>
        </w:rPr>
        <w:t>局党组行政的领导下，以促进区域经济协调发展为核心、以优化营商环境为宗旨，有目标、有计划、有步骤、有措施地做好了今年的土地报批、征拆、出让、收储、融资、招商、管护等工作。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二、项目资金使用及管理情况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在专项资金的管理和使用上，按照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  <w:t>相关法规文件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做到专款专用，不</w:t>
      </w: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截留，不挪用，切实提高资金的使用效益，保证资金合理、规范、有效使用。</w:t>
      </w:r>
    </w:p>
    <w:p>
      <w:pPr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三</w:t>
      </w:r>
      <w:r>
        <w:rPr>
          <w:rFonts w:eastAsia="黑体"/>
          <w:color w:val="000000"/>
          <w:sz w:val="32"/>
          <w:szCs w:val="32"/>
        </w:rPr>
        <w:t>、项目产出完成情况</w:t>
      </w:r>
    </w:p>
    <w:p>
      <w:pPr>
        <w:spacing w:line="620" w:lineRule="exact"/>
        <w:ind w:firstLine="643" w:firstLineChars="200"/>
        <w:rPr>
          <w:rFonts w:ascii="楷体" w:hAnsi="楷体" w:eastAsia="楷体"/>
          <w:b/>
          <w:bCs/>
          <w:szCs w:val="32"/>
        </w:rPr>
      </w:pPr>
      <w:r>
        <w:rPr>
          <w:rFonts w:hint="eastAsia" w:ascii="仿宋_GB2312" w:hAnsi="楷体"/>
          <w:b/>
          <w:bCs/>
          <w:szCs w:val="32"/>
        </w:rPr>
        <w:t>1、土地报批工作。</w:t>
      </w:r>
      <w:r>
        <w:rPr>
          <w:rFonts w:hint="eastAsia"/>
        </w:rPr>
        <w:t>批回国有建设用地9个批次，总面积763.09亩（其中商住用地548.49亩）（详见附表一）。协助各报批主体完成土地开发利用论证报告41个批次。</w:t>
      </w:r>
    </w:p>
    <w:p>
      <w:pPr>
        <w:spacing w:line="620" w:lineRule="exact"/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</w:t>
      </w: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 xml:space="preserve"> 2、储备土地征地拆迁工作。</w:t>
      </w:r>
      <w:r>
        <w:rPr>
          <w:rFonts w:hint="eastAsia"/>
        </w:rPr>
        <w:t>2019年已协调完成丁字373地块、旺旺广场西南角、桥驿98亩项目、澳海南侧地块、润和山水郡北侧地块、金山桥街道102亩、美莱美北侧、铜官限价房项目拆迁；金山桥街道95亩和新华联梦想城地块目前已进入拆迁扫尾阶段。</w:t>
      </w:r>
    </w:p>
    <w:p>
      <w:pPr>
        <w:spacing w:line="620" w:lineRule="exact"/>
        <w:rPr>
          <w:rFonts w:hint="eastAsia"/>
        </w:rPr>
      </w:pP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 xml:space="preserve">   3、土地出让工作。</w:t>
      </w:r>
      <w:r>
        <w:rPr>
          <w:rFonts w:hint="eastAsia" w:ascii="楷体" w:hAnsi="楷体" w:eastAsia="楷体"/>
          <w:b/>
          <w:bCs/>
          <w:szCs w:val="32"/>
        </w:rPr>
        <w:t>一是</w:t>
      </w:r>
      <w:r>
        <w:t>全年</w:t>
      </w:r>
      <w:r>
        <w:rPr>
          <w:rFonts w:hint="eastAsia"/>
        </w:rPr>
        <w:t>挂牌出让土地36宗</w:t>
      </w:r>
      <w:r>
        <w:t>，</w:t>
      </w:r>
      <w:r>
        <w:rPr>
          <w:rFonts w:hint="eastAsia"/>
        </w:rPr>
        <w:t>面积3164</w:t>
      </w:r>
      <w:r>
        <w:t>亩，出让</w:t>
      </w:r>
      <w:r>
        <w:rPr>
          <w:rFonts w:hint="eastAsia"/>
        </w:rPr>
        <w:t>价款75.8亿元；供应土地</w:t>
      </w:r>
      <w:r>
        <w:rPr>
          <w:rFonts w:hint="eastAsia" w:ascii="仿宋_GB2312" w:hAnsi="楷体"/>
          <w:b/>
          <w:bCs/>
          <w:szCs w:val="32"/>
        </w:rPr>
        <w:t>6393</w:t>
      </w:r>
      <w:r>
        <w:rPr>
          <w:rFonts w:hint="eastAsia"/>
        </w:rPr>
        <w:t>亩，其中划拨供应2930亩；出让供应3463亩，出让价款86.1亿元，完成国土基金收入75.3亿元（含土地纯收益）。</w:t>
      </w:r>
      <w:r>
        <w:rPr>
          <w:rFonts w:hint="eastAsia" w:ascii="楷体" w:hAnsi="楷体" w:eastAsia="楷体"/>
          <w:b/>
          <w:bCs/>
          <w:szCs w:val="32"/>
        </w:rPr>
        <w:t>二是</w:t>
      </w:r>
      <w:r>
        <w:rPr>
          <w:rFonts w:hint="eastAsia"/>
        </w:rPr>
        <w:t>积极推进</w:t>
      </w:r>
      <w:r>
        <w:t>高塘岭街道旺旺路与郭亮路交叉口西南角</w:t>
      </w:r>
      <w:r>
        <w:rPr>
          <w:rFonts w:hint="eastAsia"/>
        </w:rPr>
        <w:t>地块（191.56亩，商住用地，预计收入28734万元）</w:t>
      </w:r>
      <w:r>
        <w:t>规划修改</w:t>
      </w:r>
      <w:r>
        <w:rPr>
          <w:rFonts w:hint="eastAsia"/>
        </w:rPr>
        <w:t>；</w:t>
      </w:r>
      <w:r>
        <w:t>金山桥街道金圆路与金坪路交叉口东南角</w:t>
      </w:r>
      <w:r>
        <w:rPr>
          <w:rFonts w:hint="eastAsia"/>
        </w:rPr>
        <w:t>地块（226.57亩，居住用地，预计收入55132.03万元）规划修改；</w:t>
      </w:r>
      <w:r>
        <w:t>金山桥街道三环线东辅道东侧</w:t>
      </w:r>
      <w:r>
        <w:rPr>
          <w:rFonts w:hint="eastAsia"/>
        </w:rPr>
        <w:t>地块（51.62亩，居住用地，预计收入10840.20万元）</w:t>
      </w:r>
      <w:r>
        <w:t>规划修改。</w:t>
      </w:r>
      <w:r>
        <w:rPr>
          <w:rFonts w:hint="eastAsia" w:ascii="楷体" w:hAnsi="楷体" w:eastAsia="楷体"/>
          <w:b/>
        </w:rPr>
        <w:t>三是</w:t>
      </w:r>
      <w:r>
        <w:rPr>
          <w:rFonts w:hint="eastAsia"/>
        </w:rPr>
        <w:t>根据我区经济社会发展计划、土规、城划及土地市场供需情况，合理确定年度储备土地总规模,积极做好了2020年度土地储备计划编制工作。完成《长沙市望城区土地储备中心三年行动计划》编制，第一次在挂牌中增加公园设计方案挂牌（《岳峙公园规划》审批）。</w:t>
      </w:r>
      <w:r>
        <w:rPr>
          <w:rFonts w:hint="eastAsia" w:ascii="楷体" w:hAnsi="楷体" w:eastAsia="楷体"/>
          <w:b/>
        </w:rPr>
        <w:t>四是</w:t>
      </w:r>
      <w:r>
        <w:rPr>
          <w:rFonts w:hint="eastAsia"/>
        </w:rPr>
        <w:t>认真做好出让土地移交手续办理，完成15宗土地移交确认书办理。其中兆星，天岳美品，龙虎科技纳入市营商办对区考核，经过与区营商办对接完成相关考核。</w:t>
      </w:r>
    </w:p>
    <w:p>
      <w:pPr>
        <w:spacing w:line="620" w:lineRule="exact"/>
        <w:ind w:firstLine="643" w:firstLineChars="200"/>
      </w:pP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>4、土地收储工作。</w:t>
      </w:r>
      <w:r>
        <w:rPr>
          <w:rFonts w:hint="eastAsia" w:ascii="楷体" w:hAnsi="楷体" w:eastAsia="楷体"/>
          <w:b/>
          <w:bCs/>
          <w:szCs w:val="32"/>
        </w:rPr>
        <w:t>一是</w:t>
      </w:r>
      <w:r>
        <w:rPr>
          <w:rFonts w:hint="eastAsia"/>
        </w:rPr>
        <w:t>采取行政有偿收回方式，收回湖南长高高压开关集团股份公司位于长沙市望城区月亮岛街道，长高集团低效工业用地一宗，面积41.48亩，收回价款为3798.66万元，并调整城市规划用途后成功挂牌出让，出让价格为11336万元，成功实现工业用地腾笼换鸟，推升土地价值7573.34万元。</w:t>
      </w:r>
      <w:r>
        <w:rPr>
          <w:rFonts w:hint="eastAsia" w:ascii="楷体" w:hAnsi="楷体" w:eastAsia="楷体"/>
          <w:b/>
          <w:bCs/>
          <w:szCs w:val="32"/>
        </w:rPr>
        <w:t>二是</w:t>
      </w:r>
      <w:r>
        <w:rPr>
          <w:rFonts w:hint="eastAsia"/>
        </w:rPr>
        <w:t xml:space="preserve">积极对接长沙仲杰防护用品有限公司，就土地收回进行了多次商洽，并启动调规，将望城大道、家园南路、家园中路、家园北路围合区域调整成商住混合用地；积极对接中联重科望城工业园，将拟征收储备地块增补进2019年度土地储备计划，上报市自然资源和规划局望城分局主管部门按程序备案报批。 预计2020年正式启动该项目收储工作。 </w:t>
      </w:r>
    </w:p>
    <w:p>
      <w:pPr>
        <w:spacing w:line="620" w:lineRule="exact"/>
      </w:pPr>
      <w:r>
        <w:rPr>
          <w:rFonts w:hint="eastAsia" w:ascii="楷体" w:hAnsi="楷体" w:eastAsia="楷体"/>
          <w:b/>
          <w:bCs/>
          <w:szCs w:val="32"/>
        </w:rPr>
        <w:t xml:space="preserve"> </w:t>
      </w:r>
      <w:r>
        <w:rPr>
          <w:rFonts w:hint="eastAsia" w:ascii="仿宋_GB2312" w:hAnsi="楷体"/>
          <w:b/>
          <w:bCs/>
          <w:szCs w:val="32"/>
        </w:rPr>
        <w:t xml:space="preserve">   5、财务工作。</w:t>
      </w:r>
      <w:r>
        <w:rPr>
          <w:rFonts w:hint="eastAsia" w:ascii="楷体" w:hAnsi="楷体" w:eastAsia="楷体"/>
          <w:b/>
          <w:bCs/>
          <w:szCs w:val="32"/>
        </w:rPr>
        <w:t>一是</w:t>
      </w:r>
      <w:r>
        <w:rPr>
          <w:rFonts w:hint="eastAsia"/>
        </w:rPr>
        <w:t>发行三个批次土地储备专项债6.28亿元（高铁西城土地储备专项债券（第一批）2亿元、高铁西城土地储备专项债券（第二批）2亿元、湖南省长沙市土地储备专项债券（第四期）2.28亿元）；</w:t>
      </w:r>
      <w:r>
        <w:rPr>
          <w:rFonts w:hint="eastAsia" w:ascii="楷体" w:hAnsi="楷体" w:eastAsia="楷体"/>
          <w:b/>
          <w:bCs/>
          <w:szCs w:val="32"/>
        </w:rPr>
        <w:t>二是</w:t>
      </w:r>
      <w:r>
        <w:rPr>
          <w:rFonts w:hint="eastAsia"/>
        </w:rPr>
        <w:t>积极开展原银行贷款展期，对华融湘江银行、光大银行、招商银行、农业银行共计4家银行的8.164个亿的贷款业务进行展期；</w:t>
      </w:r>
      <w:r>
        <w:rPr>
          <w:rFonts w:hint="eastAsia" w:ascii="楷体" w:hAnsi="楷体" w:eastAsia="楷体"/>
          <w:b/>
          <w:bCs/>
          <w:szCs w:val="32"/>
        </w:rPr>
        <w:t>三是</w:t>
      </w:r>
      <w:r>
        <w:rPr>
          <w:rFonts w:hint="eastAsia"/>
        </w:rPr>
        <w:t>与光大银行进行债务置换工作，变更授信方案，以缓解债务到期压力（目前，该笔贷款余额35640万元，拟归还本金1640万元，申请授信变更金额34000万元，在展期贷款2020年5月21日到期后，延期36个月）。</w:t>
      </w:r>
    </w:p>
    <w:p>
      <w:pPr>
        <w:spacing w:line="6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Cs w:val="32"/>
        </w:rPr>
        <w:t xml:space="preserve">  还本付息情况：</w:t>
      </w:r>
      <w:r>
        <w:rPr>
          <w:rFonts w:hint="eastAsia"/>
        </w:rPr>
        <w:t>土地储备中心已还债务金本13960万元、利息14346.5395万元；截</w:t>
      </w:r>
      <w:r>
        <w:rPr>
          <w:rFonts w:hint="eastAsia"/>
          <w:lang w:eastAsia="zh-CN"/>
        </w:rPr>
        <w:t>至</w:t>
      </w:r>
      <w:r>
        <w:rPr>
          <w:rFonts w:hint="eastAsia"/>
        </w:rPr>
        <w:t>2019年12月债务余额为226719.82万元。</w:t>
      </w:r>
    </w:p>
    <w:p>
      <w:pPr>
        <w:spacing w:line="620" w:lineRule="exact"/>
        <w:rPr>
          <w:rFonts w:hint="eastAsia"/>
        </w:rPr>
      </w:pPr>
      <w:r>
        <w:rPr>
          <w:rFonts w:hint="eastAsia" w:ascii="楷体" w:hAnsi="楷体" w:eastAsia="楷体"/>
          <w:b/>
          <w:bCs/>
          <w:szCs w:val="32"/>
        </w:rPr>
        <w:t xml:space="preserve">   </w:t>
      </w:r>
      <w:r>
        <w:rPr>
          <w:rFonts w:hint="eastAsia" w:ascii="仿宋_GB2312" w:hAnsi="楷体"/>
          <w:b/>
          <w:bCs/>
          <w:szCs w:val="32"/>
        </w:rPr>
        <w:t xml:space="preserve"> 6、土地招商工作。</w:t>
      </w:r>
      <w:r>
        <w:rPr>
          <w:rFonts w:hint="eastAsia"/>
        </w:rPr>
        <w:t>积极探索招商方式，夯实招商基础；制定招商推介会活动方案；组织小型招商推介会；建立健全房地产公司信息台账；拜访地产公司；建立望城地产投资信息交流微信群；制作招商手册、宣传书籍资料、宣传片、PPT等方式，多形式、深层次、全方位、多渠道推介地块，得到了投资拓展人的一致好评，营造了望城良好的“极省”营商环境。</w:t>
      </w:r>
    </w:p>
    <w:p>
      <w:pPr>
        <w:spacing w:line="620" w:lineRule="exact"/>
        <w:ind w:firstLine="643" w:firstLineChars="200"/>
      </w:pPr>
      <w:r>
        <w:rPr>
          <w:rFonts w:hint="eastAsia" w:ascii="仿宋_GB2312" w:hAnsi="楷体"/>
          <w:b/>
          <w:bCs/>
          <w:szCs w:val="32"/>
        </w:rPr>
        <w:t>7、储备土地管护工作。</w:t>
      </w:r>
      <w:r>
        <w:rPr>
          <w:rFonts w:hint="eastAsia" w:ascii="楷体" w:hAnsi="楷体" w:eastAsia="楷体"/>
          <w:b/>
        </w:rPr>
        <w:t>一是对全区储备用地进行前期开发</w:t>
      </w:r>
      <w:r>
        <w:rPr>
          <w:rFonts w:hint="eastAsia" w:ascii="仿宋_GB2312" w:hAnsi="楷体"/>
          <w:b/>
          <w:bCs/>
          <w:szCs w:val="32"/>
        </w:rPr>
        <w:t>，</w:t>
      </w:r>
      <w:r>
        <w:rPr>
          <w:rFonts w:hint="eastAsia"/>
        </w:rPr>
        <w:t>对8宗土地进行周边基础设施建设、修筑实体围墙。已完成4宗储备土地（旺旺广场西南角地块、原石长铁路西客站地块、新华联北侧地块、九旺制药项目和金山桥街道106亩项目）的围挡、围墙修筑；4宗土地（大河西汽配城地块、美莱美北侧地块、铜官限价商品房地块、桥驿98亩地块）的围挡、围墙规划设计，预计2020年可全部开工建设。</w:t>
      </w:r>
      <w:r>
        <w:rPr>
          <w:rFonts w:hint="eastAsia" w:ascii="楷体" w:hAnsi="楷体" w:eastAsia="楷体"/>
          <w:b/>
        </w:rPr>
        <w:t>二是加强储备土地的巡查工作，</w:t>
      </w:r>
      <w:r>
        <w:rPr>
          <w:rFonts w:hint="eastAsia"/>
        </w:rPr>
        <w:t>采取与储备土地所在国土所联动的方式，对储备土地进行不定期、重大节假日24小时巡查，有效的对全区储备用地进行了管护。</w:t>
      </w:r>
    </w:p>
    <w:p>
      <w:pPr>
        <w:spacing w:line="620" w:lineRule="exact"/>
      </w:pPr>
      <w:r>
        <w:rPr>
          <w:rFonts w:hint="eastAsia" w:ascii="仿宋_GB2312" w:hAnsi="楷体"/>
          <w:b/>
          <w:bCs/>
          <w:szCs w:val="32"/>
        </w:rPr>
        <w:t xml:space="preserve">    8、储备项目工程建设情况。</w:t>
      </w:r>
      <w:r>
        <w:rPr>
          <w:rFonts w:hint="eastAsia" w:ascii="楷体" w:hAnsi="楷体" w:eastAsia="楷体"/>
          <w:b/>
        </w:rPr>
        <w:t>一是积极落实环境整治工作，</w:t>
      </w:r>
      <w:r>
        <w:rPr>
          <w:rFonts w:hint="eastAsia"/>
        </w:rPr>
        <w:t>按区蓝天办部署，局党组、行政统一安排，对金山桥街道、月亮岛街道5块储备用地的裸露黄土、生活垃圾、建筑垃圾进行盖网防尘、种草复绿工作。</w:t>
      </w:r>
      <w:r>
        <w:rPr>
          <w:rFonts w:hint="eastAsia" w:ascii="楷体" w:hAnsi="楷体" w:eastAsia="楷体"/>
          <w:b/>
        </w:rPr>
        <w:t>二是开展7宗土地的高压杆线迁移工作，</w:t>
      </w:r>
      <w:r>
        <w:rPr>
          <w:rFonts w:hint="eastAsia"/>
        </w:rPr>
        <w:t>已完成3宗高压杆线迁改（九旺制药地块、旺旺广场西南角地块、大湖线威天线），4宗土地（丁字湾373地块、新华联北侧地块、澳海南地块、月亮岛西路与洗心路交叉地块）的杆迁设计及预算编制，预计2020年可全部开工建设。</w:t>
      </w:r>
      <w:r>
        <w:rPr>
          <w:rFonts w:hint="eastAsia" w:ascii="楷体" w:hAnsi="楷体" w:eastAsia="楷体"/>
          <w:b/>
        </w:rPr>
        <w:t>三是大泽湖限价商品房220kv威天线杆迁工程，</w:t>
      </w:r>
      <w:r>
        <w:rPr>
          <w:rFonts w:hint="eastAsia"/>
        </w:rPr>
        <w:t>目前，该项目塔基部分已完工，预计明年可竣工。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四</w:t>
      </w:r>
      <w:r>
        <w:rPr>
          <w:rFonts w:eastAsia="黑体"/>
          <w:sz w:val="32"/>
          <w:szCs w:val="32"/>
        </w:rPr>
        <w:t>、项目绩效情况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项目的经济性分析</w:t>
      </w:r>
      <w:r>
        <w:rPr>
          <w:rFonts w:hint="eastAsia" w:ascii="仿宋" w:hAnsi="仿宋" w:eastAsia="仿宋"/>
          <w:sz w:val="32"/>
          <w:szCs w:val="32"/>
        </w:rPr>
        <w:t>。有效地</w:t>
      </w:r>
      <w:r>
        <w:rPr>
          <w:rFonts w:ascii="仿宋" w:hAnsi="仿宋" w:eastAsia="仿宋"/>
          <w:sz w:val="32"/>
          <w:szCs w:val="32"/>
        </w:rPr>
        <w:t>控制</w:t>
      </w:r>
      <w:r>
        <w:rPr>
          <w:rFonts w:hint="eastAsia" w:ascii="仿宋" w:hAnsi="仿宋" w:eastAsia="仿宋"/>
          <w:sz w:val="32"/>
          <w:szCs w:val="32"/>
        </w:rPr>
        <w:t>了</w:t>
      </w:r>
      <w:r>
        <w:rPr>
          <w:rFonts w:ascii="仿宋" w:hAnsi="仿宋" w:eastAsia="仿宋"/>
          <w:sz w:val="32"/>
          <w:szCs w:val="32"/>
        </w:rPr>
        <w:t>项目成本（预算）、节约</w:t>
      </w:r>
      <w:r>
        <w:rPr>
          <w:rFonts w:hint="eastAsia" w:ascii="仿宋" w:hAnsi="仿宋" w:eastAsia="仿宋"/>
          <w:sz w:val="32"/>
          <w:szCs w:val="32"/>
        </w:rPr>
        <w:t>节约了财政资金。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项目的效率性分析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项目实施（完成）的进度</w:t>
      </w:r>
      <w:r>
        <w:rPr>
          <w:rFonts w:hint="eastAsia" w:ascii="仿宋" w:hAnsi="仿宋" w:eastAsia="仿宋"/>
          <w:sz w:val="32"/>
          <w:szCs w:val="32"/>
        </w:rPr>
        <w:t>较快、</w:t>
      </w:r>
      <w:r>
        <w:rPr>
          <w:rFonts w:ascii="仿宋" w:hAnsi="仿宋" w:eastAsia="仿宋"/>
          <w:sz w:val="32"/>
          <w:szCs w:val="32"/>
        </w:rPr>
        <w:t>质量</w:t>
      </w:r>
      <w:r>
        <w:rPr>
          <w:rFonts w:hint="eastAsia" w:ascii="仿宋" w:hAnsi="仿宋" w:eastAsia="仿宋"/>
          <w:sz w:val="32"/>
          <w:szCs w:val="32"/>
        </w:rPr>
        <w:t>较优。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</w:t>
      </w:r>
      <w:r>
        <w:rPr>
          <w:rFonts w:ascii="仿宋" w:hAnsi="仿宋" w:eastAsia="仿宋"/>
          <w:sz w:val="32"/>
          <w:szCs w:val="32"/>
        </w:rPr>
        <w:t>项目的有效性分析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项目</w:t>
      </w:r>
      <w:r>
        <w:rPr>
          <w:rFonts w:hint="eastAsia" w:ascii="仿宋" w:hAnsi="仿宋" w:eastAsia="仿宋"/>
          <w:sz w:val="32"/>
          <w:szCs w:val="32"/>
        </w:rPr>
        <w:t>成果达成了既定的项目要求和目标，项目专项资金使用成效明显。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</w:t>
      </w:r>
      <w:r>
        <w:rPr>
          <w:rFonts w:ascii="仿宋" w:hAnsi="仿宋" w:eastAsia="仿宋"/>
          <w:sz w:val="32"/>
          <w:szCs w:val="32"/>
        </w:rPr>
        <w:t>项目的可持续性分析</w:t>
      </w:r>
      <w:r>
        <w:rPr>
          <w:rFonts w:hint="eastAsia" w:ascii="仿宋" w:hAnsi="仿宋" w:eastAsia="仿宋"/>
          <w:sz w:val="32"/>
          <w:szCs w:val="32"/>
        </w:rPr>
        <w:t>。运用专项资金指导城镇化发展减少重复建设。社会效益是推动与主城区的对接，改善城市形象，充分展示城市内在，提高城市美誉度和知名度，促进城市集聚效应的形成，推动经济社会的健康有序发展。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eastAsia="黑体"/>
          <w:sz w:val="32"/>
          <w:szCs w:val="32"/>
        </w:rPr>
        <w:t>、其他需要说明的问题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eastAsia" w:ascii="黑体" w:hAnsi="黑体" w:eastAsia="黑体"/>
        </w:rPr>
      </w:pPr>
    </w:p>
    <w:sectPr>
      <w:footerReference r:id="rId5" w:type="default"/>
      <w:footerReference r:id="rId6" w:type="even"/>
      <w:pgSz w:w="11906" w:h="16838"/>
      <w:pgMar w:top="1701" w:right="1587" w:bottom="1417" w:left="1701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3343425"/>
      <w:docPartObj>
        <w:docPartGallery w:val="autotext"/>
      </w:docPartObj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  <w:jc w:val="right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hint="eastAsia"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hint="eastAsia" w:ascii="仿宋" w:hAnsi="仿宋" w:eastAsia="仿宋" w:cs="仿宋"/>
            <w:sz w:val="28"/>
            <w:szCs w:val="28"/>
          </w:rPr>
          <w:t xml:space="preserve"> 17 -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  <w:sz w:val="28"/>
        <w:szCs w:val="28"/>
      </w:rPr>
      <w:id w:val="760954067"/>
      <w:docPartObj>
        <w:docPartGallery w:val="autotext"/>
      </w:docPartObj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hint="eastAsia"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hint="eastAsia" w:ascii="仿宋" w:hAnsi="仿宋" w:eastAsia="仿宋" w:cs="仿宋"/>
            <w:sz w:val="28"/>
            <w:szCs w:val="28"/>
          </w:rPr>
          <w:t xml:space="preserve"> 14 -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47"/>
    <w:rsid w:val="00005D88"/>
    <w:rsid w:val="00017EBD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D2B17"/>
    <w:rsid w:val="002D6DE6"/>
    <w:rsid w:val="002F4C93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E2B22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815068"/>
    <w:rsid w:val="00816734"/>
    <w:rsid w:val="00822809"/>
    <w:rsid w:val="00830963"/>
    <w:rsid w:val="00834ED6"/>
    <w:rsid w:val="00856037"/>
    <w:rsid w:val="008854AA"/>
    <w:rsid w:val="008A4AAA"/>
    <w:rsid w:val="008A7835"/>
    <w:rsid w:val="008C5FEB"/>
    <w:rsid w:val="008D1C56"/>
    <w:rsid w:val="008D26E3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47CA"/>
    <w:rsid w:val="00DE4EB0"/>
    <w:rsid w:val="00DE7A52"/>
    <w:rsid w:val="00DF7A1D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E675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923EFD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D162D5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43E5D9D"/>
    <w:rsid w:val="34851422"/>
    <w:rsid w:val="35171994"/>
    <w:rsid w:val="35FC0AE7"/>
    <w:rsid w:val="360E6349"/>
    <w:rsid w:val="363D3CC1"/>
    <w:rsid w:val="36CD4E4A"/>
    <w:rsid w:val="375637EC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34B4AFE"/>
    <w:rsid w:val="743A1952"/>
    <w:rsid w:val="74A34CB4"/>
    <w:rsid w:val="74BD6245"/>
    <w:rsid w:val="763B471A"/>
    <w:rsid w:val="763C3A0C"/>
    <w:rsid w:val="76CB3BBF"/>
    <w:rsid w:val="77CC60FC"/>
    <w:rsid w:val="782D432B"/>
    <w:rsid w:val="7857382F"/>
    <w:rsid w:val="79A11BA0"/>
    <w:rsid w:val="7A1B7E7C"/>
    <w:rsid w:val="7A500843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spacing w:line="240" w:lineRule="auto"/>
      <w:ind w:left="100" w:leftChars="2500"/>
    </w:pPr>
    <w:rPr>
      <w:rFonts w:ascii="Times New Roman" w:hAnsi="Times New Roman" w:eastAsia="宋体"/>
      <w:kern w:val="0"/>
      <w:sz w:val="24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"/>
    <w:basedOn w:val="1"/>
    <w:qFormat/>
    <w:uiPriority w:val="99"/>
    <w:pPr>
      <w:spacing w:line="240" w:lineRule="auto"/>
    </w:pPr>
    <w:rPr>
      <w:rFonts w:ascii="Times New Roman" w:hAnsi="Times New Roman" w:eastAsia="宋体"/>
      <w:sz w:val="21"/>
      <w:szCs w:val="20"/>
    </w:rPr>
  </w:style>
  <w:style w:type="character" w:customStyle="1" w:styleId="10">
    <w:name w:val="页眉 Char"/>
    <w:link w:val="5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1">
    <w:name w:val="页脚 Char"/>
    <w:link w:val="4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2">
    <w:name w:val="批注框文本 Char"/>
    <w:link w:val="3"/>
    <w:semiHidden/>
    <w:qFormat/>
    <w:uiPriority w:val="99"/>
    <w:rPr>
      <w:rFonts w:ascii="仿宋_GB2312" w:eastAsia="仿宋_GB2312"/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14">
    <w:name w:val="日期 Char1"/>
    <w:basedOn w:val="7"/>
    <w:semiHidden/>
    <w:qFormat/>
    <w:uiPriority w:val="99"/>
    <w:rPr>
      <w:rFonts w:ascii="仿宋_GB2312" w:eastAsia="仿宋_GB2312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17</Pages>
  <Words>1420</Words>
  <Characters>8095</Characters>
  <Lines>67</Lines>
  <Paragraphs>18</Paragraphs>
  <TotalTime>4</TotalTime>
  <ScaleCrop>false</ScaleCrop>
  <LinksUpToDate>false</LinksUpToDate>
  <CharactersWithSpaces>9497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2019-04-15T01:57:00Z</dcterms:created>
  <dc:creator>lenovo</dc:creator>
  <cp:lastModifiedBy>Administrator</cp:lastModifiedBy>
  <cp:lastPrinted>2020-03-26T03:38:00Z</cp:lastPrinted>
  <dcterms:modified xsi:type="dcterms:W3CDTF">2021-08-23T07:06:04Z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846E37821B1A44E0ACC5007F0B400271</vt:lpwstr>
  </property>
</Properties>
</file>