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rPr>
      </w:pPr>
      <w:r>
        <w:rPr>
          <w:rFonts w:hint="eastAsia" w:ascii="Times New Roman" w:hAnsi="Times New Roman" w:eastAsia="楷体_GB2312"/>
        </w:rPr>
        <w:t>附件3</w:t>
      </w:r>
    </w:p>
    <w:p>
      <w:pPr>
        <w:widowControl/>
        <w:spacing w:line="240" w:lineRule="auto"/>
        <w:jc w:val="center"/>
        <w:rPr>
          <w:rFonts w:hAnsi="Times New Roman"/>
          <w:kern w:val="0"/>
          <w:sz w:val="24"/>
          <w:szCs w:val="24"/>
        </w:rPr>
      </w:pPr>
      <w:r>
        <w:rPr>
          <w:rFonts w:ascii="Times New Roman" w:hAnsi="Times New Roman" w:eastAsia="方正小标宋简体"/>
          <w:kern w:val="0"/>
          <w:sz w:val="44"/>
          <w:szCs w:val="44"/>
        </w:rPr>
        <w:t xml:space="preserve">    </w:t>
      </w:r>
      <w:r>
        <w:rPr>
          <w:rFonts w:hint="eastAsia" w:ascii="Times New Roman" w:hAnsi="Times New Roman" w:eastAsia="方正小标宋简体"/>
          <w:kern w:val="0"/>
          <w:sz w:val="44"/>
          <w:szCs w:val="44"/>
          <w:u w:val="single"/>
          <w:lang w:eastAsia="zh-CN"/>
        </w:rPr>
        <w:t>长沙市望城区工务局</w:t>
      </w:r>
      <w:r>
        <w:rPr>
          <w:rFonts w:hint="eastAsia" w:ascii="Times New Roman" w:hAnsi="Times New Roman"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int="eastAsia" w:hAnsi="Times New Roman"/>
          <w:kern w:val="0"/>
          <w:sz w:val="24"/>
          <w:szCs w:val="24"/>
        </w:rPr>
        <w:t>填报单位：</w:t>
      </w:r>
      <w:r>
        <w:rPr>
          <w:rFonts w:hint="eastAsia" w:hAnsi="Times New Roman"/>
          <w:kern w:val="0"/>
          <w:sz w:val="24"/>
          <w:szCs w:val="24"/>
          <w:lang w:eastAsia="zh-CN"/>
        </w:rPr>
        <w:t>长沙市望城区工务局</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6"/>
        <w:tblW w:w="9878" w:type="dxa"/>
        <w:jc w:val="center"/>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13</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11</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84.62%</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83960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150000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4785.6</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296"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1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26"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83960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150000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4785.6</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2814578.16</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2200000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2114603.1</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eastAsia="zh-CN"/>
              </w:rPr>
            </w:pPr>
            <w:r>
              <w:rPr>
                <w:rFonts w:ascii="Times New Roman" w:hAnsi="Times New Roman"/>
                <w:kern w:val="0"/>
                <w:sz w:val="24"/>
                <w:szCs w:val="24"/>
              </w:rPr>
              <w:t>1</w:t>
            </w:r>
            <w:r>
              <w:rPr>
                <w:rFonts w:hint="eastAsia" w:ascii="Times New Roman" w:hAnsi="Times New Roman"/>
                <w:kern w:val="0"/>
                <w:sz w:val="24"/>
                <w:szCs w:val="24"/>
              </w:rPr>
              <w:t>、</w:t>
            </w:r>
            <w:r>
              <w:rPr>
                <w:rFonts w:hint="eastAsia" w:ascii="Times New Roman" w:hAnsi="Times New Roman"/>
                <w:kern w:val="0"/>
                <w:sz w:val="24"/>
                <w:szCs w:val="24"/>
                <w:lang w:eastAsia="zh-CN"/>
              </w:rPr>
              <w:t>政府投资重点工程项目管理费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2814578.16</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2200000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2114603.1</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1312674.05</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1436000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1838603.54</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1275968.45</w:t>
            </w:r>
            <w:r>
              <w:rPr>
                <w:rFonts w:hint="eastAsia" w:ascii="Times New Roman" w:hAnsi="Times New Roman"/>
                <w:color w:val="auto"/>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color w:val="auto"/>
                <w:kern w:val="0"/>
                <w:sz w:val="24"/>
                <w:szCs w:val="24"/>
                <w:lang w:val="en-US" w:eastAsia="zh-CN"/>
              </w:rPr>
            </w:pPr>
            <w:r>
              <w:rPr>
                <w:rFonts w:hint="eastAsia" w:ascii="Times New Roman" w:hAnsi="Times New Roman"/>
                <w:color w:val="auto"/>
                <w:kern w:val="0"/>
                <w:sz w:val="24"/>
                <w:szCs w:val="24"/>
                <w:lang w:val="en-US" w:eastAsia="zh-CN"/>
              </w:rPr>
              <w:t>1356000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color w:val="auto"/>
                <w:kern w:val="0"/>
                <w:sz w:val="24"/>
                <w:szCs w:val="24"/>
                <w:lang w:val="en-US" w:eastAsia="zh-CN"/>
              </w:rPr>
            </w:pPr>
            <w:r>
              <w:rPr>
                <w:rFonts w:hint="eastAsia" w:ascii="Times New Roman" w:hAnsi="Times New Roman"/>
                <w:color w:val="auto"/>
                <w:kern w:val="0"/>
                <w:sz w:val="24"/>
                <w:szCs w:val="24"/>
                <w:lang w:val="en-US" w:eastAsia="zh-CN"/>
              </w:rPr>
              <w:t>1806824.04</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13715.6</w:t>
            </w:r>
            <w:r>
              <w:rPr>
                <w:rFonts w:hint="eastAsia" w:ascii="Times New Roman" w:hAnsi="Times New Roman"/>
                <w:color w:val="auto"/>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5000</w:t>
            </w:r>
            <w:r>
              <w:rPr>
                <w:rFonts w:hint="eastAsia" w:ascii="Times New Roman" w:hAnsi="Times New Roman"/>
                <w:color w:val="auto"/>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21779.5</w:t>
            </w:r>
            <w:r>
              <w:rPr>
                <w:rFonts w:hint="eastAsia" w:ascii="Times New Roman" w:hAnsi="Times New Roman"/>
                <w:color w:val="auto"/>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22990</w:t>
            </w:r>
            <w:r>
              <w:rPr>
                <w:rFonts w:hint="eastAsia" w:ascii="Times New Roman" w:hAnsi="Times New Roman"/>
                <w:color w:val="auto"/>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75000</w:t>
            </w:r>
            <w:r>
              <w:rPr>
                <w:rFonts w:hint="eastAsia" w:ascii="Times New Roman" w:hAnsi="Times New Roman"/>
                <w:color w:val="auto"/>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10000</w:t>
            </w:r>
            <w:r>
              <w:rPr>
                <w:rFonts w:hint="eastAsia" w:ascii="Times New Roman" w:hAnsi="Times New Roman"/>
                <w:color w:val="auto"/>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ascii="Times New Roman" w:hAnsi="Times New Roman"/>
                <w:color w:val="auto"/>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315000</w:t>
            </w:r>
            <w:r>
              <w:rPr>
                <w:rFonts w:hint="eastAsia" w:ascii="Times New Roman" w:hAnsi="Times New Roman"/>
                <w:color w:val="auto"/>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14980</w:t>
            </w:r>
            <w:r>
              <w:rPr>
                <w:rFonts w:hint="eastAsia" w:ascii="Times New Roman" w:hAnsi="Times New Roman"/>
                <w:color w:val="auto"/>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r>
              <w:rPr>
                <w:rFonts w:hint="eastAsia" w:ascii="Times New Roman" w:hAnsi="Times New Roman"/>
                <w:kern w:val="0"/>
                <w:sz w:val="24"/>
                <w:szCs w:val="24"/>
              </w:rPr>
              <w:t>　</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9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21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35"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制定了</w:t>
            </w:r>
            <w:r>
              <w:rPr>
                <w:rFonts w:hint="eastAsia" w:ascii="Times New Roman" w:hAnsi="Times New Roman"/>
                <w:kern w:val="0"/>
                <w:sz w:val="24"/>
                <w:szCs w:val="24"/>
                <w:lang w:eastAsia="zh-CN"/>
              </w:rPr>
              <w:t>单位内控评价与监督管理制度；预算业务控制规范、支出业务控制规范、资产业务控制规范；</w:t>
            </w:r>
            <w:r>
              <w:rPr>
                <w:rFonts w:hint="eastAsia" w:ascii="Times New Roman" w:hAnsi="Times New Roman"/>
                <w:kern w:val="0"/>
                <w:sz w:val="24"/>
                <w:szCs w:val="24"/>
              </w:rPr>
              <w:t>财务管理、车辆管理等相关制度，公务接待按照规定范围标准列支，严控“三公”经费及项目支出资金，坚持厉行节约，量入为出，保证重点，注重资金使用效益。　</w:t>
            </w:r>
          </w:p>
        </w:tc>
      </w:tr>
      <w:tr>
        <w:tblPrEx>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rPr>
          <w:rFonts w:ascii="Times New Roman" w:hAnsi="Times New Roman"/>
        </w:rPr>
      </w:pPr>
    </w:p>
    <w:p>
      <w:pPr>
        <w:spacing w:line="600" w:lineRule="exact"/>
        <w:rPr>
          <w:rFonts w:ascii="Times New Roman" w:hAnsi="Times New Roman" w:eastAsia="楷体_GB2312"/>
        </w:rPr>
        <w:sectPr>
          <w:footerReference r:id="rId7" w:type="first"/>
          <w:footerReference r:id="rId5" w:type="default"/>
          <w:footerReference r:id="rId6" w:type="even"/>
          <w:pgSz w:w="11906" w:h="16838"/>
          <w:pgMar w:top="1701" w:right="1587" w:bottom="1417" w:left="1701" w:header="851" w:footer="992" w:gutter="0"/>
          <w:pgNumType w:fmt="numberInDash"/>
          <w:cols w:space="720" w:num="1"/>
          <w:docGrid w:type="lines" w:linePitch="312" w:charSpace="0"/>
        </w:sectPr>
      </w:pPr>
    </w:p>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hint="eastAsia"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hint="eastAsia" w:ascii="Times New Roman" w:hAnsi="Times New Roman" w:eastAsia="方正小标宋简体"/>
          <w:kern w:val="0"/>
          <w:sz w:val="44"/>
          <w:szCs w:val="44"/>
          <w:u w:val="single"/>
          <w:lang w:eastAsia="zh-CN"/>
        </w:rPr>
        <w:t>长沙市望城区工务局</w:t>
      </w:r>
      <w:r>
        <w:rPr>
          <w:rFonts w:hint="eastAsia" w:ascii="Times New Roman" w:hAnsi="Times New Roman" w:eastAsia="方正小标宋简体"/>
          <w:kern w:val="0"/>
          <w:sz w:val="44"/>
          <w:szCs w:val="44"/>
        </w:rPr>
        <w:t>部门整体支出绩效</w:t>
      </w:r>
    </w:p>
    <w:p>
      <w:pPr>
        <w:widowControl/>
        <w:spacing w:line="240" w:lineRule="auto"/>
        <w:ind w:left="91"/>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rPr>
        <w:t>评价自评表</w:t>
      </w:r>
    </w:p>
    <w:tbl>
      <w:tblPr>
        <w:tblStyle w:val="6"/>
        <w:tblW w:w="10584" w:type="dxa"/>
        <w:jc w:val="center"/>
        <w:tblLayout w:type="fixed"/>
        <w:tblCellMar>
          <w:top w:w="0" w:type="dxa"/>
          <w:left w:w="108" w:type="dxa"/>
          <w:bottom w:w="0" w:type="dxa"/>
          <w:right w:w="108" w:type="dxa"/>
        </w:tblCellMar>
      </w:tblPr>
      <w:tblGrid>
        <w:gridCol w:w="648"/>
        <w:gridCol w:w="416"/>
        <w:gridCol w:w="673"/>
        <w:gridCol w:w="416"/>
        <w:gridCol w:w="1072"/>
        <w:gridCol w:w="416"/>
        <w:gridCol w:w="2324"/>
        <w:gridCol w:w="2549"/>
        <w:gridCol w:w="675"/>
        <w:gridCol w:w="1395"/>
      </w:tblGrid>
      <w:tr>
        <w:tblPrEx>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254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7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139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color w:val="auto"/>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2549"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2018年度我单位编制人数为13名，实际在编人员11名，控制率为84.62%</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2018年度三公经费预算数为：15万，2017年度三公经费预算数为15万，变动率为0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2018年度我单位预算完成率为100%</w:t>
            </w: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2</w:t>
            </w:r>
          </w:p>
        </w:tc>
        <w:tc>
          <w:tcPr>
            <w:tcW w:w="1395"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本年预算执行含代建项目资金支出（预算归口不在本单位）</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395"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eastAsia="zh-CN"/>
              </w:rPr>
              <w:t>我单位没有新建楼堂馆所</w:t>
            </w:r>
          </w:p>
        </w:tc>
      </w:tr>
      <w:tr>
        <w:tblPrEx>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eastAsia="zh-CN"/>
              </w:rPr>
              <w:t>我单位没有新建楼堂馆所</w:t>
            </w:r>
          </w:p>
        </w:tc>
      </w:tr>
      <w:tr>
        <w:tblPrEx>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本单位公用经费开支包含代建项目相关劳务费、会议费开支</w:t>
            </w:r>
          </w:p>
        </w:tc>
      </w:tr>
      <w:tr>
        <w:tblPrEx>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8</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2018年度三公经费控制率为3.2%</w:t>
            </w: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根据单位实际情况开展政府采购项目</w:t>
            </w: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254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8</w:t>
            </w:r>
          </w:p>
        </w:tc>
        <w:tc>
          <w:tcPr>
            <w:tcW w:w="1395"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我单位有内部财务管理等制度；有本部分厉行节约制度；相关制度合规合法，且得到有效执行</w:t>
            </w: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54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6</w:t>
            </w:r>
          </w:p>
        </w:tc>
        <w:tc>
          <w:tcPr>
            <w:tcW w:w="1395"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本年度所有支出均符合</w:t>
            </w:r>
            <w:bookmarkStart w:id="0" w:name="_GoBack"/>
            <w:bookmarkEnd w:id="0"/>
            <w:r>
              <w:rPr>
                <w:rFonts w:hint="eastAsia" w:ascii="Times New Roman" w:hAnsi="Times New Roman"/>
                <w:kern w:val="0"/>
                <w:sz w:val="20"/>
                <w:szCs w:val="20"/>
              </w:rPr>
              <w:t>国家财经法规和财务管理制度规定以及有关专项资金管理办法的规定；资金拨付有完整的审批程序和手续；</w:t>
            </w:r>
            <w:r>
              <w:rPr>
                <w:rFonts w:hint="eastAsia" w:ascii="Times New Roman" w:hAnsi="Times New Roman"/>
                <w:kern w:val="0"/>
                <w:sz w:val="20"/>
                <w:szCs w:val="20"/>
                <w:lang w:eastAsia="zh-CN"/>
              </w:rPr>
              <w:t>支出均按照预算批复用途，资金使用无截留、挤占、挪用等违规情况。</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254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5</w:t>
            </w:r>
          </w:p>
        </w:tc>
        <w:tc>
          <w:tcPr>
            <w:tcW w:w="1395"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我单位严格感召规定内容，按时做好了预算公开的相关工作。信息完整，资料准确。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254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8</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2018年度绩效办对我单位打分100.8分</w:t>
            </w: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4873"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2018年度铺排由我单位代建的项目为</w:t>
            </w:r>
            <w:r>
              <w:rPr>
                <w:rFonts w:hint="eastAsia" w:ascii="Times New Roman" w:hAnsi="Times New Roman"/>
                <w:kern w:val="0"/>
                <w:sz w:val="20"/>
                <w:szCs w:val="20"/>
                <w:lang w:val="en-US" w:eastAsia="zh-CN"/>
              </w:rPr>
              <w:t>31</w:t>
            </w:r>
            <w:r>
              <w:rPr>
                <w:rFonts w:hint="eastAsia" w:ascii="Times New Roman" w:hAnsi="Times New Roman"/>
                <w:kern w:val="0"/>
                <w:sz w:val="20"/>
                <w:szCs w:val="20"/>
                <w:lang w:eastAsia="zh-CN"/>
              </w:rPr>
              <w:t>个，其中计划启动新建</w:t>
            </w:r>
            <w:r>
              <w:rPr>
                <w:rFonts w:hint="eastAsia" w:ascii="Times New Roman" w:hAnsi="Times New Roman"/>
                <w:kern w:val="0"/>
                <w:sz w:val="20"/>
                <w:szCs w:val="20"/>
                <w:lang w:val="en-US" w:eastAsia="zh-CN"/>
              </w:rPr>
              <w:t>22</w:t>
            </w:r>
            <w:r>
              <w:rPr>
                <w:rFonts w:hint="eastAsia" w:ascii="Times New Roman" w:hAnsi="Times New Roman"/>
                <w:kern w:val="0"/>
                <w:sz w:val="20"/>
                <w:szCs w:val="20"/>
                <w:lang w:eastAsia="zh-CN"/>
              </w:rPr>
              <w:t>个，续建项目</w:t>
            </w:r>
            <w:r>
              <w:rPr>
                <w:rFonts w:hint="eastAsia" w:ascii="Times New Roman" w:hAnsi="Times New Roman"/>
                <w:kern w:val="0"/>
                <w:sz w:val="20"/>
                <w:szCs w:val="20"/>
                <w:lang w:val="en-US" w:eastAsia="zh-CN"/>
              </w:rPr>
              <w:t>9个；</w:t>
            </w:r>
            <w:r>
              <w:rPr>
                <w:rFonts w:hint="eastAsia" w:ascii="Times New Roman" w:hAnsi="Times New Roman"/>
                <w:kern w:val="0"/>
                <w:sz w:val="20"/>
                <w:szCs w:val="20"/>
                <w:lang w:eastAsia="zh-CN"/>
              </w:rPr>
              <w:t>实际启动新建</w:t>
            </w:r>
            <w:r>
              <w:rPr>
                <w:rFonts w:hint="eastAsia" w:ascii="Times New Roman" w:hAnsi="Times New Roman"/>
                <w:kern w:val="0"/>
                <w:sz w:val="20"/>
                <w:szCs w:val="20"/>
                <w:lang w:val="en-US" w:eastAsia="zh-CN"/>
              </w:rPr>
              <w:t>22</w:t>
            </w:r>
            <w:r>
              <w:rPr>
                <w:rFonts w:hint="eastAsia" w:ascii="Times New Roman" w:hAnsi="Times New Roman"/>
                <w:kern w:val="0"/>
                <w:sz w:val="20"/>
                <w:szCs w:val="20"/>
                <w:lang w:eastAsia="zh-CN"/>
              </w:rPr>
              <w:t>个。续建项目均按进度推进实施</w:t>
            </w:r>
          </w:p>
        </w:tc>
        <w:tc>
          <w:tcPr>
            <w:tcW w:w="675" w:type="dxa"/>
            <w:vMerge w:val="restart"/>
            <w:tcBorders>
              <w:top w:val="nil"/>
              <w:left w:val="nil"/>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6</w:t>
            </w:r>
          </w:p>
        </w:tc>
        <w:tc>
          <w:tcPr>
            <w:tcW w:w="1395" w:type="dxa"/>
            <w:vMerge w:val="restart"/>
            <w:tcBorders>
              <w:top w:val="nil"/>
              <w:left w:val="nil"/>
              <w:right w:val="single" w:color="auto" w:sz="4" w:space="0"/>
            </w:tcBorders>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lang w:eastAsia="zh-CN"/>
              </w:rPr>
              <w:t>完成效益较好</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4873"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75" w:type="dxa"/>
            <w:vMerge w:val="continue"/>
            <w:tcBorders>
              <w:left w:val="nil"/>
              <w:bottom w:val="nil"/>
              <w:right w:val="single" w:color="auto" w:sz="4" w:space="0"/>
            </w:tcBorders>
            <w:vAlign w:val="center"/>
          </w:tcPr>
          <w:p>
            <w:pPr>
              <w:widowControl/>
              <w:spacing w:line="280" w:lineRule="exact"/>
              <w:jc w:val="center"/>
              <w:rPr>
                <w:rFonts w:ascii="Times New Roman" w:hAnsi="Times New Roman"/>
                <w:kern w:val="0"/>
                <w:sz w:val="20"/>
                <w:szCs w:val="20"/>
              </w:rPr>
            </w:pPr>
          </w:p>
        </w:tc>
        <w:tc>
          <w:tcPr>
            <w:tcW w:w="1395" w:type="dxa"/>
            <w:vMerge w:val="continue"/>
            <w:tcBorders>
              <w:left w:val="nil"/>
              <w:bottom w:val="nil"/>
              <w:right w:val="single" w:color="auto" w:sz="4" w:space="0"/>
            </w:tcBorders>
          </w:tcPr>
          <w:p>
            <w:pPr>
              <w:widowControl/>
              <w:spacing w:line="280" w:lineRule="exact"/>
              <w:jc w:val="left"/>
              <w:rPr>
                <w:rFonts w:ascii="Times New Roman" w:hAnsi="Times New Roman"/>
                <w:kern w:val="0"/>
                <w:sz w:val="20"/>
                <w:szCs w:val="20"/>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2549"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7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6</w:t>
            </w:r>
          </w:p>
        </w:tc>
        <w:tc>
          <w:tcPr>
            <w:tcW w:w="1395" w:type="dxa"/>
            <w:tcBorders>
              <w:top w:val="single" w:color="auto" w:sz="4" w:space="0"/>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2018年度我单位严肃文风会风，减少会议费、接待费开支，有效提高了行政效率，降低了运行成本</w:t>
            </w: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254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7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lang w:val="en-US" w:eastAsia="zh-CN"/>
              </w:rPr>
              <w:t>6</w:t>
            </w:r>
          </w:p>
        </w:tc>
        <w:tc>
          <w:tcPr>
            <w:tcW w:w="1395"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0"/>
                <w:szCs w:val="20"/>
                <w:lang w:val="en-US" w:eastAsia="zh-CN"/>
              </w:rPr>
            </w:pPr>
            <w:r>
              <w:rPr>
                <w:rFonts w:hint="eastAsia" w:ascii="Times New Roman" w:hAnsi="Times New Roman"/>
                <w:kern w:val="0"/>
                <w:sz w:val="20"/>
                <w:szCs w:val="20"/>
                <w:lang w:eastAsia="zh-CN"/>
              </w:rPr>
              <w:t>社会公众、服务对象评分满意度</w:t>
            </w:r>
            <w:r>
              <w:rPr>
                <w:rFonts w:hint="eastAsia" w:ascii="Times New Roman" w:hAnsi="Times New Roman"/>
                <w:kern w:val="0"/>
                <w:sz w:val="20"/>
                <w:szCs w:val="20"/>
                <w:lang w:val="en-US" w:eastAsia="zh-CN"/>
              </w:rPr>
              <w:t>90%以上。</w:t>
            </w:r>
          </w:p>
        </w:tc>
      </w:tr>
      <w:tr>
        <w:tblPrEx>
          <w:tblCellMar>
            <w:top w:w="0" w:type="dxa"/>
            <w:left w:w="108" w:type="dxa"/>
            <w:bottom w:w="0" w:type="dxa"/>
            <w:right w:w="108" w:type="dxa"/>
          </w:tblCellMar>
        </w:tblPrEx>
        <w:trPr>
          <w:trHeight w:val="125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b/>
                <w:bCs/>
                <w:kern w:val="0"/>
                <w:sz w:val="20"/>
                <w:szCs w:val="20"/>
                <w:lang w:eastAsia="zh-CN"/>
              </w:rPr>
            </w:pPr>
            <w:r>
              <w:rPr>
                <w:rFonts w:hint="eastAsia" w:ascii="Times New Roman" w:hAnsi="Times New Roman"/>
                <w:b/>
                <w:bCs/>
                <w:kern w:val="0"/>
                <w:sz w:val="20"/>
                <w:szCs w:val="20"/>
                <w:lang w:eastAsia="zh-CN"/>
              </w:rPr>
              <w:t>合计</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ascii="Times New Roman" w:hAnsi="Times New Roman"/>
                <w:b/>
                <w:bCs/>
                <w:kern w:val="0"/>
                <w:sz w:val="20"/>
                <w:szCs w:val="20"/>
              </w:rPr>
            </w:pPr>
          </w:p>
        </w:tc>
        <w:tc>
          <w:tcPr>
            <w:tcW w:w="2549"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b/>
                <w:bCs/>
                <w:kern w:val="0"/>
                <w:sz w:val="20"/>
                <w:szCs w:val="20"/>
              </w:rPr>
            </w:pPr>
          </w:p>
        </w:tc>
        <w:tc>
          <w:tcPr>
            <w:tcW w:w="67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b/>
                <w:bCs/>
                <w:kern w:val="0"/>
                <w:sz w:val="20"/>
                <w:szCs w:val="20"/>
                <w:lang w:val="en-US" w:eastAsia="zh-CN"/>
              </w:rPr>
            </w:pPr>
            <w:r>
              <w:rPr>
                <w:rFonts w:hint="eastAsia" w:ascii="Times New Roman" w:hAnsi="Times New Roman"/>
                <w:b/>
                <w:bCs/>
                <w:kern w:val="0"/>
                <w:sz w:val="20"/>
                <w:szCs w:val="20"/>
                <w:lang w:val="en-US" w:eastAsia="zh-CN"/>
              </w:rPr>
              <w:t>87</w:t>
            </w:r>
          </w:p>
        </w:tc>
        <w:tc>
          <w:tcPr>
            <w:tcW w:w="1395"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0"/>
                <w:szCs w:val="20"/>
              </w:rPr>
            </w:pPr>
          </w:p>
        </w:tc>
      </w:tr>
    </w:tbl>
    <w:p>
      <w:pPr>
        <w:spacing w:line="600" w:lineRule="exact"/>
        <w:rPr>
          <w:rFonts w:ascii="Times New Roman" w:hAnsi="Times New Roman"/>
          <w:sz w:val="20"/>
          <w:szCs w:val="20"/>
        </w:rPr>
      </w:pPr>
    </w:p>
    <w:sectPr>
      <w:pgSz w:w="11906" w:h="16838"/>
      <w:pgMar w:top="1701" w:right="1587" w:bottom="1417" w:left="1701"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iYzk5ZDYxNzRmNjRiMWZhZTQ0MTYzZTYzODE4NTEifQ=="/>
  </w:docVars>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165041A"/>
    <w:rsid w:val="022447DF"/>
    <w:rsid w:val="022C78E9"/>
    <w:rsid w:val="0314630F"/>
    <w:rsid w:val="06294C10"/>
    <w:rsid w:val="100B3A97"/>
    <w:rsid w:val="1493301D"/>
    <w:rsid w:val="156F24EF"/>
    <w:rsid w:val="1F2D3E59"/>
    <w:rsid w:val="21F812EF"/>
    <w:rsid w:val="22407D06"/>
    <w:rsid w:val="24291C3C"/>
    <w:rsid w:val="24BC345F"/>
    <w:rsid w:val="265F5BF6"/>
    <w:rsid w:val="29667ECA"/>
    <w:rsid w:val="34683060"/>
    <w:rsid w:val="38C14072"/>
    <w:rsid w:val="3EB6137D"/>
    <w:rsid w:val="41F87E8E"/>
    <w:rsid w:val="449219AD"/>
    <w:rsid w:val="4B117ABE"/>
    <w:rsid w:val="4CEA4248"/>
    <w:rsid w:val="4E681515"/>
    <w:rsid w:val="538A02F0"/>
    <w:rsid w:val="554E0DB8"/>
    <w:rsid w:val="566B24AA"/>
    <w:rsid w:val="57041CBB"/>
    <w:rsid w:val="574D0591"/>
    <w:rsid w:val="57505F8A"/>
    <w:rsid w:val="587D2C08"/>
    <w:rsid w:val="5A0B4732"/>
    <w:rsid w:val="5B137C11"/>
    <w:rsid w:val="5B8B66AB"/>
    <w:rsid w:val="5EC707C1"/>
    <w:rsid w:val="5F9C6D60"/>
    <w:rsid w:val="6092366F"/>
    <w:rsid w:val="62887089"/>
    <w:rsid w:val="648A25C5"/>
    <w:rsid w:val="6E1B7AD0"/>
    <w:rsid w:val="6E964F36"/>
    <w:rsid w:val="7B587F29"/>
    <w:rsid w:val="7C5E55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5</Pages>
  <Words>2424</Words>
  <Characters>2778</Characters>
  <Lines>67</Lines>
  <Paragraphs>18</Paragraphs>
  <TotalTime>1</TotalTime>
  <ScaleCrop>false</ScaleCrop>
  <LinksUpToDate>false</LinksUpToDate>
  <CharactersWithSpaces>2910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ъīηg```</cp:lastModifiedBy>
  <cp:lastPrinted>2019-04-24T02:14:00Z</cp:lastPrinted>
  <dcterms:modified xsi:type="dcterms:W3CDTF">2022-08-30T08:07:41Z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F03A01E7A87C496BB858769828324A44</vt:lpwstr>
  </property>
</Properties>
</file>