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Times New Roman" w:hAnsi="Times New Roman" w:eastAsia="方正小标宋简体"/>
          <w:sz w:val="36"/>
          <w:szCs w:val="36"/>
        </w:rPr>
      </w:pPr>
    </w:p>
    <w:p>
      <w:pPr>
        <w:spacing w:line="600" w:lineRule="exact"/>
        <w:jc w:val="center"/>
        <w:rPr>
          <w:rFonts w:ascii="方正小标宋_GBK" w:hAnsi="方正小标宋_GBK" w:eastAsia="方正小标宋_GBK" w:cs="方正小标宋_GBK"/>
          <w:sz w:val="36"/>
          <w:szCs w:val="36"/>
        </w:rPr>
      </w:pPr>
      <w:r>
        <w:rPr>
          <w:rFonts w:hint="eastAsia" w:ascii="仿宋" w:hAnsi="仿宋" w:eastAsia="仿宋" w:cs="仿宋"/>
          <w:sz w:val="36"/>
          <w:szCs w:val="36"/>
        </w:rPr>
        <w:t>2019</w:t>
      </w:r>
      <w:r>
        <w:rPr>
          <w:rFonts w:hint="eastAsia" w:ascii="方正小标宋_GBK" w:hAnsi="方正小标宋_GBK" w:eastAsia="方正小标宋_GBK" w:cs="方正小标宋_GBK"/>
          <w:sz w:val="36"/>
          <w:szCs w:val="36"/>
        </w:rPr>
        <w:t>年度市容环境卫生维护中心整体支出</w:t>
      </w:r>
    </w:p>
    <w:p>
      <w:pPr>
        <w:spacing w:line="600" w:lineRule="exac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预算绩效</w:t>
      </w:r>
      <w:r>
        <w:rPr>
          <w:rFonts w:ascii="方正小标宋_GBK" w:hAnsi="方正小标宋_GBK" w:eastAsia="方正小标宋_GBK" w:cs="方正小标宋_GBK"/>
          <w:sz w:val="36"/>
          <w:szCs w:val="36"/>
        </w:rPr>
        <w:t>自评报告</w:t>
      </w:r>
    </w:p>
    <w:p>
      <w:pPr>
        <w:spacing w:line="600" w:lineRule="exact"/>
        <w:jc w:val="center"/>
        <w:rPr>
          <w:rFonts w:ascii="Times New Roman" w:hAnsi="Times New Roman" w:eastAsia="方正小标宋简体"/>
          <w:sz w:val="36"/>
          <w:szCs w:val="36"/>
        </w:rPr>
      </w:pPr>
    </w:p>
    <w:p>
      <w:pPr>
        <w:widowControl/>
        <w:spacing w:line="600" w:lineRule="exact"/>
        <w:ind w:firstLine="588" w:firstLineChars="196"/>
        <w:jc w:val="left"/>
        <w:rPr>
          <w:rFonts w:eastAsia="黑体"/>
          <w:bCs/>
          <w:kern w:val="0"/>
        </w:rPr>
      </w:pPr>
      <w:r>
        <w:rPr>
          <w:rFonts w:ascii="Times New Roman" w:hAnsi="Times New Roman" w:eastAsia="黑体"/>
          <w:sz w:val="30"/>
        </w:rPr>
        <w:t>一、单位基本情况</w:t>
      </w:r>
    </w:p>
    <w:p>
      <w:pPr>
        <w:widowControl/>
        <w:spacing w:line="600" w:lineRule="exact"/>
        <w:ind w:firstLine="548" w:firstLineChars="196"/>
        <w:jc w:val="left"/>
        <w:rPr>
          <w:rFonts w:hAnsi="仿宋" w:cs="仿宋"/>
          <w:sz w:val="28"/>
          <w:szCs w:val="28"/>
        </w:rPr>
      </w:pPr>
      <w:r>
        <w:rPr>
          <w:rFonts w:hint="eastAsia" w:hAnsi="仿宋" w:cs="仿宋"/>
          <w:sz w:val="28"/>
          <w:szCs w:val="28"/>
        </w:rPr>
        <w:t>（一）</w:t>
      </w:r>
      <w:r>
        <w:rPr>
          <w:rFonts w:hAnsi="仿宋" w:cs="仿宋"/>
          <w:sz w:val="28"/>
          <w:szCs w:val="28"/>
        </w:rPr>
        <w:t>职能职责</w:t>
      </w:r>
    </w:p>
    <w:p>
      <w:pPr>
        <w:spacing w:line="560" w:lineRule="exact"/>
        <w:ind w:firstLine="560" w:firstLineChars="200"/>
        <w:rPr>
          <w:rFonts w:hAnsi="仿宋" w:cs="仿宋"/>
          <w:sz w:val="28"/>
          <w:szCs w:val="28"/>
        </w:rPr>
      </w:pPr>
      <w:r>
        <w:rPr>
          <w:rFonts w:hAnsi="仿宋" w:cs="仿宋"/>
          <w:sz w:val="28"/>
          <w:szCs w:val="28"/>
        </w:rPr>
        <w:t>1、参与环卫工程设施规划设计的审查；负责组织环卫行业发展规划的拟制(修订)、评审及其产业政策实施计划的拟订、报批和组织实施；参与环境综合整治和创建卫生城市的工程。</w:t>
      </w:r>
      <w:r>
        <w:rPr>
          <w:rFonts w:hint="eastAsia" w:ascii="宋体" w:hAnsi="宋体" w:cs="宋体"/>
          <w:sz w:val="28"/>
          <w:szCs w:val="28"/>
        </w:rPr>
        <w:t> </w:t>
      </w:r>
    </w:p>
    <w:p>
      <w:pPr>
        <w:spacing w:line="560" w:lineRule="exact"/>
        <w:ind w:firstLine="560" w:firstLineChars="200"/>
        <w:rPr>
          <w:rFonts w:hAnsi="仿宋" w:cs="仿宋"/>
          <w:sz w:val="28"/>
          <w:szCs w:val="28"/>
        </w:rPr>
      </w:pPr>
      <w:r>
        <w:rPr>
          <w:rFonts w:hAnsi="仿宋" w:cs="仿宋"/>
          <w:sz w:val="28"/>
          <w:szCs w:val="28"/>
        </w:rPr>
        <w:t>2、负责组织与管理市容环卫工程设施的改(扩)建、配套设施建设和上级下达的新建环卫工程设施建设；负责制订市容环卫工程设施建设的技术标准，保证工程施工的质量、进度与安全，并监督执行和组织验收；组织市容环卫工程设施设备综合管理及整修(维修)保护；负责环卫科研与环卫新技术的推广、应用与引进工作。</w:t>
      </w:r>
      <w:r>
        <w:rPr>
          <w:rFonts w:hint="eastAsia" w:ascii="宋体" w:hAnsi="宋体" w:cs="宋体"/>
          <w:sz w:val="28"/>
          <w:szCs w:val="28"/>
        </w:rPr>
        <w:t> </w:t>
      </w:r>
    </w:p>
    <w:p>
      <w:pPr>
        <w:spacing w:line="560" w:lineRule="exact"/>
        <w:ind w:firstLine="560" w:firstLineChars="200"/>
        <w:rPr>
          <w:rFonts w:hAnsi="仿宋" w:cs="仿宋"/>
          <w:sz w:val="28"/>
          <w:szCs w:val="28"/>
        </w:rPr>
      </w:pPr>
      <w:r>
        <w:rPr>
          <w:rFonts w:hAnsi="仿宋" w:cs="仿宋"/>
          <w:sz w:val="28"/>
          <w:szCs w:val="28"/>
        </w:rPr>
        <w:t>3、负责市容环卫监督管理工作；负责环卫工作社会从业的资质审批、合同审签和行业管理。</w:t>
      </w:r>
      <w:r>
        <w:rPr>
          <w:rFonts w:hint="eastAsia" w:ascii="宋体" w:hAnsi="宋体" w:cs="宋体"/>
          <w:sz w:val="28"/>
          <w:szCs w:val="28"/>
        </w:rPr>
        <w:t> </w:t>
      </w:r>
    </w:p>
    <w:p>
      <w:pPr>
        <w:spacing w:line="560" w:lineRule="exact"/>
        <w:ind w:firstLine="560" w:firstLineChars="200"/>
        <w:rPr>
          <w:rFonts w:hAnsi="仿宋" w:cs="仿宋"/>
          <w:sz w:val="28"/>
          <w:szCs w:val="28"/>
        </w:rPr>
      </w:pPr>
      <w:r>
        <w:rPr>
          <w:rFonts w:hAnsi="仿宋" w:cs="仿宋"/>
          <w:sz w:val="28"/>
          <w:szCs w:val="28"/>
        </w:rPr>
        <w:t>4、负责市容环卫管理与服务；负责制订市容环卫行业工作标准，负责全区主次街道、公共部位的清扫、垃圾清运，负责管理、报批与组织收取市容环卫管理有关规费。</w:t>
      </w:r>
      <w:r>
        <w:rPr>
          <w:rFonts w:hint="eastAsia" w:ascii="宋体" w:hAnsi="宋体" w:cs="宋体"/>
          <w:sz w:val="28"/>
          <w:szCs w:val="28"/>
        </w:rPr>
        <w:t> </w:t>
      </w:r>
    </w:p>
    <w:p>
      <w:pPr>
        <w:spacing w:line="560" w:lineRule="exact"/>
        <w:ind w:firstLine="560" w:firstLineChars="200"/>
        <w:rPr>
          <w:rFonts w:hAnsi="仿宋" w:cs="仿宋"/>
          <w:sz w:val="28"/>
          <w:szCs w:val="28"/>
        </w:rPr>
      </w:pPr>
      <w:r>
        <w:rPr>
          <w:rFonts w:hAnsi="仿宋" w:cs="仿宋"/>
          <w:sz w:val="28"/>
          <w:szCs w:val="28"/>
        </w:rPr>
        <w:t>5、指导区街镇市容环卫和企业厂容环卫设施建设与行业管理工作，促进市容环卫事业的发展。</w:t>
      </w:r>
      <w:r>
        <w:rPr>
          <w:rFonts w:hint="eastAsia" w:ascii="宋体" w:hAnsi="宋体" w:cs="宋体"/>
          <w:sz w:val="28"/>
          <w:szCs w:val="28"/>
        </w:rPr>
        <w:t> </w:t>
      </w:r>
    </w:p>
    <w:p>
      <w:pPr>
        <w:spacing w:line="560" w:lineRule="exact"/>
        <w:ind w:firstLine="560" w:firstLineChars="200"/>
        <w:rPr>
          <w:rFonts w:hAnsi="仿宋" w:cs="仿宋"/>
          <w:sz w:val="28"/>
          <w:szCs w:val="28"/>
        </w:rPr>
      </w:pPr>
      <w:r>
        <w:rPr>
          <w:rFonts w:hAnsi="仿宋" w:cs="仿宋"/>
          <w:sz w:val="28"/>
          <w:szCs w:val="28"/>
        </w:rPr>
        <w:t>6、负责本系统党务工作、劳资人事、工会、纪检监察、政治思想、宣传、教育及精神文明建设等工作。</w:t>
      </w:r>
      <w:r>
        <w:rPr>
          <w:rFonts w:hint="eastAsia" w:ascii="宋体" w:hAnsi="宋体" w:cs="宋体"/>
          <w:sz w:val="28"/>
          <w:szCs w:val="28"/>
        </w:rPr>
        <w:t> </w:t>
      </w:r>
    </w:p>
    <w:p>
      <w:pPr>
        <w:widowControl/>
        <w:spacing w:line="600" w:lineRule="exact"/>
        <w:ind w:firstLine="548" w:firstLineChars="196"/>
        <w:jc w:val="left"/>
        <w:rPr>
          <w:rFonts w:hAnsi="仿宋" w:cs="仿宋"/>
          <w:sz w:val="28"/>
          <w:szCs w:val="28"/>
        </w:rPr>
      </w:pPr>
      <w:r>
        <w:rPr>
          <w:rFonts w:hAnsi="仿宋" w:cs="仿宋"/>
          <w:sz w:val="28"/>
          <w:szCs w:val="28"/>
        </w:rPr>
        <w:t>7、承办区委、区政府及主管部门交办的其他事项。</w:t>
      </w:r>
    </w:p>
    <w:p>
      <w:pPr>
        <w:widowControl/>
        <w:spacing w:line="600" w:lineRule="exact"/>
        <w:ind w:firstLine="627" w:firstLineChars="196"/>
        <w:jc w:val="left"/>
      </w:pPr>
      <w:r>
        <w:rPr>
          <w:rFonts w:hint="eastAsia"/>
        </w:rPr>
        <w:t>(二)</w:t>
      </w:r>
      <w:r>
        <w:t>机构设置</w:t>
      </w:r>
    </w:p>
    <w:p>
      <w:pPr>
        <w:widowControl/>
        <w:spacing w:line="600" w:lineRule="exact"/>
        <w:ind w:firstLine="548" w:firstLineChars="196"/>
        <w:jc w:val="left"/>
        <w:rPr>
          <w:rFonts w:hAnsi="仿宋" w:cs="仿宋"/>
          <w:sz w:val="28"/>
          <w:szCs w:val="28"/>
        </w:rPr>
      </w:pPr>
      <w:r>
        <w:rPr>
          <w:rFonts w:hint="eastAsia" w:hAnsi="仿宋" w:cs="仿宋"/>
          <w:sz w:val="28"/>
          <w:szCs w:val="28"/>
        </w:rPr>
        <w:t>长沙市望城区市容环境卫生维护中心的前身为市容环境卫生管理所，成立于1989年，根据2015年10月长沙市望城区委、区政府关于印发《长沙市望城区人民政府职能转变和机构改革方案的实施意见》的通知精神，长沙市望城区市容环境卫生管理所更名为长沙市望城区环卫局，独立运作的正科级事业单位。据2019年7月长编办复【2019】42号《长沙市委机构编制委员会办公室关于核增望城区委组织部领导职数等机构编制事项的批复》，望城区环卫局更名为望城区市容环境卫生维护中心。</w:t>
      </w:r>
    </w:p>
    <w:p>
      <w:pPr>
        <w:widowControl/>
        <w:spacing w:line="600" w:lineRule="exact"/>
        <w:ind w:firstLine="548" w:firstLineChars="196"/>
        <w:jc w:val="left"/>
        <w:rPr>
          <w:rFonts w:hAnsi="仿宋" w:cs="仿宋"/>
          <w:sz w:val="28"/>
          <w:szCs w:val="28"/>
        </w:rPr>
      </w:pPr>
      <w:r>
        <w:rPr>
          <w:rFonts w:hint="eastAsia" w:hAnsi="仿宋" w:cs="仿宋"/>
          <w:sz w:val="28"/>
          <w:szCs w:val="28"/>
        </w:rPr>
        <w:t>2019年在职干部职工36人（含政府雇员一名），退休人员36人，劳务派遣人员10人，内设6个科室分别是办公室、财务科、信息科、征缴科、市容维护科、基建设备科。</w:t>
      </w:r>
    </w:p>
    <w:p>
      <w:pPr>
        <w:widowControl/>
        <w:spacing w:line="600" w:lineRule="exact"/>
        <w:ind w:firstLine="627" w:firstLineChars="196"/>
        <w:jc w:val="left"/>
      </w:pPr>
    </w:p>
    <w:p>
      <w:pPr>
        <w:spacing w:line="600" w:lineRule="exact"/>
        <w:ind w:firstLine="600" w:firstLineChars="200"/>
        <w:rPr>
          <w:rFonts w:ascii="Times New Roman" w:hAnsi="Times New Roman" w:eastAsia="黑体"/>
          <w:sz w:val="30"/>
        </w:rPr>
      </w:pPr>
      <w:r>
        <w:rPr>
          <w:rFonts w:ascii="Times New Roman" w:hAnsi="Times New Roman" w:eastAsia="黑体"/>
          <w:sz w:val="30"/>
        </w:rPr>
        <w:t>二、部门（单位）预算管理及执行情况</w:t>
      </w:r>
    </w:p>
    <w:p>
      <w:pPr>
        <w:snapToGrid w:val="0"/>
        <w:spacing w:line="520" w:lineRule="exact"/>
        <w:ind w:firstLine="643" w:firstLineChars="200"/>
        <w:rPr>
          <w:rFonts w:ascii="楷体_GB2312" w:hAnsi="仿宋" w:eastAsia="楷体_GB2312"/>
          <w:b/>
        </w:rPr>
      </w:pPr>
      <w:r>
        <w:rPr>
          <w:rFonts w:hint="eastAsia" w:ascii="楷体_GB2312" w:hAnsi="仿宋" w:eastAsia="楷体_GB2312"/>
          <w:b/>
        </w:rPr>
        <w:t>（一）收入支出预算安排情况。</w:t>
      </w:r>
    </w:p>
    <w:p>
      <w:pPr>
        <w:snapToGrid w:val="0"/>
        <w:spacing w:line="520" w:lineRule="exact"/>
        <w:ind w:firstLine="560" w:firstLineChars="200"/>
        <w:rPr>
          <w:rFonts w:hAnsi="仿宋"/>
          <w:sz w:val="28"/>
          <w:szCs w:val="28"/>
        </w:rPr>
      </w:pPr>
      <w:r>
        <w:rPr>
          <w:rFonts w:hint="eastAsia" w:hAnsi="仿宋"/>
          <w:sz w:val="28"/>
          <w:szCs w:val="28"/>
        </w:rPr>
        <w:t>本年单位预算收入12075.65万元，其中财政拨款11885.25万元，事业性收费收入190.4万元；支出年初预算基本支出803.65万元，项目支出11272万元。</w:t>
      </w:r>
    </w:p>
    <w:p>
      <w:pPr>
        <w:snapToGrid w:val="0"/>
        <w:spacing w:line="520" w:lineRule="exact"/>
        <w:ind w:firstLine="560" w:firstLineChars="200"/>
        <w:rPr>
          <w:rFonts w:hAnsi="仿宋"/>
          <w:sz w:val="28"/>
          <w:szCs w:val="28"/>
        </w:rPr>
      </w:pPr>
      <w:r>
        <w:rPr>
          <w:rFonts w:hint="eastAsia" w:hAnsi="仿宋"/>
          <w:sz w:val="28"/>
          <w:szCs w:val="28"/>
        </w:rPr>
        <w:t>对比上年预算收入增加423.78万元，支出年初预算基本支出增加151.78万元，增加原因：工资福利支出、对个人和家庭的补助支出增加；项目支出增加272万元，增加原因：城区新增道路增加，环卫清扫专项相应增加。</w:t>
      </w:r>
    </w:p>
    <w:p>
      <w:pPr>
        <w:snapToGrid w:val="0"/>
        <w:spacing w:line="520" w:lineRule="exact"/>
        <w:ind w:firstLine="643" w:firstLineChars="200"/>
        <w:rPr>
          <w:rFonts w:ascii="楷体_GB2312" w:hAnsi="仿宋" w:eastAsia="楷体_GB2312"/>
          <w:b/>
        </w:rPr>
      </w:pPr>
      <w:r>
        <w:rPr>
          <w:rFonts w:hint="eastAsia" w:ascii="楷体_GB2312" w:hAnsi="仿宋" w:eastAsia="楷体_GB2312"/>
          <w:b/>
        </w:rPr>
        <w:t>（二）收入支出预算执行情况。</w:t>
      </w:r>
    </w:p>
    <w:p>
      <w:pPr>
        <w:snapToGrid w:val="0"/>
        <w:spacing w:line="520" w:lineRule="exact"/>
        <w:ind w:firstLine="643" w:firstLineChars="200"/>
        <w:rPr>
          <w:rFonts w:hAnsi="仿宋"/>
          <w:b/>
        </w:rPr>
      </w:pPr>
      <w:r>
        <w:rPr>
          <w:rFonts w:hint="eastAsia" w:hAnsi="仿宋"/>
          <w:b/>
        </w:rPr>
        <w:t>1、收入支出与预算对比分析。</w:t>
      </w:r>
    </w:p>
    <w:tbl>
      <w:tblPr>
        <w:tblStyle w:val="6"/>
        <w:tblpPr w:leftFromText="180" w:rightFromText="180" w:vertAnchor="text" w:horzAnchor="margin" w:tblpY="210"/>
        <w:tblW w:w="0" w:type="auto"/>
        <w:tblInd w:w="0" w:type="dxa"/>
        <w:shd w:val="clear" w:color="auto" w:fill="FFFFFF"/>
        <w:tblLayout w:type="fixed"/>
        <w:tblCellMar>
          <w:top w:w="0" w:type="dxa"/>
          <w:left w:w="0" w:type="dxa"/>
          <w:bottom w:w="0" w:type="dxa"/>
          <w:right w:w="0" w:type="dxa"/>
        </w:tblCellMar>
      </w:tblPr>
      <w:tblGrid>
        <w:gridCol w:w="3600"/>
        <w:gridCol w:w="2340"/>
        <w:gridCol w:w="2520"/>
      </w:tblGrid>
      <w:tr>
        <w:tblPrEx>
          <w:tblCellMar>
            <w:top w:w="0" w:type="dxa"/>
            <w:left w:w="0" w:type="dxa"/>
            <w:bottom w:w="0" w:type="dxa"/>
            <w:right w:w="0" w:type="dxa"/>
          </w:tblCellMar>
        </w:tblPrEx>
        <w:trPr>
          <w:trHeight w:val="375" w:hRule="atLeast"/>
        </w:trPr>
        <w:tc>
          <w:tcPr>
            <w:tcW w:w="3600"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r>
              <w:rPr>
                <w:rFonts w:hint="eastAsia" w:ascii="楷体_GB2312" w:eastAsia="楷体_GB2312"/>
                <w:color w:val="333333"/>
                <w:kern w:val="0"/>
                <w:sz w:val="28"/>
                <w:szCs w:val="28"/>
              </w:rPr>
              <w:t>项</w:t>
            </w:r>
            <w:r>
              <w:rPr>
                <w:rFonts w:hint="eastAsia" w:ascii="宋体" w:hAnsi="宋体"/>
                <w:color w:val="333333"/>
                <w:kern w:val="0"/>
                <w:sz w:val="28"/>
                <w:szCs w:val="28"/>
              </w:rPr>
              <w:t>     </w:t>
            </w:r>
            <w:r>
              <w:rPr>
                <w:rFonts w:hint="eastAsia" w:ascii="楷体_GB2312" w:eastAsia="楷体_GB2312"/>
                <w:color w:val="333333"/>
                <w:kern w:val="0"/>
                <w:sz w:val="28"/>
                <w:szCs w:val="28"/>
              </w:rPr>
              <w:t>目</w:t>
            </w:r>
          </w:p>
        </w:tc>
        <w:tc>
          <w:tcPr>
            <w:tcW w:w="2340" w:type="dxa"/>
            <w:tcBorders>
              <w:top w:val="single" w:color="auto"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r>
              <w:rPr>
                <w:rFonts w:hint="eastAsia" w:ascii="楷体_GB2312" w:eastAsia="楷体_GB2312"/>
                <w:color w:val="333333"/>
                <w:kern w:val="0"/>
                <w:sz w:val="28"/>
                <w:szCs w:val="28"/>
              </w:rPr>
              <w:t>预算数（万元）</w:t>
            </w:r>
          </w:p>
        </w:tc>
        <w:tc>
          <w:tcPr>
            <w:tcW w:w="2520" w:type="dxa"/>
            <w:tcBorders>
              <w:top w:val="single" w:color="auto"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r>
              <w:rPr>
                <w:rFonts w:hint="eastAsia" w:ascii="楷体_GB2312" w:eastAsia="楷体_GB2312"/>
                <w:color w:val="333333"/>
                <w:kern w:val="0"/>
                <w:sz w:val="28"/>
                <w:szCs w:val="28"/>
              </w:rPr>
              <w:t>决算支出数（万元）</w:t>
            </w:r>
          </w:p>
        </w:tc>
      </w:tr>
      <w:tr>
        <w:tblPrEx>
          <w:shd w:val="clear" w:color="auto" w:fill="FFFFFF"/>
          <w:tblCellMar>
            <w:top w:w="0" w:type="dxa"/>
            <w:left w:w="0" w:type="dxa"/>
            <w:bottom w:w="0" w:type="dxa"/>
            <w:right w:w="0" w:type="dxa"/>
          </w:tblCellMar>
        </w:tblPrEx>
        <w:trPr>
          <w:trHeight w:val="375" w:hRule="atLeast"/>
        </w:trPr>
        <w:tc>
          <w:tcPr>
            <w:tcW w:w="3600" w:type="dxa"/>
            <w:tcBorders>
              <w:top w:val="single" w:color="F0F0F0"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hint="eastAsia" w:ascii="楷体_GB2312" w:eastAsia="楷体_GB2312"/>
                <w:color w:val="333333"/>
                <w:kern w:val="0"/>
                <w:sz w:val="28"/>
                <w:szCs w:val="28"/>
              </w:rPr>
              <w:t>一、基本支出</w:t>
            </w:r>
          </w:p>
        </w:tc>
        <w:tc>
          <w:tcPr>
            <w:tcW w:w="234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hint="eastAsia" w:hAnsi="仿宋"/>
                <w:sz w:val="28"/>
                <w:szCs w:val="28"/>
              </w:rPr>
              <w:t>803.65</w:t>
            </w:r>
          </w:p>
        </w:tc>
        <w:tc>
          <w:tcPr>
            <w:tcW w:w="252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ind w:firstLine="735"/>
              <w:jc w:val="left"/>
              <w:rPr>
                <w:color w:val="333333"/>
                <w:kern w:val="0"/>
                <w:sz w:val="28"/>
                <w:szCs w:val="28"/>
              </w:rPr>
            </w:pPr>
            <w:r>
              <w:rPr>
                <w:rFonts w:hint="eastAsia"/>
                <w:color w:val="333333"/>
                <w:kern w:val="0"/>
                <w:sz w:val="28"/>
                <w:szCs w:val="28"/>
              </w:rPr>
              <w:t>964.15</w:t>
            </w:r>
          </w:p>
        </w:tc>
      </w:tr>
      <w:tr>
        <w:tblPrEx>
          <w:shd w:val="clear" w:color="auto" w:fill="FFFFFF"/>
          <w:tblCellMar>
            <w:top w:w="0" w:type="dxa"/>
            <w:left w:w="0" w:type="dxa"/>
            <w:bottom w:w="0" w:type="dxa"/>
            <w:right w:w="0" w:type="dxa"/>
          </w:tblCellMar>
        </w:tblPrEx>
        <w:trPr>
          <w:trHeight w:val="375" w:hRule="atLeast"/>
        </w:trPr>
        <w:tc>
          <w:tcPr>
            <w:tcW w:w="3600" w:type="dxa"/>
            <w:tcBorders>
              <w:top w:val="single" w:color="F0F0F0"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r>
              <w:rPr>
                <w:rFonts w:hint="eastAsia" w:ascii="楷体_GB2312" w:eastAsia="楷体_GB2312"/>
                <w:color w:val="333333"/>
                <w:kern w:val="0"/>
                <w:sz w:val="28"/>
                <w:szCs w:val="28"/>
              </w:rPr>
              <w:t>其中：工资福利支出</w:t>
            </w:r>
          </w:p>
        </w:tc>
        <w:tc>
          <w:tcPr>
            <w:tcW w:w="234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r>
              <w:rPr>
                <w:rFonts w:hint="eastAsia" w:ascii="楷体_GB2312" w:eastAsia="楷体_GB2312"/>
                <w:color w:val="333333"/>
                <w:kern w:val="0"/>
                <w:sz w:val="28"/>
                <w:szCs w:val="28"/>
              </w:rPr>
              <w:t>630.85</w:t>
            </w:r>
          </w:p>
        </w:tc>
        <w:tc>
          <w:tcPr>
            <w:tcW w:w="252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ind w:firstLine="735"/>
              <w:jc w:val="left"/>
              <w:rPr>
                <w:color w:val="333333"/>
                <w:kern w:val="0"/>
                <w:sz w:val="28"/>
                <w:szCs w:val="28"/>
              </w:rPr>
            </w:pPr>
            <w:r>
              <w:rPr>
                <w:rFonts w:hint="eastAsia"/>
                <w:color w:val="333333"/>
                <w:kern w:val="0"/>
                <w:sz w:val="28"/>
                <w:szCs w:val="28"/>
              </w:rPr>
              <w:t>673.79</w:t>
            </w:r>
          </w:p>
        </w:tc>
      </w:tr>
      <w:tr>
        <w:tblPrEx>
          <w:shd w:val="clear" w:color="auto" w:fill="FFFFFF"/>
          <w:tblCellMar>
            <w:top w:w="0" w:type="dxa"/>
            <w:left w:w="0" w:type="dxa"/>
            <w:bottom w:w="0" w:type="dxa"/>
            <w:right w:w="0" w:type="dxa"/>
          </w:tblCellMar>
        </w:tblPrEx>
        <w:trPr>
          <w:trHeight w:val="375" w:hRule="atLeast"/>
        </w:trPr>
        <w:tc>
          <w:tcPr>
            <w:tcW w:w="3600" w:type="dxa"/>
            <w:tcBorders>
              <w:top w:val="single" w:color="F0F0F0"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r>
              <w:rPr>
                <w:rFonts w:hint="eastAsia" w:ascii="楷体_GB2312" w:eastAsia="楷体_GB2312"/>
                <w:color w:val="333333"/>
                <w:kern w:val="0"/>
                <w:sz w:val="28"/>
                <w:szCs w:val="28"/>
              </w:rPr>
              <w:t>对个人和家庭的补助支出</w:t>
            </w:r>
          </w:p>
        </w:tc>
        <w:tc>
          <w:tcPr>
            <w:tcW w:w="234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r>
              <w:rPr>
                <w:rFonts w:hint="eastAsia" w:ascii="楷体_GB2312" w:eastAsia="楷体_GB2312"/>
                <w:color w:val="333333"/>
                <w:kern w:val="0"/>
                <w:sz w:val="28"/>
                <w:szCs w:val="28"/>
              </w:rPr>
              <w:t>118.4</w:t>
            </w:r>
          </w:p>
        </w:tc>
        <w:tc>
          <w:tcPr>
            <w:tcW w:w="252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r>
              <w:rPr>
                <w:rFonts w:hint="eastAsia"/>
                <w:color w:val="333333"/>
                <w:kern w:val="0"/>
                <w:sz w:val="28"/>
                <w:szCs w:val="28"/>
              </w:rPr>
              <w:t>156.07</w:t>
            </w:r>
          </w:p>
        </w:tc>
      </w:tr>
      <w:tr>
        <w:tblPrEx>
          <w:tblCellMar>
            <w:top w:w="0" w:type="dxa"/>
            <w:left w:w="0" w:type="dxa"/>
            <w:bottom w:w="0" w:type="dxa"/>
            <w:right w:w="0" w:type="dxa"/>
          </w:tblCellMar>
        </w:tblPrEx>
        <w:trPr>
          <w:trHeight w:val="375" w:hRule="atLeast"/>
        </w:trPr>
        <w:tc>
          <w:tcPr>
            <w:tcW w:w="3600" w:type="dxa"/>
            <w:tcBorders>
              <w:top w:val="single" w:color="F0F0F0"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r>
              <w:rPr>
                <w:rFonts w:hint="eastAsia" w:ascii="楷体_GB2312" w:eastAsia="楷体_GB2312"/>
                <w:color w:val="333333"/>
                <w:kern w:val="0"/>
                <w:sz w:val="28"/>
                <w:szCs w:val="28"/>
              </w:rPr>
              <w:t>商品和服务支出</w:t>
            </w:r>
          </w:p>
        </w:tc>
        <w:tc>
          <w:tcPr>
            <w:tcW w:w="234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wordWrap w:val="0"/>
              <w:spacing w:line="555" w:lineRule="atLeast"/>
              <w:jc w:val="center"/>
              <w:rPr>
                <w:color w:val="333333"/>
                <w:kern w:val="0"/>
                <w:sz w:val="28"/>
                <w:szCs w:val="28"/>
              </w:rPr>
            </w:pPr>
            <w:r>
              <w:rPr>
                <w:rFonts w:hint="eastAsia"/>
                <w:color w:val="333333"/>
                <w:kern w:val="0"/>
                <w:sz w:val="28"/>
                <w:szCs w:val="28"/>
              </w:rPr>
              <w:t>54.4</w:t>
            </w:r>
          </w:p>
        </w:tc>
        <w:tc>
          <w:tcPr>
            <w:tcW w:w="252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r>
              <w:rPr>
                <w:rFonts w:hint="eastAsia"/>
                <w:color w:val="333333"/>
                <w:kern w:val="0"/>
                <w:sz w:val="28"/>
                <w:szCs w:val="28"/>
              </w:rPr>
              <w:t>134.29</w:t>
            </w:r>
          </w:p>
        </w:tc>
      </w:tr>
      <w:tr>
        <w:tblPrEx>
          <w:shd w:val="clear" w:color="auto" w:fill="FFFFFF"/>
          <w:tblCellMar>
            <w:top w:w="0" w:type="dxa"/>
            <w:left w:w="0" w:type="dxa"/>
            <w:bottom w:w="0" w:type="dxa"/>
            <w:right w:w="0" w:type="dxa"/>
          </w:tblCellMar>
        </w:tblPrEx>
        <w:trPr>
          <w:trHeight w:val="375" w:hRule="atLeast"/>
        </w:trPr>
        <w:tc>
          <w:tcPr>
            <w:tcW w:w="3600" w:type="dxa"/>
            <w:tcBorders>
              <w:top w:val="single" w:color="F0F0F0"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hint="eastAsia" w:ascii="楷体_GB2312" w:eastAsia="楷体_GB2312"/>
                <w:color w:val="333333"/>
                <w:kern w:val="0"/>
                <w:sz w:val="28"/>
                <w:szCs w:val="28"/>
              </w:rPr>
              <w:t>对企事业单位补助</w:t>
            </w:r>
          </w:p>
        </w:tc>
        <w:tc>
          <w:tcPr>
            <w:tcW w:w="234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wordWrap w:val="0"/>
              <w:spacing w:line="555" w:lineRule="atLeast"/>
              <w:jc w:val="center"/>
              <w:rPr>
                <w:rFonts w:ascii="楷体_GB2312" w:eastAsia="楷体_GB2312"/>
                <w:color w:val="333333"/>
                <w:kern w:val="0"/>
                <w:sz w:val="28"/>
                <w:szCs w:val="28"/>
              </w:rPr>
            </w:pPr>
          </w:p>
        </w:tc>
        <w:tc>
          <w:tcPr>
            <w:tcW w:w="252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p>
        </w:tc>
      </w:tr>
      <w:tr>
        <w:tblPrEx>
          <w:shd w:val="clear" w:color="auto" w:fill="FFFFFF"/>
          <w:tblCellMar>
            <w:top w:w="0" w:type="dxa"/>
            <w:left w:w="0" w:type="dxa"/>
            <w:bottom w:w="0" w:type="dxa"/>
            <w:right w:w="0" w:type="dxa"/>
          </w:tblCellMar>
        </w:tblPrEx>
        <w:trPr>
          <w:trHeight w:val="375" w:hRule="atLeast"/>
        </w:trPr>
        <w:tc>
          <w:tcPr>
            <w:tcW w:w="3600" w:type="dxa"/>
            <w:tcBorders>
              <w:top w:val="single" w:color="F0F0F0"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hint="eastAsia" w:ascii="楷体_GB2312" w:eastAsia="楷体_GB2312"/>
                <w:color w:val="333333"/>
                <w:kern w:val="0"/>
                <w:sz w:val="28"/>
                <w:szCs w:val="28"/>
              </w:rPr>
              <w:t>二、项目支出</w:t>
            </w:r>
          </w:p>
        </w:tc>
        <w:tc>
          <w:tcPr>
            <w:tcW w:w="234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ascii="楷体_GB2312" w:eastAsia="楷体_GB2312"/>
                <w:color w:val="333333"/>
                <w:kern w:val="0"/>
                <w:sz w:val="28"/>
                <w:szCs w:val="28"/>
              </w:rPr>
              <w:t>1</w:t>
            </w:r>
            <w:r>
              <w:rPr>
                <w:rFonts w:hint="eastAsia" w:ascii="楷体_GB2312" w:eastAsia="楷体_GB2312"/>
                <w:color w:val="333333"/>
                <w:kern w:val="0"/>
                <w:sz w:val="28"/>
                <w:szCs w:val="28"/>
              </w:rPr>
              <w:t>1272</w:t>
            </w:r>
          </w:p>
        </w:tc>
        <w:tc>
          <w:tcPr>
            <w:tcW w:w="252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hint="eastAsia" w:ascii="楷体_GB2312" w:eastAsia="楷体_GB2312"/>
                <w:color w:val="333333"/>
                <w:kern w:val="0"/>
                <w:sz w:val="28"/>
                <w:szCs w:val="28"/>
              </w:rPr>
              <w:t>10805.58</w:t>
            </w:r>
          </w:p>
        </w:tc>
      </w:tr>
      <w:tr>
        <w:tblPrEx>
          <w:shd w:val="clear" w:color="auto" w:fill="FFFFFF"/>
          <w:tblCellMar>
            <w:top w:w="0" w:type="dxa"/>
            <w:left w:w="0" w:type="dxa"/>
            <w:bottom w:w="0" w:type="dxa"/>
            <w:right w:w="0" w:type="dxa"/>
          </w:tblCellMar>
        </w:tblPrEx>
        <w:trPr>
          <w:trHeight w:val="375" w:hRule="atLeast"/>
        </w:trPr>
        <w:tc>
          <w:tcPr>
            <w:tcW w:w="3600" w:type="dxa"/>
            <w:tcBorders>
              <w:top w:val="single" w:color="F0F0F0"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hint="eastAsia" w:ascii="楷体_GB2312" w:eastAsia="楷体_GB2312"/>
                <w:color w:val="333333"/>
                <w:kern w:val="0"/>
                <w:sz w:val="28"/>
                <w:szCs w:val="28"/>
              </w:rPr>
              <w:t>其中：商品和服务支出</w:t>
            </w:r>
          </w:p>
        </w:tc>
        <w:tc>
          <w:tcPr>
            <w:tcW w:w="234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ascii="楷体_GB2312" w:eastAsia="楷体_GB2312"/>
                <w:color w:val="333333"/>
                <w:kern w:val="0"/>
                <w:sz w:val="28"/>
                <w:szCs w:val="28"/>
              </w:rPr>
              <w:t>1</w:t>
            </w:r>
            <w:r>
              <w:rPr>
                <w:rFonts w:hint="eastAsia" w:ascii="楷体_GB2312" w:eastAsia="楷体_GB2312"/>
                <w:color w:val="333333"/>
                <w:kern w:val="0"/>
                <w:sz w:val="28"/>
                <w:szCs w:val="28"/>
              </w:rPr>
              <w:t>1272</w:t>
            </w:r>
          </w:p>
        </w:tc>
        <w:tc>
          <w:tcPr>
            <w:tcW w:w="252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hint="eastAsia" w:ascii="楷体_GB2312" w:eastAsia="楷体_GB2312"/>
                <w:color w:val="333333"/>
                <w:kern w:val="0"/>
                <w:sz w:val="28"/>
                <w:szCs w:val="28"/>
              </w:rPr>
              <w:t>10805.58</w:t>
            </w:r>
          </w:p>
        </w:tc>
      </w:tr>
      <w:tr>
        <w:tblPrEx>
          <w:shd w:val="clear" w:color="auto" w:fill="FFFFFF"/>
          <w:tblCellMar>
            <w:top w:w="0" w:type="dxa"/>
            <w:left w:w="0" w:type="dxa"/>
            <w:bottom w:w="0" w:type="dxa"/>
            <w:right w:w="0" w:type="dxa"/>
          </w:tblCellMar>
        </w:tblPrEx>
        <w:trPr>
          <w:trHeight w:val="375" w:hRule="atLeast"/>
        </w:trPr>
        <w:tc>
          <w:tcPr>
            <w:tcW w:w="3600" w:type="dxa"/>
            <w:tcBorders>
              <w:top w:val="single" w:color="F0F0F0"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hint="eastAsia" w:ascii="楷体_GB2312" w:eastAsia="楷体_GB2312"/>
                <w:color w:val="333333"/>
                <w:kern w:val="0"/>
                <w:sz w:val="28"/>
                <w:szCs w:val="28"/>
              </w:rPr>
              <w:t>其他资本性支出</w:t>
            </w:r>
          </w:p>
        </w:tc>
        <w:tc>
          <w:tcPr>
            <w:tcW w:w="234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p>
        </w:tc>
        <w:tc>
          <w:tcPr>
            <w:tcW w:w="252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p>
        </w:tc>
      </w:tr>
      <w:tr>
        <w:tblPrEx>
          <w:shd w:val="clear" w:color="auto" w:fill="FFFFFF"/>
          <w:tblCellMar>
            <w:top w:w="0" w:type="dxa"/>
            <w:left w:w="0" w:type="dxa"/>
            <w:bottom w:w="0" w:type="dxa"/>
            <w:right w:w="0" w:type="dxa"/>
          </w:tblCellMar>
        </w:tblPrEx>
        <w:trPr>
          <w:trHeight w:val="375" w:hRule="atLeast"/>
        </w:trPr>
        <w:tc>
          <w:tcPr>
            <w:tcW w:w="3600" w:type="dxa"/>
            <w:tcBorders>
              <w:top w:val="single" w:color="F0F0F0"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r>
              <w:rPr>
                <w:rFonts w:hint="eastAsia" w:ascii="楷体_GB2312" w:eastAsia="楷体_GB2312"/>
                <w:color w:val="333333"/>
                <w:kern w:val="0"/>
                <w:sz w:val="28"/>
                <w:szCs w:val="28"/>
              </w:rPr>
              <w:t>　合</w:t>
            </w:r>
            <w:r>
              <w:rPr>
                <w:rFonts w:hint="eastAsia" w:ascii="宋体" w:hAnsi="宋体"/>
                <w:color w:val="333333"/>
                <w:kern w:val="0"/>
                <w:sz w:val="28"/>
                <w:szCs w:val="28"/>
              </w:rPr>
              <w:t>   </w:t>
            </w:r>
            <w:r>
              <w:rPr>
                <w:rFonts w:hint="eastAsia" w:ascii="楷体_GB2312" w:eastAsia="楷体_GB2312"/>
                <w:color w:val="333333"/>
                <w:kern w:val="0"/>
                <w:sz w:val="28"/>
                <w:szCs w:val="28"/>
              </w:rPr>
              <w:t>计</w:t>
            </w:r>
          </w:p>
        </w:tc>
        <w:tc>
          <w:tcPr>
            <w:tcW w:w="234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hint="eastAsia" w:hAnsi="仿宋"/>
                <w:sz w:val="28"/>
                <w:szCs w:val="28"/>
              </w:rPr>
              <w:t>12075.65</w:t>
            </w:r>
          </w:p>
        </w:tc>
        <w:tc>
          <w:tcPr>
            <w:tcW w:w="252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hint="eastAsia" w:hAnsi="仿宋"/>
                <w:sz w:val="28"/>
                <w:szCs w:val="28"/>
              </w:rPr>
              <w:t>11769.73</w:t>
            </w:r>
          </w:p>
        </w:tc>
      </w:tr>
    </w:tbl>
    <w:p>
      <w:pPr>
        <w:snapToGrid w:val="0"/>
        <w:spacing w:line="520" w:lineRule="exact"/>
        <w:ind w:firstLine="560" w:firstLineChars="200"/>
        <w:rPr>
          <w:rFonts w:hAnsi="仿宋"/>
          <w:sz w:val="28"/>
          <w:szCs w:val="28"/>
        </w:rPr>
      </w:pPr>
    </w:p>
    <w:p>
      <w:pPr>
        <w:snapToGrid w:val="0"/>
        <w:spacing w:line="520" w:lineRule="exact"/>
        <w:ind w:firstLine="560" w:firstLineChars="200"/>
        <w:rPr>
          <w:rFonts w:hAnsi="仿宋"/>
          <w:sz w:val="28"/>
          <w:szCs w:val="28"/>
        </w:rPr>
      </w:pPr>
      <w:r>
        <w:rPr>
          <w:rFonts w:hint="eastAsia" w:hAnsi="仿宋"/>
          <w:sz w:val="28"/>
          <w:szCs w:val="28"/>
        </w:rPr>
        <w:t>2、</w:t>
      </w:r>
      <w:r>
        <w:rPr>
          <w:rFonts w:hint="eastAsia" w:hAnsi="仿宋"/>
          <w:b/>
          <w:sz w:val="28"/>
          <w:szCs w:val="28"/>
        </w:rPr>
        <w:t>差异原因分析。</w:t>
      </w:r>
      <w:r>
        <w:rPr>
          <w:rFonts w:hint="eastAsia" w:hAnsi="仿宋"/>
          <w:sz w:val="28"/>
          <w:szCs w:val="28"/>
        </w:rPr>
        <w:t>基本支出中商品和服务支出决算比预算增加79.89万元，主要原因是专用燃料费和劳务费增加，专用燃料费为蓝天保卫战车辆用油；劳务费为劳务派遣人员支出。</w:t>
      </w:r>
    </w:p>
    <w:p>
      <w:pPr>
        <w:snapToGrid w:val="0"/>
        <w:spacing w:line="520" w:lineRule="exact"/>
        <w:ind w:firstLine="560" w:firstLineChars="200"/>
        <w:rPr>
          <w:rFonts w:hAnsi="仿宋"/>
          <w:sz w:val="28"/>
          <w:szCs w:val="28"/>
        </w:rPr>
      </w:pPr>
      <w:r>
        <w:rPr>
          <w:rFonts w:hint="eastAsia" w:hAnsi="仿宋"/>
          <w:sz w:val="28"/>
          <w:szCs w:val="28"/>
        </w:rPr>
        <w:t>项目支出决算比预算减少466.42万元，主要原因是垃圾转运10-12月份委托业务费暂未支付。</w:t>
      </w:r>
    </w:p>
    <w:p>
      <w:pPr>
        <w:snapToGrid w:val="0"/>
        <w:spacing w:line="520" w:lineRule="exact"/>
        <w:ind w:firstLine="640" w:firstLineChars="200"/>
        <w:rPr>
          <w:rFonts w:hAnsi="仿宋"/>
        </w:rPr>
      </w:pP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三、</w:t>
      </w:r>
      <w:r>
        <w:rPr>
          <w:rFonts w:ascii="Times New Roman" w:hAnsi="Times New Roman" w:eastAsia="黑体"/>
          <w:sz w:val="30"/>
        </w:rPr>
        <w:t>单位</w:t>
      </w:r>
      <w:r>
        <w:rPr>
          <w:rFonts w:hint="eastAsia" w:ascii="Times New Roman" w:hAnsi="Times New Roman" w:eastAsia="黑体"/>
          <w:sz w:val="30"/>
        </w:rPr>
        <w:t>资产管理情况</w:t>
      </w:r>
    </w:p>
    <w:p>
      <w:pPr>
        <w:ind w:firstLine="630" w:firstLineChars="225"/>
        <w:rPr>
          <w:sz w:val="28"/>
          <w:szCs w:val="28"/>
        </w:rPr>
      </w:pPr>
      <w:r>
        <w:rPr>
          <w:rFonts w:hint="eastAsia" w:hAnsi="宋体" w:cs="宋体"/>
          <w:sz w:val="28"/>
          <w:szCs w:val="28"/>
        </w:rPr>
        <w:t>年末单位资产总计565.68万元，其中流动资产88.89万元，固定资产净值444.23万元，无形资产32.56万元，在建工程为0。</w:t>
      </w:r>
      <w:r>
        <w:rPr>
          <w:rFonts w:hint="eastAsia"/>
          <w:sz w:val="28"/>
          <w:szCs w:val="28"/>
        </w:rPr>
        <w:t>资产构成占资产总额比例情况如下表：</w:t>
      </w:r>
    </w:p>
    <w:p>
      <w:pPr>
        <w:ind w:firstLine="630" w:firstLineChars="225"/>
        <w:rPr>
          <w:sz w:val="28"/>
          <w:szCs w:val="28"/>
        </w:rPr>
      </w:pPr>
    </w:p>
    <w:tbl>
      <w:tblPr>
        <w:tblStyle w:val="7"/>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706"/>
        <w:gridCol w:w="1726"/>
        <w:gridCol w:w="1726"/>
        <w:gridCol w:w="1722"/>
        <w:gridCol w:w="164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706" w:type="dxa"/>
            <w:vAlign w:val="center"/>
          </w:tcPr>
          <w:p>
            <w:pPr>
              <w:jc w:val="center"/>
              <w:rPr>
                <w:sz w:val="28"/>
                <w:szCs w:val="28"/>
              </w:rPr>
            </w:pPr>
            <w:r>
              <w:rPr>
                <w:rFonts w:hint="eastAsia"/>
                <w:sz w:val="28"/>
                <w:szCs w:val="28"/>
              </w:rPr>
              <w:t>资产构成</w:t>
            </w:r>
          </w:p>
        </w:tc>
        <w:tc>
          <w:tcPr>
            <w:tcW w:w="1726" w:type="dxa"/>
            <w:vAlign w:val="center"/>
          </w:tcPr>
          <w:p>
            <w:pPr>
              <w:jc w:val="center"/>
              <w:rPr>
                <w:sz w:val="28"/>
                <w:szCs w:val="28"/>
              </w:rPr>
            </w:pPr>
            <w:r>
              <w:rPr>
                <w:rFonts w:hint="eastAsia"/>
                <w:sz w:val="28"/>
                <w:szCs w:val="28"/>
              </w:rPr>
              <w:t>流动资产</w:t>
            </w:r>
          </w:p>
        </w:tc>
        <w:tc>
          <w:tcPr>
            <w:tcW w:w="1726" w:type="dxa"/>
            <w:vAlign w:val="center"/>
          </w:tcPr>
          <w:p>
            <w:pPr>
              <w:jc w:val="center"/>
              <w:rPr>
                <w:sz w:val="28"/>
                <w:szCs w:val="28"/>
              </w:rPr>
            </w:pPr>
            <w:r>
              <w:rPr>
                <w:rFonts w:hint="eastAsia"/>
                <w:sz w:val="28"/>
                <w:szCs w:val="28"/>
              </w:rPr>
              <w:t>固定资产净值</w:t>
            </w:r>
          </w:p>
        </w:tc>
        <w:tc>
          <w:tcPr>
            <w:tcW w:w="1722" w:type="dxa"/>
            <w:vAlign w:val="center"/>
          </w:tcPr>
          <w:p>
            <w:pPr>
              <w:jc w:val="center"/>
              <w:rPr>
                <w:sz w:val="28"/>
                <w:szCs w:val="28"/>
              </w:rPr>
            </w:pPr>
            <w:r>
              <w:rPr>
                <w:rFonts w:hint="eastAsia"/>
                <w:sz w:val="28"/>
                <w:szCs w:val="28"/>
              </w:rPr>
              <w:t>无形资产</w:t>
            </w:r>
          </w:p>
        </w:tc>
        <w:tc>
          <w:tcPr>
            <w:tcW w:w="1642" w:type="dxa"/>
            <w:vAlign w:val="center"/>
          </w:tcPr>
          <w:p>
            <w:pPr>
              <w:jc w:val="center"/>
              <w:rPr>
                <w:sz w:val="28"/>
                <w:szCs w:val="28"/>
              </w:rPr>
            </w:pPr>
            <w:r>
              <w:rPr>
                <w:rFonts w:hint="eastAsia"/>
                <w:sz w:val="28"/>
                <w:szCs w:val="28"/>
              </w:rPr>
              <w:t>在建工程</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706" w:type="dxa"/>
            <w:vAlign w:val="center"/>
          </w:tcPr>
          <w:p>
            <w:pPr>
              <w:jc w:val="center"/>
              <w:rPr>
                <w:sz w:val="28"/>
                <w:szCs w:val="28"/>
              </w:rPr>
            </w:pPr>
            <w:r>
              <w:rPr>
                <w:rFonts w:hint="eastAsia"/>
                <w:sz w:val="28"/>
                <w:szCs w:val="28"/>
              </w:rPr>
              <w:t>占资产总额比例</w:t>
            </w:r>
          </w:p>
        </w:tc>
        <w:tc>
          <w:tcPr>
            <w:tcW w:w="1726" w:type="dxa"/>
            <w:vAlign w:val="center"/>
          </w:tcPr>
          <w:p>
            <w:pPr>
              <w:jc w:val="center"/>
              <w:rPr>
                <w:sz w:val="28"/>
                <w:szCs w:val="28"/>
              </w:rPr>
            </w:pPr>
            <w:r>
              <w:rPr>
                <w:rFonts w:hint="eastAsia"/>
                <w:sz w:val="28"/>
                <w:szCs w:val="28"/>
              </w:rPr>
              <w:t>15.71%</w:t>
            </w:r>
          </w:p>
        </w:tc>
        <w:tc>
          <w:tcPr>
            <w:tcW w:w="1726" w:type="dxa"/>
            <w:vAlign w:val="center"/>
          </w:tcPr>
          <w:p>
            <w:pPr>
              <w:jc w:val="center"/>
              <w:rPr>
                <w:sz w:val="28"/>
                <w:szCs w:val="28"/>
              </w:rPr>
            </w:pPr>
            <w:r>
              <w:rPr>
                <w:rFonts w:hint="eastAsia"/>
                <w:sz w:val="28"/>
                <w:szCs w:val="28"/>
              </w:rPr>
              <w:t>78.54%</w:t>
            </w:r>
          </w:p>
        </w:tc>
        <w:tc>
          <w:tcPr>
            <w:tcW w:w="1722" w:type="dxa"/>
            <w:vAlign w:val="center"/>
          </w:tcPr>
          <w:p>
            <w:pPr>
              <w:jc w:val="center"/>
              <w:rPr>
                <w:sz w:val="28"/>
                <w:szCs w:val="28"/>
              </w:rPr>
            </w:pPr>
            <w:r>
              <w:rPr>
                <w:rFonts w:hint="eastAsia"/>
                <w:sz w:val="28"/>
                <w:szCs w:val="28"/>
              </w:rPr>
              <w:t>5.75%</w:t>
            </w:r>
          </w:p>
        </w:tc>
        <w:tc>
          <w:tcPr>
            <w:tcW w:w="1642" w:type="dxa"/>
            <w:vAlign w:val="center"/>
          </w:tcPr>
          <w:p>
            <w:pPr>
              <w:jc w:val="center"/>
              <w:rPr>
                <w:sz w:val="28"/>
                <w:szCs w:val="28"/>
              </w:rPr>
            </w:pPr>
            <w:r>
              <w:rPr>
                <w:rFonts w:hint="eastAsia"/>
                <w:sz w:val="28"/>
                <w:szCs w:val="28"/>
              </w:rPr>
              <w:t>0</w:t>
            </w:r>
          </w:p>
        </w:tc>
      </w:tr>
    </w:tbl>
    <w:p>
      <w:pPr>
        <w:spacing w:line="600" w:lineRule="exact"/>
        <w:ind w:firstLine="600" w:firstLineChars="200"/>
        <w:rPr>
          <w:rFonts w:ascii="Times New Roman" w:hAnsi="Times New Roman" w:eastAsia="黑体"/>
          <w:sz w:val="30"/>
        </w:rPr>
      </w:pPr>
    </w:p>
    <w:p>
      <w:pPr>
        <w:tabs>
          <w:tab w:val="left" w:pos="8595"/>
        </w:tabs>
        <w:ind w:firstLine="560" w:firstLineChars="200"/>
        <w:rPr>
          <w:sz w:val="28"/>
          <w:szCs w:val="28"/>
        </w:rPr>
      </w:pPr>
      <w:r>
        <w:rPr>
          <w:rFonts w:hint="eastAsia"/>
          <w:sz w:val="28"/>
          <w:szCs w:val="28"/>
        </w:rPr>
        <w:t>严格按上级文件望财国资【2018】33号要求进行资产配置，保障单位日常办公运行，资产得到有效充分使用 。没有增值的资产，房屋及构筑物老旧，不具有保值的效益，唯一的无形资产土地具有保值效益。</w:t>
      </w:r>
    </w:p>
    <w:p>
      <w:pPr>
        <w:tabs>
          <w:tab w:val="left" w:pos="8595"/>
        </w:tabs>
        <w:ind w:firstLine="480" w:firstLineChars="150"/>
      </w:pPr>
      <w:r>
        <w:rPr>
          <w:rFonts w:hint="eastAsia"/>
        </w:rPr>
        <w:t>人均占有办公室使用面积5.45平方米、人均占有通用设备数量1.92个；出租出借收益率为0、对外投资收益率为0。</w:t>
      </w:r>
    </w:p>
    <w:p>
      <w:pPr>
        <w:spacing w:line="600" w:lineRule="exact"/>
        <w:ind w:firstLine="600" w:firstLineChars="200"/>
        <w:rPr>
          <w:rFonts w:ascii="Times New Roman" w:hAnsi="Times New Roman" w:eastAsia="黑体"/>
          <w:sz w:val="30"/>
        </w:rPr>
      </w:pP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四</w:t>
      </w:r>
      <w:r>
        <w:rPr>
          <w:rFonts w:ascii="Times New Roman" w:hAnsi="Times New Roman" w:eastAsia="黑体"/>
          <w:sz w:val="30"/>
        </w:rPr>
        <w:t>、单位整体支出绩效目标及开展情况</w:t>
      </w:r>
    </w:p>
    <w:p>
      <w:pPr>
        <w:spacing w:line="600" w:lineRule="exact"/>
        <w:ind w:firstLine="600" w:firstLineChars="200"/>
        <w:rPr>
          <w:rFonts w:ascii="Times New Roman" w:hAnsi="Times New Roman" w:eastAsia="黑体"/>
          <w:sz w:val="30"/>
        </w:rPr>
      </w:pPr>
    </w:p>
    <w:tbl>
      <w:tblPr>
        <w:tblStyle w:val="6"/>
        <w:tblW w:w="906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03"/>
        <w:gridCol w:w="503"/>
        <w:gridCol w:w="91"/>
        <w:gridCol w:w="412"/>
        <w:gridCol w:w="180"/>
        <w:gridCol w:w="323"/>
        <w:gridCol w:w="156"/>
        <w:gridCol w:w="627"/>
        <w:gridCol w:w="517"/>
        <w:gridCol w:w="537"/>
        <w:gridCol w:w="1231"/>
        <w:gridCol w:w="569"/>
        <w:gridCol w:w="146"/>
        <w:gridCol w:w="363"/>
        <w:gridCol w:w="1593"/>
        <w:gridCol w:w="717"/>
        <w:gridCol w:w="59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部门名称</w:t>
            </w:r>
          </w:p>
        </w:tc>
        <w:tc>
          <w:tcPr>
            <w:tcW w:w="3960" w:type="dxa"/>
            <w:gridSpan w:val="7"/>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长沙市望城区市容环境卫生维护中心</w:t>
            </w:r>
          </w:p>
        </w:tc>
        <w:tc>
          <w:tcPr>
            <w:tcW w:w="2102"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下属单位个数</w:t>
            </w:r>
          </w:p>
        </w:tc>
        <w:tc>
          <w:tcPr>
            <w:tcW w:w="1312"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整体支出规模</w:t>
            </w:r>
          </w:p>
        </w:tc>
        <w:tc>
          <w:tcPr>
            <w:tcW w:w="2160" w:type="dxa"/>
            <w:gridSpan w:val="5"/>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项目</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全年预算数</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全年执行数</w:t>
            </w:r>
          </w:p>
        </w:tc>
        <w:tc>
          <w:tcPr>
            <w:tcW w:w="595" w:type="dxa"/>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执行率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来</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源</w:t>
            </w:r>
          </w:p>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120756479</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117697280.35</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97%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（1）财政拨款</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120756479</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117697280.35</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97%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（2）其他资金</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结</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构</w:t>
            </w:r>
          </w:p>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120756479</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117697280.35</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97%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（1）基本支出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8036479　</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9641528.79</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tabs>
                <w:tab w:val="left" w:pos="567"/>
              </w:tabs>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（2）项目支出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112720000</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108055751.56</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96%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28" w:hRule="atLeast"/>
          <w:jc w:val="center"/>
        </w:trPr>
        <w:tc>
          <w:tcPr>
            <w:tcW w:w="1097" w:type="dxa"/>
            <w:gridSpan w:val="3"/>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年度总</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体目标</w:t>
            </w:r>
          </w:p>
        </w:tc>
        <w:tc>
          <w:tcPr>
            <w:tcW w:w="3983" w:type="dxa"/>
            <w:gridSpan w:val="8"/>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年初设定目标</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50" w:hRule="atLeast"/>
          <w:jc w:val="center"/>
        </w:trPr>
        <w:tc>
          <w:tcPr>
            <w:tcW w:w="1097" w:type="dxa"/>
            <w:gridSpan w:val="3"/>
            <w:vMerge w:val="continue"/>
            <w:tcBorders>
              <w:tl2br w:val="nil"/>
              <w:tr2bl w:val="nil"/>
            </w:tcBorders>
            <w:vAlign w:val="center"/>
          </w:tcPr>
          <w:p>
            <w:pPr>
              <w:spacing w:line="250" w:lineRule="exact"/>
              <w:rPr>
                <w:rFonts w:asciiTheme="minorEastAsia" w:hAnsiTheme="minorEastAsia" w:eastAsiaTheme="minorEastAsia" w:cstheme="minorEastAsia"/>
                <w:color w:val="000000"/>
                <w:sz w:val="18"/>
                <w:szCs w:val="18"/>
              </w:rPr>
            </w:pPr>
          </w:p>
        </w:tc>
        <w:tc>
          <w:tcPr>
            <w:tcW w:w="3983" w:type="dxa"/>
            <w:gridSpan w:val="8"/>
            <w:tcBorders>
              <w:tl2br w:val="nil"/>
              <w:tr2bl w:val="nil"/>
            </w:tcBorders>
            <w:tcMar>
              <w:top w:w="15" w:type="dxa"/>
              <w:left w:w="15" w:type="dxa"/>
              <w:bottom w:w="0" w:type="dxa"/>
              <w:right w:w="15" w:type="dxa"/>
            </w:tcMar>
            <w:vAlign w:val="center"/>
          </w:tcPr>
          <w:p>
            <w:pPr>
              <w:widowControl/>
              <w:jc w:val="left"/>
              <w:rPr>
                <w:kern w:val="0"/>
                <w:sz w:val="18"/>
                <w:szCs w:val="18"/>
              </w:rPr>
            </w:pPr>
            <w:r>
              <w:rPr>
                <w:rFonts w:hint="eastAsia" w:asciiTheme="minorEastAsia" w:hAnsiTheme="minorEastAsia" w:eastAsiaTheme="minorEastAsia" w:cstheme="minorEastAsia"/>
                <w:color w:val="000000"/>
                <w:sz w:val="18"/>
                <w:szCs w:val="18"/>
              </w:rPr>
              <w:t>　</w:t>
            </w:r>
            <w:r>
              <w:rPr>
                <w:rFonts w:hint="eastAsia"/>
                <w:kern w:val="0"/>
                <w:sz w:val="18"/>
                <w:szCs w:val="18"/>
              </w:rPr>
              <w:t>目标</w:t>
            </w:r>
            <w:r>
              <w:rPr>
                <w:kern w:val="0"/>
                <w:sz w:val="18"/>
                <w:szCs w:val="18"/>
              </w:rPr>
              <w:t>1</w:t>
            </w:r>
            <w:r>
              <w:rPr>
                <w:rFonts w:hint="eastAsia" w:ascii="宋体" w:hAnsi="宋体"/>
                <w:kern w:val="0"/>
                <w:sz w:val="18"/>
                <w:szCs w:val="18"/>
              </w:rPr>
              <w:t>：</w:t>
            </w:r>
            <w:r>
              <w:rPr>
                <w:rFonts w:hint="eastAsia"/>
                <w:kern w:val="0"/>
                <w:sz w:val="18"/>
                <w:szCs w:val="18"/>
              </w:rPr>
              <w:t>单位各项日常工作正常开展</w:t>
            </w:r>
          </w:p>
          <w:p>
            <w:pPr>
              <w:spacing w:line="250" w:lineRule="exact"/>
              <w:jc w:val="center"/>
              <w:rPr>
                <w:rFonts w:asciiTheme="minorEastAsia" w:hAnsiTheme="minorEastAsia" w:eastAsiaTheme="minorEastAsia" w:cstheme="minorEastAsia"/>
                <w:color w:val="000000"/>
                <w:sz w:val="18"/>
                <w:szCs w:val="18"/>
              </w:rPr>
            </w:pPr>
            <w:r>
              <w:rPr>
                <w:rFonts w:hint="eastAsia"/>
                <w:kern w:val="0"/>
                <w:sz w:val="18"/>
                <w:szCs w:val="18"/>
              </w:rPr>
              <w:t>目标</w:t>
            </w:r>
            <w:r>
              <w:rPr>
                <w:kern w:val="0"/>
                <w:sz w:val="18"/>
                <w:szCs w:val="18"/>
              </w:rPr>
              <w:t>2</w:t>
            </w:r>
            <w:r>
              <w:rPr>
                <w:rFonts w:hint="eastAsia" w:ascii="宋体" w:hAnsi="宋体"/>
                <w:kern w:val="0"/>
                <w:sz w:val="18"/>
                <w:szCs w:val="18"/>
              </w:rPr>
              <w:t>：高质高量完成我区环境维护管理工作</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1" w:hRule="atLeast"/>
          <w:jc w:val="center"/>
        </w:trPr>
        <w:tc>
          <w:tcPr>
            <w:tcW w:w="9063" w:type="dxa"/>
            <w:gridSpan w:val="17"/>
            <w:tcBorders>
              <w:tl2br w:val="nil"/>
              <w:tr2bl w:val="nil"/>
            </w:tcBorders>
            <w:vAlign w:val="center"/>
          </w:tcPr>
          <w:p>
            <w:pPr>
              <w:spacing w:line="250" w:lineRule="exact"/>
              <w:jc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分解目标自评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blHeader/>
          <w:jc w:val="center"/>
        </w:trPr>
        <w:tc>
          <w:tcPr>
            <w:tcW w:w="503" w:type="dxa"/>
            <w:tcBorders>
              <w:tl2br w:val="nil"/>
              <w:tr2bl w:val="nil"/>
            </w:tcBorders>
            <w:vAlign w:val="center"/>
          </w:tcPr>
          <w:p>
            <w:pPr>
              <w:spacing w:line="240" w:lineRule="auto"/>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一级指标</w:t>
            </w:r>
          </w:p>
        </w:tc>
        <w:tc>
          <w:tcPr>
            <w:tcW w:w="503"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50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二级</w:t>
            </w:r>
          </w:p>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0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78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三级</w:t>
            </w:r>
          </w:p>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17"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2483" w:type="dxa"/>
            <w:gridSpan w:val="4"/>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评价标准</w:t>
            </w:r>
          </w:p>
        </w:tc>
        <w:tc>
          <w:tcPr>
            <w:tcW w:w="2673" w:type="dxa"/>
            <w:gridSpan w:val="3"/>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指标说明</w:t>
            </w:r>
          </w:p>
        </w:tc>
        <w:tc>
          <w:tcPr>
            <w:tcW w:w="595"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得分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680"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投入</w:t>
            </w:r>
          </w:p>
        </w:tc>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预算配置</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以100%为标准。在职人员控制率≦100%，计5分；每超过一个百分点扣0.5分，扣完为止。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在职人员控制率=（在职人员数/编制数）×100%，在职人员数：部门（单位）实际在职人数，以财政厅确定的部门决算编制口径为准。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编制数：机构编制部门核定批复的部门（单位）的人员编制数。</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49"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“三公经费”变动率≦0,计5分；“三公经费”＞0，每超过一个百分点扣0.8分，扣完为止。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“三公经费”变动率=[（本年度“三公经费”预算数-上年度“三公经费”预算数）/上年度“三公经费”预算数]×100%</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asciiTheme="minorEastAsia" w:hAnsiTheme="minorEastAsia" w:eastAsiaTheme="minorEastAsia" w:cstheme="minorEastAsia"/>
                <w:kern w:val="0"/>
                <w:sz w:val="18"/>
                <w:szCs w:val="18"/>
              </w:rPr>
            </w:pPr>
          </w:p>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预算执行</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20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100%计满分，每低于5%扣2分，扣完为止。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预算完成率=（上年结转+年初预算+本年追加预算-年末结余）/（上年结转+年初预算+本年追加预算）×100%。</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预算控制率=0，计5分；0-10%（含），计4分；10-20%（含），计3分；20-30%（含），计2分；大于30%不得分。</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预算控制率=（本年追加预算/年初预算）×100%。</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新建楼堂馆所面积控制率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100%以下（含）计满分，每超出5%扣2分，扣完为止。没有楼堂馆所项目的部门按满分计算。</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楼堂馆所面积控制率=实际建设面积/批准建设面积×100%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新建楼堂馆所投资概算控制率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楼堂馆所投资预算控制率=实际投资金额/批准投资金额×100%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公用经费控制率=（实际支出公用经费总额/预算安排公用经费总额）×100%。</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公用经费支出是指部门基本支出中的一般商品和服务支出。</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7</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“三公经费”控制率=（“三公经费”实际支出数/“三公经费”预算安排数）×100%。</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100%计满分，每超过（降低）5%扣2分。扣完为止。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政府采购执行率=（实际政府采购金额/政府采购预算数）×100%</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rPr>
              <w:t>　4</w:t>
            </w:r>
            <w:r>
              <w:rPr>
                <w:rFonts w:hint="eastAsia" w:asciiTheme="minorEastAsia" w:hAnsiTheme="minorEastAsia" w:eastAsiaTheme="minorEastAsia" w:cstheme="minorEastAsia"/>
                <w:kern w:val="0"/>
                <w:sz w:val="18"/>
                <w:szCs w:val="18"/>
                <w:shd w:val="clear" w:color="auto" w:fill="FFFFFF"/>
              </w:rPr>
              <w:fldChar w:fldCharType="begin">
                <w:fldData xml:space="preserve">QQAyADgAOAA0ADIANgBBAEUANwBDADYANABEADMARABCADQAQgA1ADEAQgAzAEIAQgBBAEIARAAy
ADcARQAzAA==
</w:fldData>
              </w:fldChar>
            </w:r>
            <w:r>
              <w:rPr>
                <w:rFonts w:hint="eastAsia" w:asciiTheme="minorEastAsia" w:hAnsiTheme="minorEastAsia" w:eastAsiaTheme="minorEastAsia" w:cstheme="minorEastAsia"/>
                <w:kern w:val="0"/>
                <w:sz w:val="18"/>
                <w:szCs w:val="18"/>
                <w:shd w:val="clear" w:color="auto" w:fill="FFFFFF"/>
              </w:rPr>
              <w:instrText xml:space="preserve">Addin PF9</w:instrText>
            </w:r>
            <w:r>
              <w:rPr>
                <w:rFonts w:hint="eastAsia" w:asciiTheme="minorEastAsia" w:hAnsiTheme="minorEastAsia" w:eastAsiaTheme="minorEastAsia" w:cstheme="minorEastAsia"/>
                <w:kern w:val="0"/>
                <w:sz w:val="18"/>
                <w:szCs w:val="18"/>
                <w:shd w:val="clear" w:color="auto" w:fill="FFFFFF"/>
              </w:rPr>
              <w:fldChar w:fldCharType="end"/>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016" w:hRule="atLeast"/>
          <w:jc w:val="center"/>
        </w:trPr>
        <w:tc>
          <w:tcPr>
            <w:tcW w:w="503" w:type="dxa"/>
            <w:vMerge w:val="continue"/>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管理制度健全性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①有内部财务管理制度、会计核算制度等管理制度，2分；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②有本部门厉行节约制度,2分；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③相关管理制度合法、合规、完整，2分；④相关管理制度得到有效执行，2分。</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485"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asciiTheme="minorEastAsia" w:hAnsiTheme="minorEastAsia" w:eastAsiaTheme="minorEastAsia" w:cstheme="minorEastAsia"/>
                <w:kern w:val="0"/>
                <w:sz w:val="18"/>
                <w:szCs w:val="18"/>
              </w:rPr>
            </w:pP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资金使用合规性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以上情况每出现一例不符合要求的扣1分，扣完为止。</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65"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预决算信息公开性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预决算信息是指与部门预算、执行、决算、监督、绩效等管理相关的信息。</w:t>
            </w:r>
          </w:p>
        </w:tc>
        <w:tc>
          <w:tcPr>
            <w:tcW w:w="595"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735" w:hRule="atLeast"/>
          <w:jc w:val="center"/>
        </w:trPr>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产出及效率</w:t>
            </w:r>
          </w:p>
        </w:tc>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30</w:t>
            </w:r>
          </w:p>
        </w:tc>
        <w:tc>
          <w:tcPr>
            <w:tcW w:w="50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职责履行</w:t>
            </w:r>
          </w:p>
        </w:tc>
        <w:tc>
          <w:tcPr>
            <w:tcW w:w="50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重点工作实际完成率</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根据履职情况，结合绩效目标和项目性质，对重点工作计划完成、产出质量、产出时效和有关成本控制情况评价，实现70%以上得4分，70%以下不得分。</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5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履职 效益</w:t>
            </w: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经济</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2483" w:type="dxa"/>
            <w:gridSpan w:val="4"/>
            <w:vMerge w:val="restart"/>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此两项指标为设置部门整体支出绩效评价指标时必须考虑的共性要素，可根据部门实际情况有选择的进行设置，并将其细化为相应的个性化指标。</w:t>
            </w:r>
          </w:p>
        </w:tc>
        <w:tc>
          <w:tcPr>
            <w:tcW w:w="2673" w:type="dxa"/>
            <w:gridSpan w:val="3"/>
            <w:vMerge w:val="restart"/>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p>
        </w:tc>
        <w:tc>
          <w:tcPr>
            <w:tcW w:w="595" w:type="dxa"/>
            <w:vMerge w:val="restart"/>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69"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2483" w:type="dxa"/>
            <w:gridSpan w:val="4"/>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2673" w:type="dxa"/>
            <w:gridSpan w:val="3"/>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95"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12</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行政</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效能</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促进部门改进文风会风，加强经费及资产管理，推动网上办事，提高行政效率，降低行政成本效果较好的计6分；一般3分；无效果或者效果不明显0分。</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根据部门自评材料评定。</w:t>
            </w:r>
          </w:p>
        </w:tc>
        <w:tc>
          <w:tcPr>
            <w:tcW w:w="595"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社会公众或服务对象满意度</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90%（含）以上计6分；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80%（含）-90%，计4分；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70%（含）-80%，计2分；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低于70%计0分。</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社会公众或服务对象是指部门（单位）履行职责而影响到的部门、群体或个人，一般采取社会调查的方式。</w:t>
            </w:r>
          </w:p>
        </w:tc>
        <w:tc>
          <w:tcPr>
            <w:tcW w:w="595"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rPr>
              <w:t>4</w:t>
            </w:r>
            <w:r>
              <w:rPr>
                <w:rFonts w:hint="eastAsia" w:asciiTheme="minorEastAsia" w:hAnsiTheme="minorEastAsia" w:eastAsiaTheme="minorEastAsia" w:cstheme="minorEastAsia"/>
                <w:kern w:val="0"/>
                <w:sz w:val="18"/>
                <w:szCs w:val="18"/>
                <w:shd w:val="clear" w:color="auto" w:fill="FFFFFF"/>
              </w:rPr>
              <w:fldChar w:fldCharType="begin">
                <w:fldData xml:space="preserve">QgAzADUAMgBGADUAMgBDADkAMAAzADAANAA1ADMAOABCADAARgA0ADAANAA5AEEAOQA0AEUAMgA0
ADQARQAxAA==
</w:fldData>
              </w:fldChar>
            </w:r>
            <w:r>
              <w:rPr>
                <w:rFonts w:hint="eastAsia" w:asciiTheme="minorEastAsia" w:hAnsiTheme="minorEastAsia" w:eastAsiaTheme="minorEastAsia" w:cstheme="minorEastAsia"/>
                <w:kern w:val="0"/>
                <w:sz w:val="18"/>
                <w:szCs w:val="18"/>
                <w:shd w:val="clear" w:color="auto" w:fill="FFFFFF"/>
              </w:rPr>
              <w:instrText xml:space="preserve">Addin PF16</w:instrText>
            </w:r>
            <w:r>
              <w:rPr>
                <w:rFonts w:hint="eastAsia" w:asciiTheme="minorEastAsia" w:hAnsiTheme="minorEastAsia" w:eastAsiaTheme="minorEastAsia" w:cstheme="minorEastAsia"/>
                <w:kern w:val="0"/>
                <w:sz w:val="18"/>
                <w:szCs w:val="18"/>
                <w:shd w:val="clear" w:color="auto" w:fill="FFFFFF"/>
              </w:rPr>
              <w:fldChar w:fldCharType="end"/>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66" w:hRule="atLeast"/>
          <w:jc w:val="center"/>
        </w:trPr>
        <w:tc>
          <w:tcPr>
            <w:tcW w:w="8468" w:type="dxa"/>
            <w:gridSpan w:val="16"/>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合计</w:t>
            </w:r>
          </w:p>
        </w:tc>
        <w:tc>
          <w:tcPr>
            <w:tcW w:w="595" w:type="dxa"/>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88</w:t>
            </w:r>
          </w:p>
        </w:tc>
      </w:tr>
    </w:tbl>
    <w:p>
      <w:pPr>
        <w:spacing w:line="600" w:lineRule="exact"/>
        <w:ind w:firstLine="600" w:firstLineChars="200"/>
        <w:rPr>
          <w:rFonts w:ascii="Times New Roman" w:hAnsi="Times New Roman" w:eastAsia="黑体"/>
          <w:sz w:val="30"/>
        </w:rPr>
      </w:pP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五</w:t>
      </w:r>
      <w:r>
        <w:rPr>
          <w:rFonts w:ascii="Times New Roman" w:hAnsi="Times New Roman" w:eastAsia="黑体"/>
          <w:sz w:val="30"/>
        </w:rPr>
        <w:t>、单位整体支出绩效实现情况</w:t>
      </w:r>
    </w:p>
    <w:p>
      <w:pPr>
        <w:spacing w:line="600" w:lineRule="exact"/>
        <w:ind w:firstLine="600" w:firstLineChars="200"/>
        <w:rPr>
          <w:rFonts w:ascii="Times New Roman" w:hAnsi="Times New Roman"/>
          <w:sz w:val="30"/>
        </w:rPr>
      </w:pPr>
      <w:r>
        <w:rPr>
          <w:rFonts w:ascii="Times New Roman" w:hAnsi="Times New Roman"/>
          <w:sz w:val="30"/>
        </w:rPr>
        <w:t xml:space="preserve">（一）履职完成情况 </w:t>
      </w:r>
    </w:p>
    <w:p>
      <w:pPr>
        <w:spacing w:line="600" w:lineRule="exact"/>
        <w:ind w:firstLine="562" w:firstLineChars="200"/>
        <w:rPr>
          <w:rFonts w:ascii="Times New Roman" w:hAnsi="Times New Roman"/>
          <w:b/>
          <w:sz w:val="28"/>
          <w:szCs w:val="28"/>
        </w:rPr>
      </w:pPr>
      <w:r>
        <w:rPr>
          <w:rFonts w:hint="eastAsia" w:hAnsi="微软雅黑" w:cs="宋体"/>
          <w:b/>
          <w:bCs/>
          <w:color w:val="000000"/>
          <w:kern w:val="0"/>
          <w:sz w:val="28"/>
          <w:szCs w:val="28"/>
        </w:rPr>
        <w:t>一是坚持标准，强督查。</w:t>
      </w:r>
      <w:r>
        <w:rPr>
          <w:rFonts w:hint="eastAsia" w:hAnsi="微软雅黑" w:cs="宋体"/>
          <w:color w:val="000000"/>
          <w:kern w:val="0"/>
          <w:sz w:val="28"/>
          <w:szCs w:val="28"/>
        </w:rPr>
        <w:t>修订完善了《2019年市容环境卫生督查考核细则》，严格按照“八无、八净、三亮”的环卫作业标准进行日常维护，加大督查考核力度，做到日督查、周通报、月评选、年总结，强化督查考核结果的导向运用；扎实开展精细化作业，切实加大清扫保洁力度，城区主次干道机械化作业率达到100%;今年共派出督查组1184组4736人次，受理区网络化案卷244起，局下发督查案卷9736起，所有案卷的结案率100%；共扣除社会化承包公司经费107万元。</w:t>
      </w:r>
      <w:r>
        <w:rPr>
          <w:rFonts w:hint="eastAsia" w:hAnsi="微软雅黑" w:cs="宋体"/>
          <w:b/>
          <w:bCs/>
          <w:color w:val="000000"/>
          <w:kern w:val="0"/>
          <w:sz w:val="28"/>
          <w:szCs w:val="28"/>
        </w:rPr>
        <w:t>二是攻坚克难，保效果。</w:t>
      </w:r>
      <w:r>
        <w:rPr>
          <w:rFonts w:hint="eastAsia" w:hAnsi="微软雅黑" w:cs="宋体"/>
          <w:color w:val="000000"/>
          <w:kern w:val="0"/>
          <w:sz w:val="28"/>
          <w:szCs w:val="28"/>
        </w:rPr>
        <w:t>积极应对全国文明城市建设省级复查和每季度市对区城管考核及文明指数测评工作，组织开展全区大扫除行动，</w:t>
      </w:r>
      <w:r>
        <w:rPr>
          <w:rFonts w:hint="eastAsia" w:hAnsi="仿宋_GB2312" w:cs="仿宋_GB2312"/>
          <w:sz w:val="28"/>
          <w:szCs w:val="28"/>
        </w:rPr>
        <w:t>将城区所有主次干道和站厕安排干部职工专门负责，实行定人、定岗、定责，并将考核检查结果纳入科室绩效考核和个人年度绩效考核</w:t>
      </w:r>
      <w:r>
        <w:rPr>
          <w:rFonts w:hint="eastAsia" w:hAnsi="仿宋_GB2312" w:cs="仿宋_GB2312"/>
          <w:kern w:val="0"/>
          <w:sz w:val="28"/>
          <w:szCs w:val="28"/>
        </w:rPr>
        <w:t>；</w:t>
      </w:r>
      <w:r>
        <w:rPr>
          <w:rFonts w:hint="eastAsia" w:hAnsi="微软雅黑" w:cs="宋体"/>
          <w:kern w:val="0"/>
          <w:sz w:val="28"/>
          <w:szCs w:val="28"/>
        </w:rPr>
        <w:t>共出动作业车辆180台次、作业人员2280人次，按照环卫作业标准，加强对主城区范围的主次干道、背街小巷、交通护栏、公交站台等清洗保洁，先后处理垃圾堆物78车，清洗油污380处，清除“牛皮癣”282处，</w:t>
      </w:r>
      <w:r>
        <w:rPr>
          <w:rFonts w:hint="eastAsia" w:hAnsi="微软雅黑" w:cs="宋体"/>
          <w:color w:val="000000"/>
          <w:kern w:val="0"/>
          <w:sz w:val="28"/>
          <w:szCs w:val="28"/>
        </w:rPr>
        <w:t>确保了全国文明城市测评和省级复查及市对区考核的效果。在各项中心接待和应急处突工作中，严格按照区委区政府的工作部署，精心组织，周密部署，出色完成各项工作任务。今年，圆满完成了各级领导望城调研考察、重大活动等55余次中心活动的环境卫生保障工作，做到多措并举、科学有序组织，及时维护了全区环境卫生整体质量。另外，还出色的完成了铲雪除冰、城区防涝等37余次应急处突任务，得到了社会各界的一致好评。</w:t>
      </w:r>
    </w:p>
    <w:p>
      <w:pPr>
        <w:spacing w:line="600" w:lineRule="exact"/>
        <w:ind w:firstLine="600" w:firstLineChars="200"/>
        <w:rPr>
          <w:rFonts w:ascii="Times New Roman" w:hAnsi="Times New Roman"/>
          <w:sz w:val="30"/>
        </w:rPr>
      </w:pPr>
      <w:r>
        <w:rPr>
          <w:rFonts w:ascii="Times New Roman" w:hAnsi="Times New Roman"/>
          <w:sz w:val="30"/>
        </w:rPr>
        <w:t>（二）履职效果情况</w:t>
      </w:r>
    </w:p>
    <w:p>
      <w:pPr>
        <w:snapToGrid w:val="0"/>
        <w:ind w:firstLine="640"/>
        <w:rPr>
          <w:rFonts w:hAnsi="微软雅黑" w:cs="宋体"/>
          <w:color w:val="000000"/>
          <w:kern w:val="0"/>
          <w:sz w:val="28"/>
          <w:szCs w:val="28"/>
        </w:rPr>
      </w:pPr>
      <w:r>
        <w:rPr>
          <w:rFonts w:hint="eastAsia" w:ascii="仿宋" w:hAnsi="仿宋" w:eastAsia="仿宋" w:cs="仿宋"/>
          <w:b/>
          <w:bCs/>
          <w:color w:val="000000"/>
          <w:kern w:val="0"/>
          <w:sz w:val="28"/>
          <w:szCs w:val="28"/>
        </w:rPr>
        <w:t>一是蓝天保卫战成效显著。</w:t>
      </w:r>
      <w:r>
        <w:rPr>
          <w:rFonts w:hint="eastAsia" w:hAnsi="微软雅黑" w:cs="宋体"/>
          <w:color w:val="000000"/>
          <w:kern w:val="0"/>
          <w:sz w:val="28"/>
          <w:szCs w:val="28"/>
        </w:rPr>
        <w:t>严格按照“强力推进环境大治理，坚决打赢蓝天保卫战”有关工作要求，利用洒水车、雾炮车加大对城区主次干道的洒水降尘力度，有效改善了我区环境空气质量。今年共出动雾炮车喷洒降尘300台次。</w:t>
      </w:r>
      <w:r>
        <w:rPr>
          <w:rFonts w:hint="eastAsia" w:hAnsi="微软雅黑" w:cs="宋体"/>
          <w:b/>
          <w:bCs/>
          <w:color w:val="000000"/>
          <w:kern w:val="0"/>
          <w:sz w:val="28"/>
          <w:szCs w:val="28"/>
        </w:rPr>
        <w:t>二是</w:t>
      </w:r>
      <w:r>
        <w:rPr>
          <w:rFonts w:hint="eastAsia" w:ascii="仿宋" w:hAnsi="仿宋" w:eastAsia="仿宋" w:cs="仿宋"/>
          <w:b/>
          <w:bCs/>
          <w:color w:val="000000"/>
          <w:kern w:val="0"/>
          <w:sz w:val="28"/>
          <w:szCs w:val="28"/>
        </w:rPr>
        <w:t>垃圾运输不断规范。</w:t>
      </w:r>
      <w:r>
        <w:rPr>
          <w:rFonts w:hint="eastAsia" w:hAnsi="微软雅黑" w:cs="宋体"/>
          <w:color w:val="000000"/>
          <w:kern w:val="0"/>
          <w:sz w:val="28"/>
          <w:szCs w:val="28"/>
        </w:rPr>
        <w:t>进一步规范垃圾运输管理，生活垃圾做到日产日清，垃圾处理率达到100%；进一步增强垃圾收运能力，采用密闭式垃圾处理设备，杜绝了洒漏和二次污染；今年，</w:t>
      </w:r>
      <w:r>
        <w:rPr>
          <w:rFonts w:hint="eastAsia" w:hAnsi="微软雅黑" w:cs="宋体"/>
          <w:kern w:val="0"/>
          <w:sz w:val="28"/>
          <w:szCs w:val="28"/>
        </w:rPr>
        <w:t>日清生活垃圾600余吨，共清运垃圾16万余吨，收取垃圾处理费220余万元。</w:t>
      </w:r>
      <w:r>
        <w:rPr>
          <w:rFonts w:hint="eastAsia" w:hAnsi="微软雅黑" w:cs="宋体"/>
          <w:b/>
          <w:bCs/>
          <w:color w:val="000000"/>
          <w:kern w:val="0"/>
          <w:sz w:val="28"/>
          <w:szCs w:val="28"/>
        </w:rPr>
        <w:t>三是基础设施逐步完善。</w:t>
      </w:r>
      <w:r>
        <w:rPr>
          <w:rFonts w:hint="eastAsia" w:hAnsi="微软雅黑" w:cs="宋体"/>
          <w:color w:val="000000"/>
          <w:kern w:val="0"/>
          <w:sz w:val="28"/>
          <w:szCs w:val="28"/>
        </w:rPr>
        <w:t>切实加强环卫基础设施维护维修，全面推进环卫项目建设进度，</w:t>
      </w:r>
      <w:r>
        <w:rPr>
          <w:rFonts w:hint="eastAsia" w:hAnsi="微软雅黑" w:cs="宋体"/>
          <w:kern w:val="0"/>
          <w:sz w:val="28"/>
          <w:szCs w:val="28"/>
        </w:rPr>
        <w:t>今年</w:t>
      </w:r>
      <w:r>
        <w:rPr>
          <w:rFonts w:hint="eastAsia" w:hAnsi="微软雅黑" w:cs="宋体"/>
          <w:color w:val="000000"/>
          <w:kern w:val="0"/>
          <w:sz w:val="28"/>
          <w:szCs w:val="28"/>
        </w:rPr>
        <w:t>完成了望城区生活垃圾转运站建设相关前期工作，现已进入招标阶段；</w:t>
      </w:r>
      <w:r>
        <w:rPr>
          <w:rFonts w:hint="eastAsia" w:hAnsi="微软雅黑" w:cs="宋体"/>
          <w:kern w:val="0"/>
          <w:sz w:val="28"/>
          <w:szCs w:val="28"/>
        </w:rPr>
        <w:t>更换240L垃圾桶3750个、双果皮桶121个，新增蝴蝶型环保垃圾箱500个 ，维修双果皮桶200余个</w:t>
      </w:r>
      <w:r>
        <w:rPr>
          <w:rFonts w:hint="eastAsia" w:hAnsi="微软雅黑" w:cs="宋体"/>
          <w:color w:val="000000"/>
          <w:kern w:val="0"/>
          <w:sz w:val="28"/>
          <w:szCs w:val="28"/>
        </w:rPr>
        <w:t>；对盘树湾站厕、莲湖垃圾站等9个垃圾站和2个公共卫生间进行了提质改造，对垃圾站及公厕维修11次</w:t>
      </w:r>
      <w:r>
        <w:rPr>
          <w:rFonts w:hint="eastAsia" w:hAnsi="微软雅黑" w:cs="宋体"/>
          <w:kern w:val="0"/>
          <w:sz w:val="28"/>
          <w:szCs w:val="28"/>
        </w:rPr>
        <w:t>，</w:t>
      </w:r>
      <w:r>
        <w:rPr>
          <w:rFonts w:hint="eastAsia" w:hAnsi="微软雅黑" w:cs="宋体"/>
          <w:color w:val="000000"/>
          <w:kern w:val="0"/>
          <w:sz w:val="28"/>
          <w:szCs w:val="28"/>
        </w:rPr>
        <w:t>给市民提供了便利和舒适的公共环境。</w:t>
      </w:r>
    </w:p>
    <w:p>
      <w:pPr>
        <w:spacing w:line="600" w:lineRule="exact"/>
        <w:ind w:firstLine="600" w:firstLineChars="200"/>
        <w:rPr>
          <w:rFonts w:ascii="Times New Roman" w:hAnsi="Times New Roman"/>
          <w:sz w:val="30"/>
        </w:rPr>
      </w:pPr>
    </w:p>
    <w:p>
      <w:pPr>
        <w:spacing w:line="600" w:lineRule="exact"/>
        <w:ind w:firstLine="600" w:firstLineChars="200"/>
        <w:rPr>
          <w:rFonts w:ascii="Times New Roman" w:hAnsi="Times New Roman"/>
          <w:sz w:val="30"/>
        </w:rPr>
      </w:pPr>
      <w:r>
        <w:rPr>
          <w:rFonts w:ascii="Times New Roman" w:hAnsi="Times New Roman"/>
          <w:sz w:val="30"/>
        </w:rPr>
        <w:t>（三）社会满意度情况</w:t>
      </w:r>
    </w:p>
    <w:p>
      <w:pPr>
        <w:spacing w:line="600" w:lineRule="exact"/>
        <w:ind w:firstLine="560" w:firstLineChars="200"/>
      </w:pPr>
      <w:r>
        <w:rPr>
          <w:rFonts w:hint="eastAsia"/>
          <w:sz w:val="28"/>
          <w:szCs w:val="28"/>
        </w:rPr>
        <w:t>根据2019年上半年湖南天平正大会计师事务所</w:t>
      </w:r>
      <w:r>
        <w:rPr>
          <w:sz w:val="28"/>
          <w:szCs w:val="28"/>
        </w:rPr>
        <w:t>对目前望城区整体卫生环境满意调查中，24%的居民表示非常满意，64%的居民表示较满意，其余12%的居民感觉整体卫生环境一般；对望城区卫生环境是否有改善的调查中，52%的居民认为有改善，44%的居民认为有较大改善，还有4%的居民认为没有变化；对望城区的卫生环境与市区的卫生环境</w:t>
      </w:r>
      <w:r>
        <w:t>比较情况的调查中，56%的居民认为两区的卫生环境差不多，28%的居民认为比城区好，其余12%的居民认为比城区差；对于居民所在区域的洒水车、清扫车作业效果的调查中，52%的居民觉得作业效果好，48%的居民则认为作业效果一般。</w:t>
      </w:r>
    </w:p>
    <w:p>
      <w:pPr>
        <w:spacing w:line="600" w:lineRule="exact"/>
        <w:ind w:firstLine="600" w:firstLineChars="200"/>
        <w:rPr>
          <w:rFonts w:ascii="Times New Roman" w:hAnsi="Times New Roman"/>
          <w:sz w:val="30"/>
        </w:rPr>
      </w:pP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六</w:t>
      </w:r>
      <w:r>
        <w:rPr>
          <w:rFonts w:ascii="Times New Roman" w:hAnsi="Times New Roman" w:eastAsia="黑体"/>
          <w:sz w:val="30"/>
        </w:rPr>
        <w:t>、单位整体支出绩效中存在问题及改进措施</w:t>
      </w:r>
    </w:p>
    <w:p>
      <w:pPr>
        <w:spacing w:line="600" w:lineRule="exact"/>
        <w:ind w:firstLine="600" w:firstLineChars="200"/>
        <w:rPr>
          <w:rFonts w:ascii="Times New Roman" w:hAnsi="Times New Roman"/>
          <w:sz w:val="30"/>
        </w:rPr>
      </w:pPr>
      <w:r>
        <w:rPr>
          <w:rFonts w:ascii="Times New Roman" w:hAnsi="Times New Roman"/>
          <w:sz w:val="30"/>
        </w:rPr>
        <w:t>（一）主要问题及原因分析</w:t>
      </w:r>
    </w:p>
    <w:p>
      <w:pPr>
        <w:spacing w:line="600" w:lineRule="exact"/>
        <w:ind w:firstLine="562" w:firstLineChars="200"/>
        <w:rPr>
          <w:b/>
          <w:sz w:val="28"/>
          <w:szCs w:val="28"/>
        </w:rPr>
      </w:pPr>
      <w:r>
        <w:rPr>
          <w:rFonts w:hint="eastAsia"/>
          <w:b/>
          <w:sz w:val="28"/>
          <w:szCs w:val="28"/>
        </w:rPr>
        <w:t>1、环卫清扫人员实际人数少于预算数</w:t>
      </w:r>
      <w:r>
        <w:rPr>
          <w:rFonts w:hint="eastAsia"/>
          <w:b/>
          <w:sz w:val="28"/>
          <w:szCs w:val="28"/>
        </w:rPr>
        <w:tab/>
      </w:r>
    </w:p>
    <w:p>
      <w:pPr>
        <w:spacing w:line="600" w:lineRule="exact"/>
        <w:ind w:firstLine="560" w:firstLineChars="200"/>
        <w:rPr>
          <w:sz w:val="28"/>
          <w:szCs w:val="28"/>
        </w:rPr>
      </w:pPr>
      <w:r>
        <w:rPr>
          <w:rFonts w:hint="eastAsia"/>
          <w:sz w:val="28"/>
          <w:szCs w:val="28"/>
        </w:rPr>
        <w:t>第四轮环卫社会化承包，区财评中心预算各环卫企业总人数为1891人（含新增的芙蓉北路），实际调查发现2019年各环卫企业总平均人数为1141人，占预算安排人数的60.34%，人均工作量及工资发放金额大于预算评定数量。</w:t>
      </w:r>
    </w:p>
    <w:p>
      <w:pPr>
        <w:spacing w:line="600" w:lineRule="exact"/>
        <w:ind w:firstLine="562" w:firstLineChars="200"/>
        <w:rPr>
          <w:b/>
          <w:sz w:val="28"/>
          <w:szCs w:val="28"/>
        </w:rPr>
      </w:pPr>
      <w:r>
        <w:rPr>
          <w:rFonts w:hint="eastAsia"/>
          <w:b/>
          <w:sz w:val="28"/>
          <w:szCs w:val="28"/>
        </w:rPr>
        <w:t>2、部分清扫公司的专业设备未达到招标书的要求</w:t>
      </w:r>
    </w:p>
    <w:p>
      <w:pPr>
        <w:spacing w:line="600" w:lineRule="exact"/>
        <w:ind w:firstLine="560" w:firstLineChars="200"/>
        <w:rPr>
          <w:color w:val="000000"/>
          <w:kern w:val="0"/>
          <w:sz w:val="28"/>
          <w:szCs w:val="28"/>
        </w:rPr>
      </w:pPr>
      <w:r>
        <w:rPr>
          <w:rFonts w:hint="eastAsia"/>
          <w:color w:val="000000"/>
          <w:kern w:val="0"/>
          <w:sz w:val="28"/>
          <w:szCs w:val="28"/>
        </w:rPr>
        <w:t>2016年第四轮招标，六个中标单位投标文件中均承诺中标后确保有大型机扫车1台，道路清洗车2台，8吨以上水车2台，垃圾运输收集车不少于5台。2017年芙蓉北路招标，中标单位欧德承诺中标后确保有大型机扫车1台，8吨以上水车3台，垃圾运输收集车不少于1台等设备配备。根据七家中标单位提供的固定资产明细，仅</w:t>
      </w:r>
      <w:r>
        <w:rPr>
          <w:rFonts w:hint="eastAsia"/>
          <w:sz w:val="28"/>
          <w:szCs w:val="28"/>
        </w:rPr>
        <w:t>长沙欧德环保科技有限公司</w:t>
      </w:r>
      <w:r>
        <w:rPr>
          <w:rFonts w:hint="eastAsia"/>
          <w:color w:val="000000"/>
          <w:kern w:val="0"/>
          <w:sz w:val="28"/>
          <w:szCs w:val="28"/>
        </w:rPr>
        <w:t>的设备配置数量达到了承诺书的要求。</w:t>
      </w:r>
    </w:p>
    <w:p>
      <w:pPr>
        <w:spacing w:line="600" w:lineRule="exact"/>
        <w:ind w:firstLine="562" w:firstLineChars="200"/>
        <w:rPr>
          <w:b/>
          <w:sz w:val="28"/>
          <w:szCs w:val="28"/>
        </w:rPr>
      </w:pPr>
      <w:r>
        <w:rPr>
          <w:rFonts w:hint="eastAsia"/>
          <w:b/>
          <w:sz w:val="28"/>
          <w:szCs w:val="28"/>
        </w:rPr>
        <w:t>3、环卫工人合法权利未得到有效保障</w:t>
      </w:r>
    </w:p>
    <w:p>
      <w:pPr>
        <w:spacing w:line="600" w:lineRule="exact"/>
        <w:ind w:firstLine="560" w:firstLineChars="200"/>
        <w:rPr>
          <w:color w:val="000000"/>
          <w:kern w:val="0"/>
          <w:sz w:val="28"/>
          <w:szCs w:val="28"/>
        </w:rPr>
      </w:pPr>
      <w:r>
        <w:rPr>
          <w:rFonts w:hint="eastAsia"/>
          <w:color w:val="000000"/>
          <w:kern w:val="0"/>
          <w:sz w:val="28"/>
          <w:szCs w:val="28"/>
        </w:rPr>
        <w:t>调查发现仅有</w:t>
      </w:r>
      <w:r>
        <w:rPr>
          <w:rFonts w:hint="eastAsia"/>
          <w:sz w:val="28"/>
          <w:szCs w:val="28"/>
        </w:rPr>
        <w:t>长沙欧德环保科技有限公司</w:t>
      </w:r>
      <w:r>
        <w:rPr>
          <w:rFonts w:hint="eastAsia"/>
          <w:color w:val="000000"/>
          <w:kern w:val="0"/>
          <w:sz w:val="28"/>
          <w:szCs w:val="28"/>
        </w:rPr>
        <w:t>每月安排4个半天的时间休息，其余公司均要求环卫人员每天上班，如果员工家中有事须请人代班，并相应扣除工资。此行为不符合《</w:t>
      </w:r>
      <w:r>
        <w:rPr>
          <w:rFonts w:hint="eastAsia"/>
          <w:color w:val="000000"/>
          <w:kern w:val="0"/>
          <w:sz w:val="28"/>
          <w:szCs w:val="28"/>
          <w:lang w:val="en-US" w:eastAsia="zh-CN"/>
        </w:rPr>
        <w:t>中华人民共和国</w:t>
      </w:r>
      <w:bookmarkStart w:id="0" w:name="_GoBack"/>
      <w:bookmarkEnd w:id="0"/>
      <w:r>
        <w:rPr>
          <w:rFonts w:hint="eastAsia"/>
          <w:color w:val="000000"/>
          <w:kern w:val="0"/>
          <w:sz w:val="28"/>
          <w:szCs w:val="28"/>
        </w:rPr>
        <w:t>劳动法》三十八条“用人单位应当保证劳动者每周至少休息一日”的规定。</w:t>
      </w:r>
    </w:p>
    <w:p>
      <w:pPr>
        <w:spacing w:line="600" w:lineRule="exact"/>
        <w:ind w:firstLine="600" w:firstLineChars="200"/>
        <w:rPr>
          <w:rFonts w:ascii="Times New Roman" w:hAnsi="Times New Roman"/>
          <w:sz w:val="30"/>
        </w:rPr>
      </w:pPr>
    </w:p>
    <w:p>
      <w:pPr>
        <w:spacing w:line="600" w:lineRule="exact"/>
        <w:ind w:firstLine="600" w:firstLineChars="200"/>
        <w:rPr>
          <w:rFonts w:ascii="Times New Roman" w:hAnsi="Times New Roman"/>
          <w:sz w:val="30"/>
        </w:rPr>
      </w:pPr>
      <w:r>
        <w:rPr>
          <w:rFonts w:ascii="Times New Roman" w:hAnsi="Times New Roman"/>
          <w:sz w:val="30"/>
        </w:rPr>
        <w:t>（二）改进的方向和具体措施</w:t>
      </w:r>
    </w:p>
    <w:p>
      <w:pPr>
        <w:spacing w:line="600" w:lineRule="exact"/>
        <w:ind w:firstLine="562" w:firstLineChars="200"/>
        <w:rPr>
          <w:color w:val="000000"/>
          <w:kern w:val="0"/>
          <w:sz w:val="28"/>
          <w:szCs w:val="28"/>
        </w:rPr>
      </w:pPr>
      <w:r>
        <w:rPr>
          <w:rFonts w:hint="eastAsia"/>
          <w:b/>
          <w:color w:val="000000"/>
          <w:kern w:val="0"/>
          <w:sz w:val="28"/>
          <w:szCs w:val="28"/>
        </w:rPr>
        <w:t>1、完善招标管理工作</w:t>
      </w:r>
      <w:r>
        <w:rPr>
          <w:rFonts w:hint="eastAsia"/>
          <w:color w:val="000000"/>
          <w:kern w:val="0"/>
          <w:sz w:val="28"/>
          <w:szCs w:val="28"/>
        </w:rPr>
        <w:t>。在新一轮环卫清扫社会化招标中，建议取消内标，所有清扫区域统一进行公开招标，对使用内标预算资金解决的市容中心资金缺口部分，财政部门另行安排预算资金。</w:t>
      </w:r>
    </w:p>
    <w:p>
      <w:pPr>
        <w:spacing w:line="600" w:lineRule="exact"/>
        <w:ind w:firstLine="560"/>
        <w:rPr>
          <w:b/>
          <w:color w:val="000000"/>
          <w:kern w:val="0"/>
          <w:sz w:val="28"/>
          <w:szCs w:val="28"/>
        </w:rPr>
      </w:pPr>
      <w:r>
        <w:rPr>
          <w:rFonts w:hint="eastAsia"/>
          <w:b/>
          <w:color w:val="000000"/>
          <w:kern w:val="0"/>
          <w:sz w:val="28"/>
          <w:szCs w:val="28"/>
        </w:rPr>
        <w:t>2、保障环卫工人的合法权利，改善环卫工人的工作环境。</w:t>
      </w:r>
      <w:r>
        <w:rPr>
          <w:rFonts w:hint="eastAsia"/>
          <w:color w:val="000000"/>
          <w:kern w:val="0"/>
          <w:sz w:val="28"/>
          <w:szCs w:val="28"/>
        </w:rPr>
        <w:t>维护环卫一线工作人员合法权利，督促环卫清扫企业按照相关法律法规的要求保障环卫工人的合法权利，提供必要防护用品及设施，保障环卫工人的身体健康。</w:t>
      </w:r>
    </w:p>
    <w:p>
      <w:pPr>
        <w:spacing w:line="600" w:lineRule="exact"/>
        <w:ind w:firstLine="640"/>
        <w:rPr>
          <w:color w:val="000000"/>
          <w:kern w:val="0"/>
          <w:sz w:val="28"/>
          <w:szCs w:val="28"/>
        </w:rPr>
      </w:pPr>
      <w:r>
        <w:rPr>
          <w:rFonts w:hint="eastAsia"/>
          <w:b/>
          <w:color w:val="000000"/>
          <w:kern w:val="0"/>
          <w:sz w:val="28"/>
          <w:szCs w:val="28"/>
        </w:rPr>
        <w:t>3、加强安全生产教育</w:t>
      </w:r>
      <w:r>
        <w:rPr>
          <w:rFonts w:hint="eastAsia"/>
          <w:color w:val="000000"/>
          <w:kern w:val="0"/>
          <w:sz w:val="28"/>
          <w:szCs w:val="28"/>
        </w:rPr>
        <w:t>。督促各公司组织开展安全生产培训，制定安全生产应急预案，严格执行安全生产操作规程，确保全年安全零事故</w:t>
      </w:r>
    </w:p>
    <w:p>
      <w:pPr>
        <w:spacing w:line="600" w:lineRule="exact"/>
        <w:ind w:firstLine="562" w:firstLineChars="200"/>
        <w:rPr>
          <w:color w:val="000000"/>
          <w:kern w:val="0"/>
          <w:sz w:val="28"/>
          <w:szCs w:val="28"/>
        </w:rPr>
      </w:pPr>
      <w:r>
        <w:rPr>
          <w:rFonts w:hint="eastAsia"/>
          <w:b/>
          <w:color w:val="000000"/>
          <w:kern w:val="0"/>
          <w:sz w:val="28"/>
          <w:szCs w:val="28"/>
        </w:rPr>
        <w:t>4、强化考核机制</w:t>
      </w:r>
      <w:r>
        <w:rPr>
          <w:rFonts w:hint="eastAsia"/>
          <w:color w:val="000000"/>
          <w:kern w:val="0"/>
          <w:sz w:val="28"/>
          <w:szCs w:val="28"/>
        </w:rPr>
        <w:t>。建立科学完善的考核制度，中标企业未按合同要求实施时，应采取有效措施督促其按要求执行，必要时处以罚款或执行退出机制。</w:t>
      </w:r>
    </w:p>
    <w:p>
      <w:pPr>
        <w:widowControl/>
        <w:spacing w:line="600" w:lineRule="exact"/>
        <w:ind w:firstLine="562" w:firstLineChars="200"/>
        <w:rPr>
          <w:color w:val="000000"/>
          <w:kern w:val="0"/>
          <w:sz w:val="28"/>
          <w:szCs w:val="28"/>
        </w:rPr>
      </w:pPr>
      <w:r>
        <w:rPr>
          <w:rFonts w:hint="eastAsia"/>
          <w:b/>
          <w:color w:val="000000"/>
          <w:kern w:val="0"/>
          <w:sz w:val="28"/>
          <w:szCs w:val="28"/>
        </w:rPr>
        <w:t>5、加强宣传力度，提高市民环卫意识</w:t>
      </w:r>
      <w:r>
        <w:rPr>
          <w:rFonts w:hint="eastAsia"/>
          <w:color w:val="000000"/>
          <w:kern w:val="0"/>
          <w:sz w:val="28"/>
          <w:szCs w:val="28"/>
        </w:rPr>
        <w:t>。借助“两微一端”、电视、报刊杂志等媒体平台，大力宣传环卫管理工作理念及保护环境、爱护环境的重要性，通过人技相结合的方式，提升市容环境卫生工作质量。</w:t>
      </w:r>
    </w:p>
    <w:p>
      <w:pPr>
        <w:spacing w:line="600" w:lineRule="exact"/>
        <w:ind w:firstLine="600" w:firstLineChars="200"/>
        <w:rPr>
          <w:rFonts w:ascii="Times New Roman" w:hAnsi="Times New Roman"/>
          <w:sz w:val="30"/>
        </w:rPr>
      </w:pPr>
    </w:p>
    <w:p>
      <w:pPr>
        <w:spacing w:line="600" w:lineRule="exact"/>
        <w:ind w:firstLine="600" w:firstLineChars="200"/>
        <w:rPr>
          <w:rFonts w:ascii="Times New Roman" w:hAnsi="Times New Roman"/>
          <w:sz w:val="30"/>
        </w:rPr>
      </w:pPr>
    </w:p>
    <w:p>
      <w:pPr>
        <w:spacing w:line="600" w:lineRule="exact"/>
        <w:ind w:firstLine="600" w:firstLineChars="200"/>
        <w:rPr>
          <w:rFonts w:ascii="Times New Roman" w:hAnsi="Times New Roman"/>
          <w:sz w:val="30"/>
        </w:rPr>
      </w:pPr>
    </w:p>
    <w:p>
      <w:pPr>
        <w:adjustRightInd w:val="0"/>
        <w:snapToGrid w:val="0"/>
        <w:spacing w:line="600" w:lineRule="exact"/>
        <w:ind w:firstLine="3780" w:firstLineChars="1350"/>
        <w:jc w:val="left"/>
        <w:rPr>
          <w:rFonts w:asciiTheme="majorEastAsia" w:hAnsiTheme="majorEastAsia" w:eastAsiaTheme="majorEastAsia"/>
          <w:bCs/>
          <w:color w:val="000000"/>
          <w:kern w:val="0"/>
          <w:sz w:val="28"/>
          <w:szCs w:val="28"/>
        </w:rPr>
      </w:pPr>
      <w:r>
        <w:rPr>
          <w:rFonts w:hint="eastAsia" w:asciiTheme="majorEastAsia" w:hAnsiTheme="majorEastAsia" w:eastAsiaTheme="majorEastAsia"/>
          <w:bCs/>
          <w:color w:val="000000"/>
          <w:kern w:val="0"/>
          <w:sz w:val="28"/>
          <w:szCs w:val="28"/>
        </w:rPr>
        <w:t>长沙市望城区市容环境卫生维护中心</w:t>
      </w:r>
    </w:p>
    <w:p>
      <w:pPr>
        <w:adjustRightInd w:val="0"/>
        <w:snapToGrid w:val="0"/>
        <w:spacing w:line="600" w:lineRule="exact"/>
        <w:ind w:firstLine="4340" w:firstLineChars="1550"/>
        <w:jc w:val="left"/>
        <w:rPr>
          <w:rFonts w:asciiTheme="majorEastAsia" w:hAnsiTheme="majorEastAsia" w:eastAsiaTheme="majorEastAsia"/>
          <w:bCs/>
          <w:color w:val="000000"/>
          <w:kern w:val="0"/>
          <w:sz w:val="28"/>
          <w:szCs w:val="28"/>
        </w:rPr>
      </w:pPr>
      <w:r>
        <w:rPr>
          <w:rFonts w:hint="eastAsia" w:asciiTheme="majorEastAsia" w:hAnsiTheme="majorEastAsia" w:eastAsiaTheme="majorEastAsia"/>
          <w:bCs/>
          <w:color w:val="000000"/>
          <w:kern w:val="0"/>
          <w:sz w:val="28"/>
          <w:szCs w:val="28"/>
        </w:rPr>
        <w:t>二〇二〇年四月七日</w:t>
      </w:r>
    </w:p>
    <w:sectPr>
      <w:footerReference r:id="rId3" w:type="default"/>
      <w:footerReference r:id="rId4" w:type="even"/>
      <w:pgSz w:w="11906" w:h="16838"/>
      <w:pgMar w:top="1701" w:right="1587" w:bottom="1417" w:left="1701" w:header="851" w:footer="850"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简体">
    <w:altName w:val="黑体"/>
    <w:panose1 w:val="00000000000000000000"/>
    <w:charset w:val="86"/>
    <w:family w:val="auto"/>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93343425"/>
    </w:sdtPr>
    <w:sdtEndPr>
      <w:rPr>
        <w:rFonts w:hint="eastAsia" w:ascii="仿宋" w:hAnsi="仿宋" w:eastAsia="仿宋" w:cs="仿宋"/>
        <w:sz w:val="28"/>
        <w:szCs w:val="28"/>
      </w:rPr>
    </w:sdtEndPr>
    <w:sdtContent>
      <w:p>
        <w:pPr>
          <w:pStyle w:val="4"/>
          <w:jc w:val="right"/>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11 -</w:t>
        </w:r>
        <w:r>
          <w:rPr>
            <w:rFonts w:hint="eastAsia" w:ascii="仿宋" w:hAnsi="仿宋" w:eastAsia="仿宋" w:cs="仿宋"/>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ascii="仿宋" w:hAnsi="仿宋" w:eastAsia="仿宋" w:cs="仿宋"/>
        <w:sz w:val="28"/>
        <w:szCs w:val="28"/>
      </w:rPr>
      <w:id w:val="760954067"/>
    </w:sdtPr>
    <w:sdtEndPr>
      <w:rPr>
        <w:rFonts w:hint="eastAsia" w:ascii="仿宋" w:hAnsi="仿宋" w:eastAsia="仿宋" w:cs="仿宋"/>
        <w:sz w:val="28"/>
        <w:szCs w:val="28"/>
      </w:rPr>
    </w:sdtEndPr>
    <w:sdtContent>
      <w:p>
        <w:pPr>
          <w:pStyle w:val="4"/>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10 -</w:t>
        </w:r>
        <w:r>
          <w:rPr>
            <w:rFonts w:hint="eastAsia" w:ascii="仿宋" w:hAnsi="仿宋" w:eastAsia="仿宋" w:cs="仿宋"/>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60"/>
  <w:drawingGridVerticalSpacing w:val="435"/>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747"/>
    <w:rsid w:val="00005D88"/>
    <w:rsid w:val="00017EBD"/>
    <w:rsid w:val="0002789D"/>
    <w:rsid w:val="00050733"/>
    <w:rsid w:val="00057A74"/>
    <w:rsid w:val="00064467"/>
    <w:rsid w:val="00067A46"/>
    <w:rsid w:val="0007763D"/>
    <w:rsid w:val="0008243B"/>
    <w:rsid w:val="000877BF"/>
    <w:rsid w:val="00091E7B"/>
    <w:rsid w:val="000D230F"/>
    <w:rsid w:val="000E20BF"/>
    <w:rsid w:val="00106906"/>
    <w:rsid w:val="00111454"/>
    <w:rsid w:val="0012055D"/>
    <w:rsid w:val="0016305B"/>
    <w:rsid w:val="00170D2C"/>
    <w:rsid w:val="00190E73"/>
    <w:rsid w:val="001918FE"/>
    <w:rsid w:val="001A2888"/>
    <w:rsid w:val="001B67CB"/>
    <w:rsid w:val="001B6A3D"/>
    <w:rsid w:val="001C0081"/>
    <w:rsid w:val="001C10FB"/>
    <w:rsid w:val="001E275B"/>
    <w:rsid w:val="001E6B38"/>
    <w:rsid w:val="001F591B"/>
    <w:rsid w:val="001F7A6C"/>
    <w:rsid w:val="00225B82"/>
    <w:rsid w:val="002436E5"/>
    <w:rsid w:val="002603D7"/>
    <w:rsid w:val="00263876"/>
    <w:rsid w:val="00264568"/>
    <w:rsid w:val="00283DDC"/>
    <w:rsid w:val="00294D02"/>
    <w:rsid w:val="002A1C9D"/>
    <w:rsid w:val="002C2EDA"/>
    <w:rsid w:val="002D2B17"/>
    <w:rsid w:val="002D6DE6"/>
    <w:rsid w:val="002F4C93"/>
    <w:rsid w:val="002F7238"/>
    <w:rsid w:val="003001BB"/>
    <w:rsid w:val="00303747"/>
    <w:rsid w:val="00304A80"/>
    <w:rsid w:val="00311F5D"/>
    <w:rsid w:val="00312784"/>
    <w:rsid w:val="003202CE"/>
    <w:rsid w:val="003370D8"/>
    <w:rsid w:val="00344F4D"/>
    <w:rsid w:val="00345F10"/>
    <w:rsid w:val="00347B6E"/>
    <w:rsid w:val="0035691A"/>
    <w:rsid w:val="00365CB3"/>
    <w:rsid w:val="003663D1"/>
    <w:rsid w:val="00372C66"/>
    <w:rsid w:val="0037668D"/>
    <w:rsid w:val="003809B6"/>
    <w:rsid w:val="00382329"/>
    <w:rsid w:val="003A32AD"/>
    <w:rsid w:val="003A51A4"/>
    <w:rsid w:val="003E2B22"/>
    <w:rsid w:val="003F52D0"/>
    <w:rsid w:val="00406148"/>
    <w:rsid w:val="00406EF4"/>
    <w:rsid w:val="00413BF7"/>
    <w:rsid w:val="004358A4"/>
    <w:rsid w:val="004378B6"/>
    <w:rsid w:val="0044035E"/>
    <w:rsid w:val="00486AFF"/>
    <w:rsid w:val="00490592"/>
    <w:rsid w:val="004C06F3"/>
    <w:rsid w:val="004C0FAE"/>
    <w:rsid w:val="004C37B2"/>
    <w:rsid w:val="004C420F"/>
    <w:rsid w:val="004D4746"/>
    <w:rsid w:val="004E1BAF"/>
    <w:rsid w:val="004E5E17"/>
    <w:rsid w:val="004F24CD"/>
    <w:rsid w:val="00502C54"/>
    <w:rsid w:val="00521BF2"/>
    <w:rsid w:val="005262D3"/>
    <w:rsid w:val="005328C3"/>
    <w:rsid w:val="005362BF"/>
    <w:rsid w:val="00570BC5"/>
    <w:rsid w:val="005A2FDD"/>
    <w:rsid w:val="005A43DF"/>
    <w:rsid w:val="005B21A1"/>
    <w:rsid w:val="005B5668"/>
    <w:rsid w:val="005C236B"/>
    <w:rsid w:val="005C304E"/>
    <w:rsid w:val="005C424E"/>
    <w:rsid w:val="005D1FF9"/>
    <w:rsid w:val="005D34B9"/>
    <w:rsid w:val="005D6E14"/>
    <w:rsid w:val="005F4A12"/>
    <w:rsid w:val="0060178E"/>
    <w:rsid w:val="006078F9"/>
    <w:rsid w:val="00610F28"/>
    <w:rsid w:val="00620E58"/>
    <w:rsid w:val="006270C6"/>
    <w:rsid w:val="006354FD"/>
    <w:rsid w:val="00641607"/>
    <w:rsid w:val="00656D1E"/>
    <w:rsid w:val="00662C5F"/>
    <w:rsid w:val="006650D7"/>
    <w:rsid w:val="00673FC9"/>
    <w:rsid w:val="006766CC"/>
    <w:rsid w:val="00676BF1"/>
    <w:rsid w:val="00682F45"/>
    <w:rsid w:val="006924C4"/>
    <w:rsid w:val="006936A2"/>
    <w:rsid w:val="006971C6"/>
    <w:rsid w:val="006D6052"/>
    <w:rsid w:val="006D7E4D"/>
    <w:rsid w:val="006E5ECD"/>
    <w:rsid w:val="006F0A44"/>
    <w:rsid w:val="006F5EBB"/>
    <w:rsid w:val="00701C4A"/>
    <w:rsid w:val="0071030A"/>
    <w:rsid w:val="007265DC"/>
    <w:rsid w:val="007336F9"/>
    <w:rsid w:val="00742C69"/>
    <w:rsid w:val="00783BAD"/>
    <w:rsid w:val="007A02CE"/>
    <w:rsid w:val="007B3CF7"/>
    <w:rsid w:val="007D0F9B"/>
    <w:rsid w:val="007D60DD"/>
    <w:rsid w:val="00815068"/>
    <w:rsid w:val="00816734"/>
    <w:rsid w:val="00822809"/>
    <w:rsid w:val="00830963"/>
    <w:rsid w:val="00834ED6"/>
    <w:rsid w:val="00843852"/>
    <w:rsid w:val="00856037"/>
    <w:rsid w:val="00857022"/>
    <w:rsid w:val="008854AA"/>
    <w:rsid w:val="008A4AAA"/>
    <w:rsid w:val="008A7835"/>
    <w:rsid w:val="008B6DA8"/>
    <w:rsid w:val="008C2638"/>
    <w:rsid w:val="008C5FEB"/>
    <w:rsid w:val="008D1C56"/>
    <w:rsid w:val="008D26E3"/>
    <w:rsid w:val="0095469C"/>
    <w:rsid w:val="00964943"/>
    <w:rsid w:val="009B1AC1"/>
    <w:rsid w:val="009B2C90"/>
    <w:rsid w:val="009B7757"/>
    <w:rsid w:val="009D37B4"/>
    <w:rsid w:val="009F0B2A"/>
    <w:rsid w:val="009F720C"/>
    <w:rsid w:val="00A00E85"/>
    <w:rsid w:val="00A17F2F"/>
    <w:rsid w:val="00A23802"/>
    <w:rsid w:val="00A24C77"/>
    <w:rsid w:val="00A2745B"/>
    <w:rsid w:val="00A42276"/>
    <w:rsid w:val="00A4662B"/>
    <w:rsid w:val="00A5183F"/>
    <w:rsid w:val="00A61547"/>
    <w:rsid w:val="00A63BB3"/>
    <w:rsid w:val="00A87EDF"/>
    <w:rsid w:val="00A923A5"/>
    <w:rsid w:val="00AA3D07"/>
    <w:rsid w:val="00AA6438"/>
    <w:rsid w:val="00AC2F1D"/>
    <w:rsid w:val="00AD08EA"/>
    <w:rsid w:val="00AD2FCB"/>
    <w:rsid w:val="00AF6720"/>
    <w:rsid w:val="00B40C50"/>
    <w:rsid w:val="00B42100"/>
    <w:rsid w:val="00B44886"/>
    <w:rsid w:val="00B4531D"/>
    <w:rsid w:val="00B55CB9"/>
    <w:rsid w:val="00B56602"/>
    <w:rsid w:val="00B66E6A"/>
    <w:rsid w:val="00B70456"/>
    <w:rsid w:val="00B76CEA"/>
    <w:rsid w:val="00B873BB"/>
    <w:rsid w:val="00B91775"/>
    <w:rsid w:val="00B9667B"/>
    <w:rsid w:val="00BA7E73"/>
    <w:rsid w:val="00BB2FD1"/>
    <w:rsid w:val="00BB570E"/>
    <w:rsid w:val="00BC32B0"/>
    <w:rsid w:val="00BC4FCA"/>
    <w:rsid w:val="00BC7120"/>
    <w:rsid w:val="00BD2424"/>
    <w:rsid w:val="00BD34C8"/>
    <w:rsid w:val="00BE69CE"/>
    <w:rsid w:val="00BF0FDB"/>
    <w:rsid w:val="00BF5D55"/>
    <w:rsid w:val="00C01BC1"/>
    <w:rsid w:val="00C41BB4"/>
    <w:rsid w:val="00C428EA"/>
    <w:rsid w:val="00C42F72"/>
    <w:rsid w:val="00C617FD"/>
    <w:rsid w:val="00C61D3E"/>
    <w:rsid w:val="00C67E84"/>
    <w:rsid w:val="00C707E7"/>
    <w:rsid w:val="00C76C38"/>
    <w:rsid w:val="00CA7F1B"/>
    <w:rsid w:val="00CB004E"/>
    <w:rsid w:val="00CB6E34"/>
    <w:rsid w:val="00CC560F"/>
    <w:rsid w:val="00CC65E0"/>
    <w:rsid w:val="00CD0EA3"/>
    <w:rsid w:val="00CD141B"/>
    <w:rsid w:val="00CF32B5"/>
    <w:rsid w:val="00CF5DB6"/>
    <w:rsid w:val="00D00EFE"/>
    <w:rsid w:val="00D0168B"/>
    <w:rsid w:val="00D039C0"/>
    <w:rsid w:val="00D24F0E"/>
    <w:rsid w:val="00D37356"/>
    <w:rsid w:val="00D4027B"/>
    <w:rsid w:val="00D42E15"/>
    <w:rsid w:val="00D53566"/>
    <w:rsid w:val="00D54CB5"/>
    <w:rsid w:val="00D6185F"/>
    <w:rsid w:val="00D65F0E"/>
    <w:rsid w:val="00D71E8A"/>
    <w:rsid w:val="00D730FC"/>
    <w:rsid w:val="00D80006"/>
    <w:rsid w:val="00D84920"/>
    <w:rsid w:val="00D942BB"/>
    <w:rsid w:val="00D95D63"/>
    <w:rsid w:val="00DD0D05"/>
    <w:rsid w:val="00DE47CA"/>
    <w:rsid w:val="00DE4EB0"/>
    <w:rsid w:val="00DE7A52"/>
    <w:rsid w:val="00DF7273"/>
    <w:rsid w:val="00DF7A1D"/>
    <w:rsid w:val="00E12D84"/>
    <w:rsid w:val="00E13CF0"/>
    <w:rsid w:val="00E163FB"/>
    <w:rsid w:val="00E22060"/>
    <w:rsid w:val="00E52CEA"/>
    <w:rsid w:val="00E52FA1"/>
    <w:rsid w:val="00E62C0E"/>
    <w:rsid w:val="00E70E00"/>
    <w:rsid w:val="00E73C44"/>
    <w:rsid w:val="00E84E5F"/>
    <w:rsid w:val="00EA025F"/>
    <w:rsid w:val="00EA1811"/>
    <w:rsid w:val="00EA55DF"/>
    <w:rsid w:val="00ED2F0B"/>
    <w:rsid w:val="00EE50E1"/>
    <w:rsid w:val="00EF1F61"/>
    <w:rsid w:val="00EF320C"/>
    <w:rsid w:val="00F007A3"/>
    <w:rsid w:val="00F041DB"/>
    <w:rsid w:val="00F246BC"/>
    <w:rsid w:val="00F24D5C"/>
    <w:rsid w:val="00F30595"/>
    <w:rsid w:val="00F34371"/>
    <w:rsid w:val="00F353B4"/>
    <w:rsid w:val="00F3588E"/>
    <w:rsid w:val="00F46099"/>
    <w:rsid w:val="00F5351D"/>
    <w:rsid w:val="00F562FB"/>
    <w:rsid w:val="00F63924"/>
    <w:rsid w:val="00F66B83"/>
    <w:rsid w:val="00FE253D"/>
    <w:rsid w:val="00FE675D"/>
    <w:rsid w:val="00FF1A6C"/>
    <w:rsid w:val="024B7610"/>
    <w:rsid w:val="02904630"/>
    <w:rsid w:val="02DF2789"/>
    <w:rsid w:val="02ED0A04"/>
    <w:rsid w:val="03044238"/>
    <w:rsid w:val="032E23EC"/>
    <w:rsid w:val="03465690"/>
    <w:rsid w:val="03905C46"/>
    <w:rsid w:val="042F6008"/>
    <w:rsid w:val="047E57B2"/>
    <w:rsid w:val="05BB7856"/>
    <w:rsid w:val="06727787"/>
    <w:rsid w:val="067B3B7A"/>
    <w:rsid w:val="069A2713"/>
    <w:rsid w:val="06AE35CF"/>
    <w:rsid w:val="072C602A"/>
    <w:rsid w:val="073519BE"/>
    <w:rsid w:val="077A62E2"/>
    <w:rsid w:val="079D0391"/>
    <w:rsid w:val="07E32029"/>
    <w:rsid w:val="080B7E8E"/>
    <w:rsid w:val="084844DD"/>
    <w:rsid w:val="085942BE"/>
    <w:rsid w:val="08A04ACA"/>
    <w:rsid w:val="08A46BEC"/>
    <w:rsid w:val="08E43459"/>
    <w:rsid w:val="09CC2BF4"/>
    <w:rsid w:val="0AB25B7A"/>
    <w:rsid w:val="0B574BAB"/>
    <w:rsid w:val="0BC91002"/>
    <w:rsid w:val="0C4D5D6A"/>
    <w:rsid w:val="0CD66D6A"/>
    <w:rsid w:val="0E3D5C14"/>
    <w:rsid w:val="0E494602"/>
    <w:rsid w:val="0E70774D"/>
    <w:rsid w:val="0E7116F8"/>
    <w:rsid w:val="0F776F49"/>
    <w:rsid w:val="10174485"/>
    <w:rsid w:val="10F6548A"/>
    <w:rsid w:val="11F44ABD"/>
    <w:rsid w:val="12241950"/>
    <w:rsid w:val="12261667"/>
    <w:rsid w:val="127861E7"/>
    <w:rsid w:val="12826B84"/>
    <w:rsid w:val="13C56F60"/>
    <w:rsid w:val="13D36475"/>
    <w:rsid w:val="14B21B34"/>
    <w:rsid w:val="16044C16"/>
    <w:rsid w:val="170C48FB"/>
    <w:rsid w:val="176D24AC"/>
    <w:rsid w:val="176F0FF1"/>
    <w:rsid w:val="17832D68"/>
    <w:rsid w:val="18514931"/>
    <w:rsid w:val="19DB4F8D"/>
    <w:rsid w:val="1A485342"/>
    <w:rsid w:val="1A923EFD"/>
    <w:rsid w:val="1B6C03A2"/>
    <w:rsid w:val="1BF53D8E"/>
    <w:rsid w:val="1BF819CE"/>
    <w:rsid w:val="1C7601C5"/>
    <w:rsid w:val="1CA97AF2"/>
    <w:rsid w:val="1CB25BED"/>
    <w:rsid w:val="1CB41B1A"/>
    <w:rsid w:val="1CE90C78"/>
    <w:rsid w:val="1CEA21B3"/>
    <w:rsid w:val="1D3905C6"/>
    <w:rsid w:val="1D7A3BAE"/>
    <w:rsid w:val="1E107C25"/>
    <w:rsid w:val="1E4A7FBF"/>
    <w:rsid w:val="1E5C00D9"/>
    <w:rsid w:val="1E7D5A72"/>
    <w:rsid w:val="1EFC20F3"/>
    <w:rsid w:val="1FEC1CBA"/>
    <w:rsid w:val="200B1359"/>
    <w:rsid w:val="215A56A0"/>
    <w:rsid w:val="21B43BB0"/>
    <w:rsid w:val="21F96A6E"/>
    <w:rsid w:val="22496209"/>
    <w:rsid w:val="22DF060E"/>
    <w:rsid w:val="23EA355D"/>
    <w:rsid w:val="240259F0"/>
    <w:rsid w:val="2404542C"/>
    <w:rsid w:val="24C92EFB"/>
    <w:rsid w:val="25057336"/>
    <w:rsid w:val="26FF47D2"/>
    <w:rsid w:val="27213B35"/>
    <w:rsid w:val="2776089C"/>
    <w:rsid w:val="27BF0D76"/>
    <w:rsid w:val="27E00EE0"/>
    <w:rsid w:val="28142779"/>
    <w:rsid w:val="2A515B4F"/>
    <w:rsid w:val="2B1954ED"/>
    <w:rsid w:val="2B352870"/>
    <w:rsid w:val="2B4C314F"/>
    <w:rsid w:val="2BB64D7D"/>
    <w:rsid w:val="2BF93154"/>
    <w:rsid w:val="2C1433C1"/>
    <w:rsid w:val="2CAA1E0C"/>
    <w:rsid w:val="2D35264F"/>
    <w:rsid w:val="2D857649"/>
    <w:rsid w:val="2D8B0528"/>
    <w:rsid w:val="2E2A32A9"/>
    <w:rsid w:val="2E4134C1"/>
    <w:rsid w:val="2E760F0A"/>
    <w:rsid w:val="2F7755CB"/>
    <w:rsid w:val="2FF37397"/>
    <w:rsid w:val="30106775"/>
    <w:rsid w:val="30E93A29"/>
    <w:rsid w:val="31E3128D"/>
    <w:rsid w:val="343E5D9D"/>
    <w:rsid w:val="34851422"/>
    <w:rsid w:val="35171994"/>
    <w:rsid w:val="35FC0AE7"/>
    <w:rsid w:val="360E6349"/>
    <w:rsid w:val="363D3CC1"/>
    <w:rsid w:val="36CD4E4A"/>
    <w:rsid w:val="382D255F"/>
    <w:rsid w:val="38E13268"/>
    <w:rsid w:val="398A2C9E"/>
    <w:rsid w:val="399455E7"/>
    <w:rsid w:val="3A254190"/>
    <w:rsid w:val="3A352FBB"/>
    <w:rsid w:val="3A5178B3"/>
    <w:rsid w:val="3A806E2F"/>
    <w:rsid w:val="3AA05DA1"/>
    <w:rsid w:val="3B572E86"/>
    <w:rsid w:val="3BA61585"/>
    <w:rsid w:val="3BF84B8E"/>
    <w:rsid w:val="3E1F5C22"/>
    <w:rsid w:val="3E830F89"/>
    <w:rsid w:val="3F0F71F9"/>
    <w:rsid w:val="3F4D44A2"/>
    <w:rsid w:val="401A4AC8"/>
    <w:rsid w:val="413A1A82"/>
    <w:rsid w:val="41645C9E"/>
    <w:rsid w:val="41D40AF0"/>
    <w:rsid w:val="422E642A"/>
    <w:rsid w:val="42BD295A"/>
    <w:rsid w:val="42CB4362"/>
    <w:rsid w:val="43217FE2"/>
    <w:rsid w:val="433B3FD3"/>
    <w:rsid w:val="436627E9"/>
    <w:rsid w:val="438350FA"/>
    <w:rsid w:val="4389215F"/>
    <w:rsid w:val="438C142D"/>
    <w:rsid w:val="4392006A"/>
    <w:rsid w:val="43B77EC0"/>
    <w:rsid w:val="43C3288C"/>
    <w:rsid w:val="43CD0555"/>
    <w:rsid w:val="43E90D2C"/>
    <w:rsid w:val="44025BF0"/>
    <w:rsid w:val="44DE5E1B"/>
    <w:rsid w:val="45A06CC5"/>
    <w:rsid w:val="45B346C6"/>
    <w:rsid w:val="46CB52FC"/>
    <w:rsid w:val="46F0533D"/>
    <w:rsid w:val="488D2675"/>
    <w:rsid w:val="49272AA2"/>
    <w:rsid w:val="49291172"/>
    <w:rsid w:val="49607176"/>
    <w:rsid w:val="49A95F2D"/>
    <w:rsid w:val="4A814816"/>
    <w:rsid w:val="4B8511B1"/>
    <w:rsid w:val="4BB6088A"/>
    <w:rsid w:val="4BB827F5"/>
    <w:rsid w:val="4C187A31"/>
    <w:rsid w:val="4C76314B"/>
    <w:rsid w:val="4DBD75E9"/>
    <w:rsid w:val="4E4674E6"/>
    <w:rsid w:val="4E567FF0"/>
    <w:rsid w:val="4E641FF3"/>
    <w:rsid w:val="4E7A5C30"/>
    <w:rsid w:val="4EE4512B"/>
    <w:rsid w:val="4F4B58F0"/>
    <w:rsid w:val="4F9831FB"/>
    <w:rsid w:val="4FC263E1"/>
    <w:rsid w:val="4FCE68B0"/>
    <w:rsid w:val="50BE71A8"/>
    <w:rsid w:val="51C91180"/>
    <w:rsid w:val="52280F5E"/>
    <w:rsid w:val="52AE5D1F"/>
    <w:rsid w:val="52B92F0B"/>
    <w:rsid w:val="531A3FDA"/>
    <w:rsid w:val="5381244C"/>
    <w:rsid w:val="53FA2113"/>
    <w:rsid w:val="540D038A"/>
    <w:rsid w:val="5436759C"/>
    <w:rsid w:val="54ED5A51"/>
    <w:rsid w:val="550263DC"/>
    <w:rsid w:val="55C142CB"/>
    <w:rsid w:val="56582F22"/>
    <w:rsid w:val="56752DE7"/>
    <w:rsid w:val="568561B4"/>
    <w:rsid w:val="56892492"/>
    <w:rsid w:val="56A528B0"/>
    <w:rsid w:val="56C12B9A"/>
    <w:rsid w:val="575E3CF1"/>
    <w:rsid w:val="57CD2AF8"/>
    <w:rsid w:val="58624883"/>
    <w:rsid w:val="5876656F"/>
    <w:rsid w:val="587C7EE0"/>
    <w:rsid w:val="589F323B"/>
    <w:rsid w:val="5AEC7300"/>
    <w:rsid w:val="5B1D3134"/>
    <w:rsid w:val="5BF52CEA"/>
    <w:rsid w:val="5BFD230E"/>
    <w:rsid w:val="5DB57C4A"/>
    <w:rsid w:val="5E897730"/>
    <w:rsid w:val="5F7A40DF"/>
    <w:rsid w:val="603170D9"/>
    <w:rsid w:val="6070571A"/>
    <w:rsid w:val="60CB750C"/>
    <w:rsid w:val="61407584"/>
    <w:rsid w:val="616F3B21"/>
    <w:rsid w:val="61F50E1D"/>
    <w:rsid w:val="64490810"/>
    <w:rsid w:val="64A1222E"/>
    <w:rsid w:val="64AD1728"/>
    <w:rsid w:val="650E4D44"/>
    <w:rsid w:val="654C2E98"/>
    <w:rsid w:val="65E55ECE"/>
    <w:rsid w:val="65F53B49"/>
    <w:rsid w:val="663452C2"/>
    <w:rsid w:val="66A3066B"/>
    <w:rsid w:val="67EF6DEB"/>
    <w:rsid w:val="68D91DCB"/>
    <w:rsid w:val="68F20C83"/>
    <w:rsid w:val="690270D6"/>
    <w:rsid w:val="6A1243D0"/>
    <w:rsid w:val="6B9F75F2"/>
    <w:rsid w:val="6C0747F6"/>
    <w:rsid w:val="6C1B5CDE"/>
    <w:rsid w:val="6C366899"/>
    <w:rsid w:val="6C8D7596"/>
    <w:rsid w:val="6D1557FB"/>
    <w:rsid w:val="6D7C6692"/>
    <w:rsid w:val="6D9E7845"/>
    <w:rsid w:val="6E4659E5"/>
    <w:rsid w:val="6F230AE6"/>
    <w:rsid w:val="6F330E57"/>
    <w:rsid w:val="6F516FDD"/>
    <w:rsid w:val="6F6A0191"/>
    <w:rsid w:val="6F6A0FF6"/>
    <w:rsid w:val="6FF127E6"/>
    <w:rsid w:val="703219C2"/>
    <w:rsid w:val="70456C7B"/>
    <w:rsid w:val="709062C3"/>
    <w:rsid w:val="718309B8"/>
    <w:rsid w:val="71AA6732"/>
    <w:rsid w:val="72731832"/>
    <w:rsid w:val="729B682C"/>
    <w:rsid w:val="72EC1F71"/>
    <w:rsid w:val="73397D9F"/>
    <w:rsid w:val="743A1952"/>
    <w:rsid w:val="74A34CB4"/>
    <w:rsid w:val="74BD6245"/>
    <w:rsid w:val="763B471A"/>
    <w:rsid w:val="76CB3BBF"/>
    <w:rsid w:val="77CC60FC"/>
    <w:rsid w:val="782D432B"/>
    <w:rsid w:val="7857382F"/>
    <w:rsid w:val="79A11BA0"/>
    <w:rsid w:val="7A1B7E7C"/>
    <w:rsid w:val="7A5A2E35"/>
    <w:rsid w:val="7ACE7DC0"/>
    <w:rsid w:val="7B563005"/>
    <w:rsid w:val="7BD51865"/>
    <w:rsid w:val="7C0758D8"/>
    <w:rsid w:val="7C417202"/>
    <w:rsid w:val="7CC46E5B"/>
    <w:rsid w:val="7D267787"/>
    <w:rsid w:val="7D9E5F6B"/>
    <w:rsid w:val="7DC85F2A"/>
    <w:rsid w:val="7E035DD3"/>
    <w:rsid w:val="7E430E21"/>
    <w:rsid w:val="7EC7642F"/>
    <w:rsid w:val="7F3A2374"/>
    <w:rsid w:val="7FF72AF3"/>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4"/>
    <w:semiHidden/>
    <w:qFormat/>
    <w:uiPriority w:val="99"/>
    <w:pPr>
      <w:spacing w:line="240" w:lineRule="auto"/>
      <w:ind w:left="100" w:leftChars="2500"/>
    </w:pPr>
    <w:rPr>
      <w:rFonts w:ascii="Times New Roman" w:hAnsi="Times New Roman" w:eastAsia="宋体"/>
      <w:kern w:val="0"/>
      <w:sz w:val="24"/>
      <w:szCs w:val="24"/>
    </w:rPr>
  </w:style>
  <w:style w:type="paragraph" w:styleId="3">
    <w:name w:val="Balloon Text"/>
    <w:basedOn w:val="1"/>
    <w:link w:val="13"/>
    <w:semiHidden/>
    <w:unhideWhenUsed/>
    <w:qFormat/>
    <w:uiPriority w:val="99"/>
    <w:pPr>
      <w:spacing w:line="240" w:lineRule="auto"/>
    </w:pPr>
    <w:rPr>
      <w:sz w:val="18"/>
      <w:szCs w:val="18"/>
    </w:rPr>
  </w:style>
  <w:style w:type="paragraph" w:styleId="4">
    <w:name w:val="footer"/>
    <w:basedOn w:val="1"/>
    <w:link w:val="12"/>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1"/>
    <w:qFormat/>
    <w:uiPriority w:val="99"/>
    <w:pPr>
      <w:pBdr>
        <w:bottom w:val="single" w:color="auto" w:sz="6" w:space="1"/>
      </w:pBdr>
      <w:tabs>
        <w:tab w:val="center" w:pos="4153"/>
        <w:tab w:val="right" w:pos="8306"/>
      </w:tabs>
      <w:snapToGrid w:val="0"/>
      <w:spacing w:line="240" w:lineRule="atLeast"/>
      <w:jc w:val="center"/>
    </w:pPr>
    <w:rPr>
      <w:sz w:val="18"/>
      <w:szCs w:val="18"/>
    </w:rPr>
  </w:style>
  <w:style w:type="table" w:styleId="7">
    <w:name w:val="Table Grid"/>
    <w:basedOn w:val="6"/>
    <w:qFormat/>
    <w:locked/>
    <w:uiPriority w:val="59"/>
    <w:rPr>
      <w:rFonts w:ascii="Calibri" w:hAnsi="Calibri"/>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9">
    <w:name w:val="page number"/>
    <w:basedOn w:val="8"/>
    <w:qFormat/>
    <w:uiPriority w:val="0"/>
  </w:style>
  <w:style w:type="paragraph" w:customStyle="1" w:styleId="10">
    <w:name w:val="Char"/>
    <w:basedOn w:val="1"/>
    <w:qFormat/>
    <w:uiPriority w:val="99"/>
    <w:pPr>
      <w:spacing w:line="240" w:lineRule="auto"/>
    </w:pPr>
    <w:rPr>
      <w:rFonts w:ascii="Times New Roman" w:hAnsi="Times New Roman" w:eastAsia="宋体"/>
      <w:sz w:val="21"/>
      <w:szCs w:val="20"/>
    </w:rPr>
  </w:style>
  <w:style w:type="character" w:customStyle="1" w:styleId="11">
    <w:name w:val="页眉 Char"/>
    <w:link w:val="5"/>
    <w:qFormat/>
    <w:locked/>
    <w:uiPriority w:val="99"/>
    <w:rPr>
      <w:rFonts w:ascii="仿宋_GB2312" w:hAnsi="Calibri" w:eastAsia="仿宋_GB2312" w:cs="Times New Roman"/>
      <w:sz w:val="18"/>
      <w:szCs w:val="18"/>
    </w:rPr>
  </w:style>
  <w:style w:type="character" w:customStyle="1" w:styleId="12">
    <w:name w:val="页脚 Char"/>
    <w:link w:val="4"/>
    <w:qFormat/>
    <w:locked/>
    <w:uiPriority w:val="99"/>
    <w:rPr>
      <w:rFonts w:ascii="仿宋_GB2312" w:hAnsi="Calibri" w:eastAsia="仿宋_GB2312" w:cs="Times New Roman"/>
      <w:sz w:val="18"/>
      <w:szCs w:val="18"/>
    </w:rPr>
  </w:style>
  <w:style w:type="character" w:customStyle="1" w:styleId="13">
    <w:name w:val="批注框文本 Char"/>
    <w:link w:val="3"/>
    <w:semiHidden/>
    <w:qFormat/>
    <w:uiPriority w:val="99"/>
    <w:rPr>
      <w:rFonts w:ascii="仿宋_GB2312" w:eastAsia="仿宋_GB2312"/>
      <w:kern w:val="2"/>
      <w:sz w:val="18"/>
      <w:szCs w:val="18"/>
    </w:rPr>
  </w:style>
  <w:style w:type="character" w:customStyle="1" w:styleId="14">
    <w:name w:val="日期 Char"/>
    <w:link w:val="2"/>
    <w:semiHidden/>
    <w:qFormat/>
    <w:locked/>
    <w:uiPriority w:val="99"/>
    <w:rPr>
      <w:rFonts w:ascii="Times New Roman" w:hAnsi="Times New Roman"/>
      <w:sz w:val="24"/>
      <w:szCs w:val="24"/>
    </w:rPr>
  </w:style>
  <w:style w:type="character" w:customStyle="1" w:styleId="15">
    <w:name w:val="日期 Char1"/>
    <w:basedOn w:val="8"/>
    <w:semiHidden/>
    <w:qFormat/>
    <w:uiPriority w:val="99"/>
    <w:rPr>
      <w:rFonts w:ascii="仿宋_GB2312" w:eastAsia="仿宋_GB2312"/>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11</Pages>
  <Words>946</Words>
  <Characters>5394</Characters>
  <Lines>44</Lines>
  <Paragraphs>12</Paragraphs>
  <TotalTime>84</TotalTime>
  <ScaleCrop>false</ScaleCrop>
  <LinksUpToDate>false</LinksUpToDate>
  <CharactersWithSpaces>6328</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2019-04-15T01:57:00Z</dcterms:created>
  <dc:creator>lenovo</dc:creator>
  <cp:lastModifiedBy>柯柯妈</cp:lastModifiedBy>
  <cp:lastPrinted>2020-04-07T06:25:00Z</cp:lastPrinted>
  <dcterms:modified xsi:type="dcterms:W3CDTF">2020-12-15T03:41:26Z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