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2019</w:t>
      </w:r>
      <w:r>
        <w:rPr>
          <w:rFonts w:hint="eastAsia" w:ascii="方正小标宋简体" w:hAnsi="方正小标宋简体" w:eastAsia="方正小标宋简体" w:cs="方正小标宋简体"/>
          <w:sz w:val="36"/>
          <w:szCs w:val="36"/>
        </w:rPr>
        <w:t>年度</w:t>
      </w:r>
      <w:r>
        <w:rPr>
          <w:rFonts w:hint="eastAsia" w:ascii="方正小标宋简体" w:hAnsi="方正小标宋简体" w:eastAsia="方正小标宋简体" w:cs="方正小标宋简体"/>
          <w:sz w:val="36"/>
          <w:szCs w:val="36"/>
          <w:lang w:val="en-US" w:eastAsia="zh-CN"/>
        </w:rPr>
        <w:t>长沙市望城区粮食和物资储备事务中心</w:t>
      </w:r>
    </w:p>
    <w:p>
      <w:pPr>
        <w:spacing w:line="600" w:lineRule="exact"/>
        <w:jc w:val="center"/>
        <w:rPr>
          <w:rFonts w:hint="default"/>
          <w:sz w:val="36"/>
          <w:szCs w:val="36"/>
        </w:rPr>
      </w:pPr>
      <w:r>
        <w:rPr>
          <w:rFonts w:hint="eastAsia" w:ascii="方正小标宋简体" w:hAnsi="方正小标宋简体" w:eastAsia="方正小标宋简体" w:cs="方正小标宋简体"/>
          <w:sz w:val="36"/>
          <w:szCs w:val="36"/>
        </w:rPr>
        <w:t>部门整体支出预算绩效自评报告</w:t>
      </w:r>
    </w:p>
    <w:p>
      <w:pPr>
        <w:keepNext w:val="0"/>
        <w:keepLines w:val="0"/>
        <w:pageBreakBefore w:val="0"/>
        <w:numPr>
          <w:ilvl w:val="0"/>
          <w:numId w:val="1"/>
        </w:numPr>
        <w:kinsoku/>
        <w:wordWrap/>
        <w:overflowPunct/>
        <w:topLinePunct w:val="0"/>
        <w:autoSpaceDE/>
        <w:autoSpaceDN/>
        <w:bidi w:val="0"/>
        <w:spacing w:beforeAutospacing="0" w:line="600" w:lineRule="exact"/>
        <w:ind w:firstLine="640" w:firstLineChars="200"/>
        <w:jc w:val="both"/>
        <w:rPr>
          <w:rFonts w:hint="eastAsia" w:ascii="黑体" w:hAnsi="黑体" w:eastAsia="黑体" w:cs="黑体"/>
          <w:sz w:val="32"/>
          <w:szCs w:val="32"/>
        </w:rPr>
      </w:pPr>
      <w:r>
        <w:rPr>
          <w:rFonts w:hint="eastAsia" w:ascii="黑体" w:hAnsi="黑体" w:eastAsia="黑体" w:cs="黑体"/>
          <w:sz w:val="32"/>
          <w:szCs w:val="32"/>
        </w:rPr>
        <w:t>部门（单位）基本情况</w:t>
      </w:r>
    </w:p>
    <w:p>
      <w:pPr>
        <w:keepNext w:val="0"/>
        <w:keepLines w:val="0"/>
        <w:pageBreakBefore w:val="0"/>
        <w:kinsoku/>
        <w:wordWrap/>
        <w:overflowPunct/>
        <w:topLinePunct w:val="0"/>
        <w:autoSpaceDE/>
        <w:autoSpaceDN/>
        <w:bidi w:val="0"/>
        <w:spacing w:beforeAutospacing="0" w:afterAutospacing="0" w:line="600" w:lineRule="exact"/>
        <w:ind w:firstLine="643" w:firstLineChars="200"/>
        <w:jc w:val="both"/>
        <w:textAlignment w:val="bottom"/>
        <w:outlineLvl w:val="9"/>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b/>
          <w:bCs/>
          <w:sz w:val="32"/>
          <w:szCs w:val="32"/>
          <w:lang w:eastAsia="zh-CN"/>
        </w:rPr>
        <w:t>1.主要职能。</w:t>
      </w:r>
      <w:r>
        <w:rPr>
          <w:rFonts w:hint="eastAsia" w:ascii="仿宋_GB2312" w:hAnsi="仿宋_GB2312" w:eastAsia="仿宋_GB2312" w:cs="仿宋_GB2312"/>
          <w:color w:val="auto"/>
          <w:sz w:val="32"/>
          <w:szCs w:val="32"/>
          <w:lang w:val="en-US" w:eastAsia="zh-CN"/>
        </w:rPr>
        <w:t>长沙市望城</w:t>
      </w:r>
      <w:r>
        <w:rPr>
          <w:rFonts w:hint="eastAsia" w:ascii="仿宋_GB2312" w:hAnsi="仿宋_GB2312" w:eastAsia="仿宋_GB2312" w:cs="仿宋_GB2312"/>
          <w:color w:val="auto"/>
          <w:sz w:val="32"/>
          <w:szCs w:val="32"/>
        </w:rPr>
        <w:t>区粮食</w:t>
      </w:r>
      <w:r>
        <w:rPr>
          <w:rFonts w:hint="eastAsia" w:ascii="仿宋_GB2312" w:hAnsi="仿宋_GB2312" w:eastAsia="仿宋_GB2312" w:cs="仿宋_GB2312"/>
          <w:color w:val="auto"/>
          <w:sz w:val="32"/>
          <w:szCs w:val="32"/>
          <w:lang w:val="en-US" w:eastAsia="zh-CN"/>
        </w:rPr>
        <w:t>和物资储备事务中心贯彻落实党中央、省委、市委和区委关于粮食和物资储备工作的方针政策和决策部署，在履行职责过程中坚持和加强党对粮食和物资储备工作的集中统一领导。</w:t>
      </w:r>
      <w:r>
        <w:rPr>
          <w:rFonts w:hint="eastAsia" w:ascii="仿宋_GB2312" w:hAnsi="仿宋_GB2312" w:eastAsia="仿宋_GB2312" w:cs="仿宋_GB2312"/>
          <w:color w:val="auto"/>
          <w:sz w:val="32"/>
          <w:szCs w:val="32"/>
        </w:rPr>
        <w:t>主要负责</w:t>
      </w:r>
      <w:r>
        <w:rPr>
          <w:rFonts w:hint="eastAsia" w:ascii="仿宋_GB2312" w:hAnsi="仿宋_GB2312" w:eastAsia="仿宋_GB2312" w:cs="仿宋_GB2312"/>
          <w:color w:val="auto"/>
          <w:sz w:val="32"/>
          <w:szCs w:val="32"/>
          <w:lang w:val="en-US" w:eastAsia="zh-CN"/>
        </w:rPr>
        <w:t>是：</w:t>
      </w:r>
      <w:r>
        <w:rPr>
          <w:rFonts w:hint="eastAsia" w:ascii="仿宋_GB2312" w:hAnsi="仿宋_GB2312" w:eastAsia="仿宋_GB2312" w:cs="仿宋_GB2312"/>
          <w:color w:val="auto"/>
          <w:kern w:val="0"/>
          <w:sz w:val="32"/>
          <w:szCs w:val="32"/>
        </w:rPr>
        <w:t>贯彻执行国家和省、市粮食</w:t>
      </w:r>
      <w:r>
        <w:rPr>
          <w:rFonts w:hint="eastAsia" w:ascii="仿宋_GB2312" w:hAnsi="仿宋_GB2312" w:eastAsia="仿宋_GB2312" w:cs="仿宋_GB2312"/>
          <w:color w:val="auto"/>
          <w:sz w:val="32"/>
          <w:szCs w:val="32"/>
          <w:lang w:val="en-US" w:eastAsia="zh-CN"/>
        </w:rPr>
        <w:t>和物资储备</w:t>
      </w:r>
      <w:r>
        <w:rPr>
          <w:rFonts w:hint="eastAsia" w:ascii="仿宋_GB2312" w:hAnsi="仿宋_GB2312" w:eastAsia="仿宋_GB2312" w:cs="仿宋_GB2312"/>
          <w:color w:val="auto"/>
          <w:kern w:val="0"/>
          <w:sz w:val="32"/>
          <w:szCs w:val="32"/>
        </w:rPr>
        <w:t>工作</w:t>
      </w:r>
      <w:r>
        <w:rPr>
          <w:rFonts w:hint="eastAsia" w:ascii="仿宋_GB2312" w:hAnsi="仿宋_GB2312" w:eastAsia="仿宋_GB2312" w:cs="仿宋_GB2312"/>
          <w:color w:val="auto"/>
          <w:kern w:val="0"/>
          <w:sz w:val="32"/>
          <w:szCs w:val="32"/>
          <w:lang w:val="en-US" w:eastAsia="zh-CN"/>
        </w:rPr>
        <w:t>的</w:t>
      </w:r>
      <w:r>
        <w:rPr>
          <w:rFonts w:hint="eastAsia" w:ascii="仿宋_GB2312" w:hAnsi="仿宋_GB2312" w:eastAsia="仿宋_GB2312" w:cs="仿宋_GB2312"/>
          <w:color w:val="auto"/>
          <w:kern w:val="0"/>
          <w:sz w:val="32"/>
          <w:szCs w:val="32"/>
        </w:rPr>
        <w:t>方针政策和法律法规；研究提出并</w:t>
      </w:r>
      <w:r>
        <w:rPr>
          <w:rFonts w:hint="eastAsia" w:ascii="仿宋_GB2312" w:hAnsi="仿宋_GB2312" w:eastAsia="仿宋_GB2312" w:cs="仿宋_GB2312"/>
          <w:color w:val="auto"/>
          <w:kern w:val="0"/>
          <w:sz w:val="32"/>
          <w:szCs w:val="32"/>
          <w:lang w:val="en-US" w:eastAsia="zh-CN"/>
        </w:rPr>
        <w:t>参与</w:t>
      </w:r>
      <w:r>
        <w:rPr>
          <w:rFonts w:hint="eastAsia" w:ascii="仿宋_GB2312" w:hAnsi="仿宋_GB2312" w:eastAsia="仿宋_GB2312" w:cs="仿宋_GB2312"/>
          <w:color w:val="auto"/>
          <w:kern w:val="0"/>
          <w:sz w:val="32"/>
          <w:szCs w:val="32"/>
        </w:rPr>
        <w:t>组织实施全区粮食总量平衡、宏观调控以及粮食流通发展战略、中长期规划和年度粮食工作计划；研究提出全区</w:t>
      </w:r>
      <w:r>
        <w:rPr>
          <w:rFonts w:hint="eastAsia" w:ascii="仿宋_GB2312" w:hAnsi="仿宋_GB2312" w:eastAsia="仿宋_GB2312" w:cs="仿宋_GB2312"/>
          <w:color w:val="auto"/>
          <w:kern w:val="0"/>
          <w:sz w:val="32"/>
          <w:szCs w:val="32"/>
          <w:lang w:val="en-US" w:eastAsia="zh-CN"/>
        </w:rPr>
        <w:t>战略物资储备计划、全区储备品种目录的建议；根据全区储备总体发展规划和品种目录，组织实施</w:t>
      </w:r>
      <w:r>
        <w:rPr>
          <w:rFonts w:hint="eastAsia" w:ascii="仿宋_GB2312" w:hAnsi="仿宋_GB2312" w:eastAsia="仿宋_GB2312" w:cs="仿宋_GB2312"/>
          <w:color w:val="auto"/>
          <w:kern w:val="0"/>
          <w:sz w:val="32"/>
          <w:szCs w:val="32"/>
        </w:rPr>
        <w:t>全区</w:t>
      </w:r>
      <w:r>
        <w:rPr>
          <w:rFonts w:hint="eastAsia" w:ascii="仿宋_GB2312" w:hAnsi="仿宋_GB2312" w:eastAsia="仿宋_GB2312" w:cs="仿宋_GB2312"/>
          <w:color w:val="auto"/>
          <w:kern w:val="0"/>
          <w:sz w:val="32"/>
          <w:szCs w:val="32"/>
          <w:lang w:val="en-US" w:eastAsia="zh-CN"/>
        </w:rPr>
        <w:t>战略和应急储备物资的收储、轮换和日常管理，落实有关动用计划和指令；</w:t>
      </w:r>
      <w:r>
        <w:rPr>
          <w:rFonts w:hint="eastAsia" w:ascii="仿宋_GB2312" w:hAnsi="仿宋_GB2312" w:eastAsia="仿宋_GB2312" w:cs="仿宋_GB2312"/>
          <w:color w:val="auto"/>
          <w:kern w:val="0"/>
          <w:sz w:val="32"/>
          <w:szCs w:val="32"/>
        </w:rPr>
        <w:t>组织落实</w:t>
      </w:r>
      <w:r>
        <w:rPr>
          <w:rFonts w:hint="eastAsia" w:ascii="仿宋_GB2312" w:hAnsi="仿宋_GB2312" w:eastAsia="仿宋_GB2312" w:cs="仿宋_GB2312"/>
          <w:color w:val="auto"/>
          <w:kern w:val="0"/>
          <w:sz w:val="32"/>
          <w:szCs w:val="32"/>
          <w:lang w:val="en-US" w:eastAsia="zh-CN"/>
        </w:rPr>
        <w:t>区内</w:t>
      </w:r>
      <w:r>
        <w:rPr>
          <w:rFonts w:hint="eastAsia" w:ascii="仿宋_GB2312" w:hAnsi="仿宋_GB2312" w:eastAsia="仿宋_GB2312" w:cs="仿宋_GB2312"/>
          <w:color w:val="auto"/>
          <w:kern w:val="0"/>
          <w:sz w:val="32"/>
          <w:szCs w:val="32"/>
        </w:rPr>
        <w:t>粮食收购任务，指导粮食</w:t>
      </w:r>
      <w:r>
        <w:rPr>
          <w:rFonts w:hint="eastAsia" w:ascii="仿宋_GB2312" w:hAnsi="仿宋_GB2312" w:eastAsia="仿宋_GB2312" w:cs="仿宋_GB2312"/>
          <w:color w:val="auto"/>
          <w:kern w:val="0"/>
          <w:sz w:val="32"/>
          <w:szCs w:val="32"/>
          <w:lang w:val="en-US" w:eastAsia="zh-CN"/>
        </w:rPr>
        <w:t>收储</w:t>
      </w:r>
      <w:r>
        <w:rPr>
          <w:rFonts w:hint="eastAsia" w:ascii="仿宋_GB2312" w:hAnsi="仿宋_GB2312" w:eastAsia="仿宋_GB2312" w:cs="仿宋_GB2312"/>
          <w:color w:val="auto"/>
          <w:kern w:val="0"/>
          <w:sz w:val="32"/>
          <w:szCs w:val="32"/>
        </w:rPr>
        <w:t>企业按照</w:t>
      </w:r>
      <w:r>
        <w:rPr>
          <w:rFonts w:hint="eastAsia" w:ascii="仿宋_GB2312" w:hAnsi="仿宋_GB2312" w:eastAsia="仿宋_GB2312" w:cs="仿宋_GB2312"/>
          <w:color w:val="auto"/>
          <w:kern w:val="0"/>
          <w:sz w:val="32"/>
          <w:szCs w:val="32"/>
          <w:lang w:val="en-US" w:eastAsia="zh-CN"/>
        </w:rPr>
        <w:t>粮食</w:t>
      </w:r>
      <w:r>
        <w:rPr>
          <w:rFonts w:hint="eastAsia" w:ascii="仿宋_GB2312" w:hAnsi="仿宋_GB2312" w:eastAsia="仿宋_GB2312" w:cs="仿宋_GB2312"/>
          <w:color w:val="auto"/>
          <w:kern w:val="0"/>
          <w:sz w:val="32"/>
          <w:szCs w:val="32"/>
        </w:rPr>
        <w:t>收购</w:t>
      </w:r>
      <w:r>
        <w:rPr>
          <w:rFonts w:hint="eastAsia" w:ascii="仿宋_GB2312" w:hAnsi="仿宋_GB2312" w:eastAsia="仿宋_GB2312" w:cs="仿宋_GB2312"/>
          <w:color w:val="auto"/>
          <w:kern w:val="0"/>
          <w:sz w:val="32"/>
          <w:szCs w:val="32"/>
          <w:lang w:val="en-US" w:eastAsia="zh-CN"/>
        </w:rPr>
        <w:t>政策</w:t>
      </w:r>
      <w:r>
        <w:rPr>
          <w:rFonts w:hint="eastAsia" w:ascii="仿宋_GB2312" w:hAnsi="仿宋_GB2312" w:eastAsia="仿宋_GB2312" w:cs="仿宋_GB2312"/>
          <w:color w:val="auto"/>
          <w:kern w:val="0"/>
          <w:sz w:val="32"/>
          <w:szCs w:val="32"/>
        </w:rPr>
        <w:t>入市收购</w:t>
      </w:r>
      <w:r>
        <w:rPr>
          <w:rFonts w:hint="eastAsia" w:ascii="仿宋_GB2312" w:hAnsi="仿宋_GB2312" w:eastAsia="仿宋_GB2312" w:cs="仿宋_GB2312"/>
          <w:color w:val="auto"/>
          <w:kern w:val="0"/>
          <w:sz w:val="32"/>
          <w:szCs w:val="32"/>
          <w:lang w:val="en-US" w:eastAsia="zh-CN"/>
        </w:rPr>
        <w:t>；</w:t>
      </w:r>
      <w:r>
        <w:rPr>
          <w:rFonts w:hint="eastAsia" w:ascii="仿宋_GB2312" w:hAnsi="仿宋_GB2312" w:eastAsia="仿宋_GB2312" w:cs="仿宋_GB2312"/>
          <w:color w:val="auto"/>
          <w:kern w:val="0"/>
          <w:sz w:val="32"/>
          <w:szCs w:val="32"/>
        </w:rPr>
        <w:t>配合有关部门调控和监管粮食价格，维护粮食市场秩序</w:t>
      </w:r>
      <w:r>
        <w:rPr>
          <w:rFonts w:hint="eastAsia" w:ascii="仿宋_GB2312" w:hAnsi="仿宋_GB2312" w:eastAsia="仿宋_GB2312" w:cs="仿宋_GB2312"/>
          <w:color w:val="auto"/>
          <w:kern w:val="0"/>
          <w:sz w:val="32"/>
          <w:szCs w:val="32"/>
          <w:lang w:val="en-US" w:eastAsia="zh-CN"/>
        </w:rPr>
        <w:t>；参与</w:t>
      </w:r>
      <w:r>
        <w:rPr>
          <w:rFonts w:hint="eastAsia" w:ascii="仿宋_GB2312" w:hAnsi="仿宋_GB2312" w:eastAsia="仿宋_GB2312" w:cs="仿宋_GB2312"/>
          <w:color w:val="auto"/>
          <w:kern w:val="0"/>
          <w:sz w:val="32"/>
          <w:szCs w:val="32"/>
        </w:rPr>
        <w:t>组织对全区粮食经营者执行国家有关粮食购销政策情况进行检查</w:t>
      </w:r>
      <w:r>
        <w:rPr>
          <w:rFonts w:hint="eastAsia" w:ascii="仿宋_GB2312" w:hAnsi="仿宋_GB2312" w:eastAsia="仿宋_GB2312" w:cs="仿宋_GB2312"/>
          <w:color w:val="auto"/>
          <w:kern w:val="0"/>
          <w:sz w:val="32"/>
          <w:szCs w:val="32"/>
          <w:lang w:val="en-US" w:eastAsia="zh-CN"/>
        </w:rPr>
        <w:t>；承担粮食安全省长责任制考核的日常事务性工作；根据</w:t>
      </w:r>
      <w:r>
        <w:rPr>
          <w:rFonts w:hint="eastAsia" w:ascii="仿宋_GB2312" w:hAnsi="仿宋_GB2312" w:eastAsia="仿宋_GB2312" w:cs="仿宋_GB2312"/>
          <w:color w:val="auto"/>
          <w:kern w:val="0"/>
          <w:sz w:val="32"/>
          <w:szCs w:val="32"/>
        </w:rPr>
        <w:t>国家</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省、市</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lang w:val="en-US" w:eastAsia="zh-CN"/>
        </w:rPr>
        <w:t>区粮食和物资储备总体发展规划，</w:t>
      </w:r>
      <w:r>
        <w:rPr>
          <w:rFonts w:hint="eastAsia" w:ascii="仿宋_GB2312" w:hAnsi="仿宋_GB2312" w:eastAsia="仿宋_GB2312" w:cs="仿宋_GB2312"/>
          <w:color w:val="auto"/>
          <w:kern w:val="0"/>
          <w:sz w:val="32"/>
          <w:szCs w:val="32"/>
        </w:rPr>
        <w:t>协调、</w:t>
      </w:r>
      <w:r>
        <w:rPr>
          <w:rFonts w:hint="eastAsia" w:ascii="仿宋_GB2312" w:hAnsi="仿宋_GB2312" w:eastAsia="仿宋_GB2312" w:cs="仿宋_GB2312"/>
          <w:color w:val="auto"/>
          <w:kern w:val="0"/>
          <w:sz w:val="32"/>
          <w:szCs w:val="32"/>
          <w:lang w:val="en-US" w:eastAsia="zh-CN"/>
        </w:rPr>
        <w:t>落实</w:t>
      </w:r>
      <w:r>
        <w:rPr>
          <w:rFonts w:hint="eastAsia" w:ascii="仿宋_GB2312" w:hAnsi="仿宋_GB2312" w:eastAsia="仿宋_GB2312" w:cs="仿宋_GB2312"/>
          <w:color w:val="auto"/>
          <w:kern w:val="0"/>
          <w:sz w:val="32"/>
          <w:szCs w:val="32"/>
        </w:rPr>
        <w:t>全区粮食</w:t>
      </w:r>
      <w:r>
        <w:rPr>
          <w:rFonts w:hint="eastAsia" w:ascii="仿宋_GB2312" w:hAnsi="仿宋_GB2312" w:eastAsia="仿宋_GB2312" w:cs="仿宋_GB2312"/>
          <w:color w:val="auto"/>
          <w:kern w:val="0"/>
          <w:sz w:val="32"/>
          <w:szCs w:val="32"/>
          <w:lang w:val="en-US" w:eastAsia="zh-CN"/>
        </w:rPr>
        <w:t>和物资储备</w:t>
      </w:r>
      <w:r>
        <w:rPr>
          <w:rFonts w:hint="eastAsia" w:ascii="仿宋_GB2312" w:hAnsi="仿宋_GB2312" w:eastAsia="仿宋_GB2312" w:cs="仿宋_GB2312"/>
          <w:color w:val="auto"/>
          <w:kern w:val="0"/>
          <w:sz w:val="32"/>
          <w:szCs w:val="32"/>
        </w:rPr>
        <w:t>仓储体系</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lang w:val="en-US" w:eastAsia="zh-CN"/>
        </w:rPr>
        <w:t>监测预警体系和应急保障机制建设相关事务性工作；管理有关储备基础设施、粮食流通设施投资项目和维修资金；参与组织</w:t>
      </w:r>
      <w:r>
        <w:rPr>
          <w:rFonts w:hint="eastAsia" w:ascii="仿宋_GB2312" w:hAnsi="仿宋_GB2312" w:eastAsia="仿宋_GB2312" w:cs="仿宋_GB2312"/>
          <w:color w:val="auto"/>
          <w:kern w:val="0"/>
          <w:sz w:val="32"/>
          <w:szCs w:val="32"/>
        </w:rPr>
        <w:t>检查各级储备粮的库存、质量和安全；协调中央、省、市储备粮的收购、储存、调运</w:t>
      </w:r>
      <w:r>
        <w:rPr>
          <w:rFonts w:hint="eastAsia" w:ascii="仿宋_GB2312" w:hAnsi="仿宋_GB2312" w:eastAsia="仿宋_GB2312" w:cs="仿宋_GB2312"/>
          <w:color w:val="auto"/>
          <w:kern w:val="0"/>
          <w:sz w:val="32"/>
          <w:szCs w:val="32"/>
          <w:lang w:val="en-US" w:eastAsia="zh-CN"/>
        </w:rPr>
        <w:t>工作；</w:t>
      </w:r>
      <w:r>
        <w:rPr>
          <w:rFonts w:hint="eastAsia" w:ascii="仿宋_GB2312" w:hAnsi="仿宋_GB2312" w:eastAsia="仿宋_GB2312" w:cs="仿宋_GB2312"/>
          <w:color w:val="auto"/>
          <w:kern w:val="0"/>
          <w:sz w:val="32"/>
          <w:szCs w:val="32"/>
        </w:rPr>
        <w:t>组织实施行业指导，根据上级粮食购销和产业结构调整政策，</w:t>
      </w:r>
      <w:r>
        <w:rPr>
          <w:rFonts w:hint="eastAsia" w:ascii="仿宋_GB2312" w:hAnsi="仿宋_GB2312" w:eastAsia="仿宋_GB2312" w:cs="仿宋_GB2312"/>
          <w:color w:val="auto"/>
          <w:kern w:val="0"/>
          <w:sz w:val="32"/>
          <w:szCs w:val="32"/>
          <w:lang w:val="en-US" w:eastAsia="zh-CN"/>
        </w:rPr>
        <w:t>参与</w:t>
      </w:r>
      <w:r>
        <w:rPr>
          <w:rFonts w:hint="eastAsia" w:ascii="仿宋_GB2312" w:hAnsi="仿宋_GB2312" w:eastAsia="仿宋_GB2312" w:cs="仿宋_GB2312"/>
          <w:color w:val="auto"/>
          <w:kern w:val="0"/>
          <w:sz w:val="32"/>
          <w:szCs w:val="32"/>
        </w:rPr>
        <w:t>指导全区粮食收购工作，不断推进农业产业化进程，促进粮食生产和流通的协调发展</w:t>
      </w:r>
      <w:r>
        <w:rPr>
          <w:rFonts w:hint="eastAsia" w:ascii="仿宋_GB2312" w:hAnsi="仿宋_GB2312" w:eastAsia="仿宋_GB2312" w:cs="仿宋_GB2312"/>
          <w:color w:val="auto"/>
          <w:kern w:val="0"/>
          <w:sz w:val="32"/>
          <w:szCs w:val="32"/>
          <w:lang w:val="en-US" w:eastAsia="zh-CN"/>
        </w:rPr>
        <w:t>；</w:t>
      </w:r>
      <w:r>
        <w:rPr>
          <w:rFonts w:hint="eastAsia" w:ascii="仿宋_GB2312" w:hAnsi="仿宋_GB2312" w:eastAsia="仿宋_GB2312" w:cs="仿宋_GB2312"/>
          <w:color w:val="auto"/>
          <w:kern w:val="0"/>
          <w:sz w:val="32"/>
          <w:szCs w:val="32"/>
        </w:rPr>
        <w:t>负责全区社会粮食流通</w:t>
      </w:r>
      <w:r>
        <w:rPr>
          <w:rFonts w:hint="eastAsia" w:ascii="仿宋_GB2312" w:hAnsi="仿宋_GB2312" w:eastAsia="仿宋_GB2312" w:cs="仿宋_GB2312"/>
          <w:color w:val="auto"/>
          <w:kern w:val="0"/>
          <w:sz w:val="32"/>
          <w:szCs w:val="32"/>
          <w:lang w:val="en-US" w:eastAsia="zh-CN"/>
        </w:rPr>
        <w:t>和物资储备</w:t>
      </w:r>
      <w:r>
        <w:rPr>
          <w:rFonts w:hint="eastAsia" w:ascii="仿宋_GB2312" w:hAnsi="仿宋_GB2312" w:eastAsia="仿宋_GB2312" w:cs="仿宋_GB2312"/>
          <w:color w:val="auto"/>
          <w:kern w:val="0"/>
          <w:sz w:val="32"/>
          <w:szCs w:val="32"/>
        </w:rPr>
        <w:t>统计报表汇总和信息工作</w:t>
      </w:r>
      <w:r>
        <w:rPr>
          <w:rFonts w:hint="eastAsia" w:ascii="仿宋_GB2312" w:hAnsi="仿宋_GB2312" w:eastAsia="仿宋_GB2312" w:cs="仿宋_GB2312"/>
          <w:color w:val="auto"/>
          <w:kern w:val="0"/>
          <w:sz w:val="32"/>
          <w:szCs w:val="32"/>
          <w:lang w:val="en-US" w:eastAsia="zh-CN"/>
        </w:rPr>
        <w:t>；参与</w:t>
      </w:r>
      <w:r>
        <w:rPr>
          <w:rFonts w:hint="eastAsia" w:ascii="仿宋_GB2312" w:hAnsi="仿宋_GB2312" w:eastAsia="仿宋_GB2312" w:cs="仿宋_GB2312"/>
          <w:color w:val="auto"/>
          <w:kern w:val="0"/>
          <w:sz w:val="32"/>
          <w:szCs w:val="32"/>
        </w:rPr>
        <w:t>指导全区粮食</w:t>
      </w:r>
      <w:r>
        <w:rPr>
          <w:rFonts w:hint="eastAsia" w:ascii="仿宋_GB2312" w:hAnsi="仿宋_GB2312" w:eastAsia="仿宋_GB2312" w:cs="仿宋_GB2312"/>
          <w:color w:val="auto"/>
          <w:kern w:val="0"/>
          <w:sz w:val="32"/>
          <w:szCs w:val="32"/>
          <w:lang w:val="en-US" w:eastAsia="zh-CN"/>
        </w:rPr>
        <w:t>和物资储备</w:t>
      </w:r>
      <w:r>
        <w:rPr>
          <w:rFonts w:hint="eastAsia" w:ascii="仿宋_GB2312" w:hAnsi="仿宋_GB2312" w:eastAsia="仿宋_GB2312" w:cs="仿宋_GB2312"/>
          <w:color w:val="auto"/>
          <w:kern w:val="0"/>
          <w:sz w:val="32"/>
          <w:szCs w:val="32"/>
        </w:rPr>
        <w:t>的安全管理</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lang w:val="en-US" w:eastAsia="zh-CN"/>
        </w:rPr>
        <w:t>参与</w:t>
      </w:r>
      <w:r>
        <w:rPr>
          <w:rFonts w:hint="eastAsia" w:ascii="仿宋_GB2312" w:hAnsi="仿宋_GB2312" w:eastAsia="仿宋_GB2312" w:cs="仿宋_GB2312"/>
          <w:color w:val="auto"/>
          <w:kern w:val="0"/>
          <w:sz w:val="32"/>
          <w:szCs w:val="32"/>
        </w:rPr>
        <w:t>指导本地区粮油销售，做好救灾救助和特需</w:t>
      </w:r>
      <w:r>
        <w:rPr>
          <w:rFonts w:hint="eastAsia" w:ascii="仿宋_GB2312" w:hAnsi="仿宋_GB2312" w:eastAsia="仿宋_GB2312" w:cs="仿宋_GB2312"/>
          <w:color w:val="auto"/>
          <w:kern w:val="0"/>
          <w:sz w:val="32"/>
          <w:szCs w:val="32"/>
          <w:lang w:val="en-US" w:eastAsia="zh-CN"/>
        </w:rPr>
        <w:t>物资</w:t>
      </w:r>
      <w:r>
        <w:rPr>
          <w:rFonts w:hint="eastAsia" w:ascii="仿宋_GB2312" w:hAnsi="仿宋_GB2312" w:eastAsia="仿宋_GB2312" w:cs="仿宋_GB2312"/>
          <w:color w:val="auto"/>
          <w:kern w:val="0"/>
          <w:sz w:val="32"/>
          <w:szCs w:val="32"/>
        </w:rPr>
        <w:t>供应工作；指导所属单位的财务管理工作</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lang w:val="en-US" w:eastAsia="zh-CN"/>
        </w:rPr>
        <w:t>配合国资</w:t>
      </w:r>
      <w:r>
        <w:rPr>
          <w:rFonts w:hint="eastAsia" w:ascii="仿宋_GB2312" w:hAnsi="仿宋_GB2312" w:eastAsia="仿宋_GB2312" w:cs="仿宋_GB2312"/>
          <w:color w:val="auto"/>
          <w:kern w:val="0"/>
          <w:sz w:val="32"/>
          <w:szCs w:val="32"/>
        </w:rPr>
        <w:t>管理</w:t>
      </w:r>
      <w:r>
        <w:rPr>
          <w:rFonts w:hint="eastAsia" w:ascii="仿宋_GB2312" w:hAnsi="仿宋_GB2312" w:eastAsia="仿宋_GB2312" w:cs="仿宋_GB2312"/>
          <w:color w:val="auto"/>
          <w:kern w:val="0"/>
          <w:sz w:val="32"/>
          <w:szCs w:val="32"/>
          <w:lang w:val="en-US" w:eastAsia="zh-CN"/>
        </w:rPr>
        <w:t>单位管理</w:t>
      </w:r>
      <w:r>
        <w:rPr>
          <w:rFonts w:hint="eastAsia" w:ascii="仿宋_GB2312" w:hAnsi="仿宋_GB2312" w:eastAsia="仿宋_GB2312" w:cs="仿宋_GB2312"/>
          <w:color w:val="auto"/>
          <w:kern w:val="0"/>
          <w:sz w:val="32"/>
          <w:szCs w:val="32"/>
        </w:rPr>
        <w:t>系统内国有资产</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协同有关部门监督管理粮食</w:t>
      </w:r>
      <w:r>
        <w:rPr>
          <w:rFonts w:hint="eastAsia" w:ascii="仿宋_GB2312" w:hAnsi="仿宋_GB2312" w:eastAsia="仿宋_GB2312" w:cs="仿宋_GB2312"/>
          <w:color w:val="auto"/>
          <w:kern w:val="0"/>
          <w:sz w:val="32"/>
          <w:szCs w:val="32"/>
          <w:lang w:val="en-US" w:eastAsia="zh-CN"/>
        </w:rPr>
        <w:t>和物资</w:t>
      </w:r>
      <w:r>
        <w:rPr>
          <w:rFonts w:hint="eastAsia" w:ascii="仿宋_GB2312" w:hAnsi="仿宋_GB2312" w:eastAsia="仿宋_GB2312" w:cs="仿宋_GB2312"/>
          <w:color w:val="auto"/>
          <w:kern w:val="0"/>
          <w:sz w:val="32"/>
          <w:szCs w:val="32"/>
        </w:rPr>
        <w:t>风险基金的使用</w:t>
      </w:r>
      <w:r>
        <w:rPr>
          <w:rFonts w:hint="eastAsia" w:ascii="仿宋_GB2312" w:hAnsi="仿宋_GB2312" w:eastAsia="仿宋_GB2312" w:cs="仿宋_GB2312"/>
          <w:color w:val="auto"/>
          <w:kern w:val="0"/>
          <w:sz w:val="32"/>
          <w:szCs w:val="32"/>
          <w:lang w:val="en-US" w:eastAsia="zh-CN"/>
        </w:rPr>
        <w:t>；</w:t>
      </w:r>
      <w:r>
        <w:rPr>
          <w:rFonts w:hint="eastAsia" w:ascii="仿宋_GB2312" w:hAnsi="仿宋_GB2312" w:eastAsia="仿宋_GB2312" w:cs="仿宋_GB2312"/>
          <w:color w:val="auto"/>
          <w:kern w:val="0"/>
          <w:sz w:val="32"/>
          <w:szCs w:val="32"/>
        </w:rPr>
        <w:t>完成区委</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区政府交办的其他</w:t>
      </w:r>
      <w:r>
        <w:rPr>
          <w:rFonts w:hint="eastAsia" w:ascii="仿宋_GB2312" w:hAnsi="仿宋_GB2312" w:eastAsia="仿宋_GB2312" w:cs="仿宋_GB2312"/>
          <w:color w:val="auto"/>
          <w:kern w:val="0"/>
          <w:sz w:val="32"/>
          <w:szCs w:val="32"/>
          <w:lang w:val="en-US" w:eastAsia="zh-CN"/>
        </w:rPr>
        <w:t>任务</w:t>
      </w:r>
      <w:r>
        <w:rPr>
          <w:rFonts w:hint="eastAsia" w:ascii="仿宋_GB2312" w:hAnsi="仿宋_GB2312" w:eastAsia="仿宋_GB2312" w:cs="仿宋_GB2312"/>
          <w:color w:val="auto"/>
          <w:kern w:val="0"/>
          <w:sz w:val="32"/>
          <w:szCs w:val="32"/>
        </w:rPr>
        <w:t>。</w:t>
      </w:r>
    </w:p>
    <w:p>
      <w:pPr>
        <w:keepNext w:val="0"/>
        <w:keepLines w:val="0"/>
        <w:pageBreakBefore w:val="0"/>
        <w:kinsoku/>
        <w:wordWrap/>
        <w:overflowPunct/>
        <w:topLinePunct w:val="0"/>
        <w:autoSpaceDE/>
        <w:autoSpaceDN/>
        <w:bidi w:val="0"/>
        <w:adjustRightInd w:val="0"/>
        <w:snapToGrid w:val="0"/>
        <w:spacing w:beforeAutospacing="0" w:afterAutospacing="0" w:line="600" w:lineRule="exact"/>
        <w:ind w:left="0" w:leftChars="0" w:right="0" w:rightChars="0" w:firstLine="643" w:firstLineChars="200"/>
        <w:jc w:val="both"/>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b/>
          <w:bCs/>
          <w:sz w:val="32"/>
          <w:szCs w:val="32"/>
          <w:lang w:eastAsia="zh-CN"/>
        </w:rPr>
        <w:t>2.机构情况：</w:t>
      </w:r>
      <w:r>
        <w:rPr>
          <w:rFonts w:hint="eastAsia" w:ascii="仿宋_GB2312" w:hAnsi="仿宋_GB2312" w:eastAsia="仿宋_GB2312" w:cs="仿宋_GB2312"/>
          <w:color w:val="auto"/>
          <w:kern w:val="0"/>
          <w:sz w:val="32"/>
          <w:szCs w:val="32"/>
        </w:rPr>
        <w:t>内设</w:t>
      </w:r>
      <w:r>
        <w:rPr>
          <w:rFonts w:hint="eastAsia" w:hAnsi="仿宋_GB2312" w:cs="仿宋_GB2312"/>
          <w:color w:val="auto"/>
          <w:sz w:val="32"/>
          <w:szCs w:val="32"/>
          <w:lang w:val="en-US" w:eastAsia="zh-CN"/>
        </w:rPr>
        <w:t>办公室</w:t>
      </w:r>
      <w:r>
        <w:rPr>
          <w:rFonts w:hint="eastAsia" w:ascii="仿宋_GB2312" w:hAnsi="仿宋_GB2312" w:eastAsia="仿宋_GB2312" w:cs="仿宋_GB2312"/>
          <w:color w:val="auto"/>
          <w:sz w:val="32"/>
          <w:szCs w:val="32"/>
        </w:rPr>
        <w:t>、财务</w:t>
      </w:r>
      <w:r>
        <w:rPr>
          <w:rFonts w:hint="eastAsia" w:ascii="仿宋_GB2312" w:hAnsi="仿宋_GB2312" w:eastAsia="仿宋_GB2312" w:cs="仿宋_GB2312"/>
          <w:color w:val="auto"/>
          <w:sz w:val="32"/>
          <w:szCs w:val="32"/>
          <w:lang w:val="en-US" w:eastAsia="zh-CN"/>
        </w:rPr>
        <w:t>室</w:t>
      </w:r>
      <w:r>
        <w:rPr>
          <w:rFonts w:hint="eastAsia" w:ascii="仿宋_GB2312" w:hAnsi="仿宋_GB2312" w:eastAsia="仿宋_GB2312" w:cs="仿宋_GB2312"/>
          <w:color w:val="auto"/>
          <w:sz w:val="32"/>
          <w:szCs w:val="32"/>
        </w:rPr>
        <w:t>、政工劳资</w:t>
      </w:r>
      <w:r>
        <w:rPr>
          <w:rFonts w:hint="eastAsia" w:ascii="仿宋_GB2312" w:hAnsi="仿宋_GB2312" w:eastAsia="仿宋_GB2312" w:cs="仿宋_GB2312"/>
          <w:color w:val="auto"/>
          <w:sz w:val="32"/>
          <w:szCs w:val="32"/>
          <w:lang w:val="en-US" w:eastAsia="zh-CN"/>
        </w:rPr>
        <w:t>室、协调服务部</w:t>
      </w:r>
      <w:r>
        <w:rPr>
          <w:rFonts w:hint="eastAsia" w:ascii="仿宋_GB2312" w:hAnsi="仿宋_GB2312" w:eastAsia="仿宋_GB2312" w:cs="仿宋_GB2312"/>
          <w:color w:val="auto"/>
          <w:sz w:val="32"/>
          <w:szCs w:val="32"/>
        </w:rPr>
        <w:t>和储备储运</w:t>
      </w:r>
      <w:r>
        <w:rPr>
          <w:rFonts w:hint="eastAsia" w:ascii="仿宋_GB2312" w:hAnsi="仿宋_GB2312" w:eastAsia="仿宋_GB2312" w:cs="仿宋_GB2312"/>
          <w:color w:val="auto"/>
          <w:sz w:val="32"/>
          <w:szCs w:val="32"/>
          <w:lang w:val="en-US" w:eastAsia="zh-CN"/>
        </w:rPr>
        <w:t>部</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受区国资事务中心委托，管理长沙市</w:t>
      </w:r>
      <w:r>
        <w:rPr>
          <w:rFonts w:hint="eastAsia" w:ascii="仿宋_GB2312" w:hAnsi="仿宋_GB2312" w:eastAsia="仿宋_GB2312" w:cs="仿宋_GB2312"/>
          <w:color w:val="auto"/>
          <w:sz w:val="32"/>
          <w:szCs w:val="32"/>
        </w:rPr>
        <w:t>望城区粮油购销有限公司（国有独资企业）。较上年相比，</w:t>
      </w:r>
      <w:r>
        <w:rPr>
          <w:rFonts w:hint="eastAsia" w:ascii="仿宋_GB2312" w:hAnsi="仿宋_GB2312" w:eastAsia="仿宋_GB2312" w:cs="仿宋_GB2312"/>
          <w:color w:val="auto"/>
          <w:sz w:val="32"/>
          <w:szCs w:val="32"/>
          <w:lang w:val="en-US" w:eastAsia="zh-CN"/>
        </w:rPr>
        <w:t>2019</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3月底由于机构改革，我单位由原来的长沙市望城区粮食局更名，</w:t>
      </w:r>
      <w:r>
        <w:rPr>
          <w:rFonts w:hint="eastAsia" w:asciiTheme="minorEastAsia" w:hAnsiTheme="minorEastAsia" w:eastAsiaTheme="minorEastAsia" w:cstheme="minorEastAsia"/>
          <w:color w:val="auto"/>
          <w:sz w:val="32"/>
          <w:szCs w:val="32"/>
          <w:highlight w:val="none"/>
          <w:lang w:val="en-US" w:eastAsia="zh-CN"/>
        </w:rPr>
        <w:t>为</w:t>
      </w:r>
      <w:r>
        <w:rPr>
          <w:rFonts w:hint="eastAsia" w:asciiTheme="minorEastAsia" w:hAnsiTheme="minorEastAsia" w:cstheme="minorEastAsia"/>
          <w:color w:val="auto"/>
          <w:sz w:val="32"/>
          <w:szCs w:val="32"/>
          <w:highlight w:val="none"/>
          <w:lang w:val="en-US" w:eastAsia="zh-CN"/>
        </w:rPr>
        <w:t>区发改局所属公益类事业单位，仍为一</w:t>
      </w:r>
      <w:r>
        <w:rPr>
          <w:rFonts w:hint="eastAsia" w:asciiTheme="minorEastAsia" w:hAnsiTheme="minorEastAsia" w:eastAsiaTheme="minorEastAsia" w:cstheme="minorEastAsia"/>
          <w:color w:val="auto"/>
          <w:sz w:val="32"/>
          <w:szCs w:val="32"/>
          <w:highlight w:val="none"/>
          <w:lang w:val="en-US" w:eastAsia="zh-CN"/>
        </w:rPr>
        <w:t>级预算单位</w:t>
      </w:r>
      <w:r>
        <w:rPr>
          <w:rFonts w:hint="eastAsia" w:ascii="仿宋_GB2312" w:hAnsi="仿宋_GB2312" w:eastAsia="仿宋_GB2312" w:cs="仿宋_GB2312"/>
          <w:color w:val="auto"/>
          <w:sz w:val="32"/>
          <w:szCs w:val="32"/>
          <w:lang w:val="en-US" w:eastAsia="zh-CN"/>
        </w:rPr>
        <w:t>，内设机构减少了</w:t>
      </w:r>
      <w:r>
        <w:rPr>
          <w:rFonts w:hint="eastAsia" w:ascii="仿宋_GB2312" w:hAnsi="仿宋_GB2312" w:eastAsia="仿宋_GB2312" w:cs="仿宋_GB2312"/>
          <w:color w:val="auto"/>
          <w:kern w:val="0"/>
          <w:sz w:val="32"/>
          <w:szCs w:val="32"/>
        </w:rPr>
        <w:t>粮食监察执法大队</w:t>
      </w:r>
      <w:r>
        <w:rPr>
          <w:rFonts w:hint="eastAsia" w:ascii="仿宋_GB2312" w:hAnsi="仿宋_GB2312" w:eastAsia="仿宋_GB2312" w:cs="仿宋_GB2312"/>
          <w:color w:val="auto"/>
          <w:kern w:val="0"/>
          <w:sz w:val="32"/>
          <w:szCs w:val="32"/>
          <w:lang w:val="en-US" w:eastAsia="zh-CN"/>
        </w:rPr>
        <w:t>和</w:t>
      </w:r>
      <w:r>
        <w:rPr>
          <w:rFonts w:hint="eastAsia" w:ascii="仿宋_GB2312" w:hAnsi="仿宋_GB2312" w:eastAsia="仿宋_GB2312" w:cs="仿宋_GB2312"/>
          <w:color w:val="auto"/>
          <w:kern w:val="0"/>
          <w:sz w:val="32"/>
          <w:szCs w:val="32"/>
        </w:rPr>
        <w:t>监察室</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lang w:val="en-US" w:eastAsia="zh-CN"/>
        </w:rPr>
        <w:t>内设机构也由原来的xx科改为xx部或xx室。</w:t>
      </w:r>
    </w:p>
    <w:p>
      <w:pPr>
        <w:keepNext w:val="0"/>
        <w:keepLines w:val="0"/>
        <w:pageBreakBefore w:val="0"/>
        <w:kinsoku/>
        <w:wordWrap/>
        <w:overflowPunct/>
        <w:topLinePunct w:val="0"/>
        <w:autoSpaceDE/>
        <w:autoSpaceDN/>
        <w:bidi w:val="0"/>
        <w:spacing w:beforeAutospacing="0" w:afterAutospacing="0" w:line="600" w:lineRule="exact"/>
        <w:ind w:firstLine="643" w:firstLineChars="200"/>
        <w:jc w:val="both"/>
        <w:outlineLvl w:val="9"/>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b/>
          <w:bCs/>
          <w:sz w:val="32"/>
          <w:szCs w:val="32"/>
          <w:lang w:eastAsia="zh-CN"/>
        </w:rPr>
        <w:t>3.人员情况：</w:t>
      </w:r>
      <w:r>
        <w:rPr>
          <w:rFonts w:hint="eastAsia" w:ascii="仿宋_GB2312" w:hAnsi="仿宋_GB2312" w:eastAsia="仿宋_GB2312" w:cs="仿宋_GB2312"/>
          <w:color w:val="auto"/>
          <w:kern w:val="0"/>
          <w:sz w:val="32"/>
          <w:szCs w:val="32"/>
        </w:rPr>
        <w:t>核定</w:t>
      </w:r>
      <w:r>
        <w:rPr>
          <w:rFonts w:hint="eastAsia" w:ascii="仿宋_GB2312" w:hAnsi="仿宋_GB2312" w:eastAsia="仿宋_GB2312" w:cs="仿宋_GB2312"/>
          <w:color w:val="auto"/>
          <w:kern w:val="0"/>
          <w:sz w:val="32"/>
          <w:szCs w:val="32"/>
          <w:lang w:val="en-US" w:eastAsia="zh-CN"/>
        </w:rPr>
        <w:t>我单位事业</w:t>
      </w:r>
      <w:r>
        <w:rPr>
          <w:rFonts w:hint="eastAsia" w:ascii="仿宋_GB2312" w:hAnsi="仿宋_GB2312" w:eastAsia="仿宋_GB2312" w:cs="仿宋_GB2312"/>
          <w:color w:val="auto"/>
          <w:kern w:val="0"/>
          <w:sz w:val="32"/>
          <w:szCs w:val="32"/>
        </w:rPr>
        <w:t>编制人数2</w:t>
      </w:r>
      <w:r>
        <w:rPr>
          <w:rFonts w:hint="eastAsia" w:ascii="仿宋_GB2312" w:hAnsi="仿宋_GB2312" w:eastAsia="仿宋_GB2312" w:cs="仿宋_GB2312"/>
          <w:color w:val="auto"/>
          <w:kern w:val="0"/>
          <w:sz w:val="32"/>
          <w:szCs w:val="32"/>
          <w:lang w:val="en-US" w:eastAsia="zh-CN"/>
        </w:rPr>
        <w:t>0</w:t>
      </w:r>
      <w:r>
        <w:rPr>
          <w:rFonts w:hint="eastAsia" w:ascii="仿宋_GB2312" w:hAnsi="仿宋_GB2312" w:eastAsia="仿宋_GB2312" w:cs="仿宋_GB2312"/>
          <w:color w:val="auto"/>
          <w:kern w:val="0"/>
          <w:sz w:val="32"/>
          <w:szCs w:val="32"/>
        </w:rPr>
        <w:t>个，现有在职在编干部职工</w:t>
      </w:r>
      <w:r>
        <w:rPr>
          <w:rFonts w:hint="eastAsia" w:ascii="仿宋_GB2312" w:hAnsi="仿宋_GB2312" w:eastAsia="仿宋_GB2312" w:cs="仿宋_GB2312"/>
          <w:color w:val="auto"/>
          <w:kern w:val="0"/>
          <w:sz w:val="32"/>
          <w:szCs w:val="32"/>
          <w:lang w:val="en-US" w:eastAsia="zh-CN"/>
        </w:rPr>
        <w:t>19</w:t>
      </w:r>
      <w:r>
        <w:rPr>
          <w:rFonts w:hint="eastAsia" w:ascii="仿宋_GB2312" w:hAnsi="仿宋_GB2312" w:eastAsia="仿宋_GB2312" w:cs="仿宋_GB2312"/>
          <w:color w:val="auto"/>
          <w:kern w:val="0"/>
          <w:sz w:val="32"/>
          <w:szCs w:val="32"/>
        </w:rPr>
        <w:t>人，</w:t>
      </w:r>
      <w:r>
        <w:rPr>
          <w:rFonts w:hint="eastAsia" w:ascii="仿宋_GB2312" w:hAnsi="仿宋_GB2312" w:eastAsia="仿宋_GB2312" w:cs="仿宋_GB2312"/>
          <w:color w:val="auto"/>
          <w:kern w:val="0"/>
          <w:sz w:val="32"/>
          <w:szCs w:val="32"/>
          <w:lang w:val="en-US" w:eastAsia="zh-CN"/>
        </w:rPr>
        <w:t>合同制退役士官2人，</w:t>
      </w:r>
      <w:r>
        <w:rPr>
          <w:rFonts w:hint="eastAsia" w:ascii="仿宋_GB2312" w:hAnsi="仿宋_GB2312" w:eastAsia="仿宋_GB2312" w:cs="仿宋_GB2312"/>
          <w:color w:val="auto"/>
          <w:sz w:val="32"/>
          <w:szCs w:val="32"/>
        </w:rPr>
        <w:t>同时，</w:t>
      </w:r>
      <w:r>
        <w:rPr>
          <w:rFonts w:hint="eastAsia" w:ascii="仿宋_GB2312" w:hAnsi="仿宋_GB2312" w:eastAsia="仿宋_GB2312" w:cs="仿宋_GB2312"/>
          <w:color w:val="auto"/>
          <w:sz w:val="32"/>
          <w:szCs w:val="32"/>
          <w:lang w:val="en-US" w:eastAsia="zh-CN"/>
        </w:rPr>
        <w:t>实</w:t>
      </w:r>
      <w:r>
        <w:rPr>
          <w:rFonts w:hint="eastAsia" w:ascii="仿宋_GB2312" w:hAnsi="仿宋_GB2312" w:eastAsia="仿宋_GB2312" w:cs="仿宋_GB2312"/>
          <w:color w:val="auto"/>
          <w:sz w:val="32"/>
          <w:szCs w:val="32"/>
        </w:rPr>
        <w:t>有机关离退休人员3</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人，国有企业退休人员</w:t>
      </w:r>
      <w:r>
        <w:rPr>
          <w:rFonts w:hint="eastAsia" w:ascii="仿宋_GB2312" w:hAnsi="仿宋_GB2312" w:eastAsia="仿宋_GB2312" w:cs="仿宋_GB2312"/>
          <w:color w:val="auto"/>
          <w:sz w:val="32"/>
          <w:szCs w:val="32"/>
          <w:lang w:val="en-US" w:eastAsia="zh-CN"/>
        </w:rPr>
        <w:t>462</w:t>
      </w:r>
      <w:r>
        <w:rPr>
          <w:rFonts w:hint="eastAsia" w:ascii="仿宋_GB2312" w:hAnsi="仿宋_GB2312" w:eastAsia="仿宋_GB2312" w:cs="仿宋_GB2312"/>
          <w:color w:val="auto"/>
          <w:sz w:val="32"/>
          <w:szCs w:val="32"/>
        </w:rPr>
        <w:t>人。较上年相比，</w:t>
      </w:r>
      <w:r>
        <w:rPr>
          <w:rFonts w:hint="eastAsia" w:ascii="仿宋_GB2312" w:hAnsi="仿宋_GB2312" w:eastAsia="仿宋_GB2312" w:cs="仿宋_GB2312"/>
          <w:color w:val="auto"/>
          <w:sz w:val="32"/>
          <w:szCs w:val="32"/>
          <w:lang w:val="en-US" w:eastAsia="zh-CN"/>
        </w:rPr>
        <w:t>今年</w:t>
      </w:r>
      <w:r>
        <w:rPr>
          <w:rFonts w:hint="eastAsia" w:ascii="仿宋_GB2312" w:hAnsi="仿宋_GB2312" w:eastAsia="仿宋_GB2312" w:cs="仿宋_GB2312"/>
          <w:color w:val="auto"/>
          <w:kern w:val="0"/>
          <w:sz w:val="32"/>
          <w:szCs w:val="32"/>
        </w:rPr>
        <w:t>在职在编</w:t>
      </w:r>
      <w:r>
        <w:rPr>
          <w:rFonts w:hint="eastAsia" w:ascii="仿宋_GB2312" w:hAnsi="仿宋_GB2312" w:eastAsia="仿宋_GB2312" w:cs="仿宋_GB2312"/>
          <w:color w:val="auto"/>
          <w:kern w:val="0"/>
          <w:sz w:val="32"/>
          <w:szCs w:val="32"/>
          <w:lang w:val="en-US" w:eastAsia="zh-CN"/>
        </w:rPr>
        <w:t>干部职工办理退休2人，区内调入1人。</w:t>
      </w:r>
    </w:p>
    <w:p>
      <w:pPr>
        <w:keepNext w:val="0"/>
        <w:keepLines w:val="0"/>
        <w:pageBreakBefore w:val="0"/>
        <w:numPr>
          <w:ilvl w:val="0"/>
          <w:numId w:val="0"/>
        </w:numPr>
        <w:kinsoku/>
        <w:wordWrap/>
        <w:overflowPunct/>
        <w:topLinePunct w:val="0"/>
        <w:autoSpaceDE/>
        <w:autoSpaceDN/>
        <w:bidi w:val="0"/>
        <w:spacing w:beforeAutospacing="0" w:line="600" w:lineRule="exact"/>
        <w:ind w:firstLine="640" w:firstLineChars="200"/>
        <w:jc w:val="both"/>
        <w:rPr>
          <w:rFonts w:hint="eastAsia" w:ascii="黑体" w:hAnsi="黑体" w:eastAsia="黑体" w:cs="黑体"/>
          <w:sz w:val="32"/>
          <w:szCs w:val="32"/>
        </w:rPr>
      </w:pPr>
      <w:r>
        <w:rPr>
          <w:rFonts w:hint="eastAsia" w:ascii="黑体" w:hAnsi="黑体" w:eastAsia="黑体" w:cs="黑体"/>
          <w:sz w:val="32"/>
          <w:szCs w:val="32"/>
        </w:rPr>
        <w:t>二、部门（单位）预算管理及执行情况</w:t>
      </w:r>
    </w:p>
    <w:p>
      <w:pPr>
        <w:keepNext w:val="0"/>
        <w:keepLines w:val="0"/>
        <w:pageBreakBefore w:val="0"/>
        <w:kinsoku/>
        <w:wordWrap/>
        <w:overflowPunct/>
        <w:topLinePunct w:val="0"/>
        <w:autoSpaceDE/>
        <w:autoSpaceDN/>
        <w:bidi w:val="0"/>
        <w:adjustRightInd w:val="0"/>
        <w:snapToGrid w:val="0"/>
        <w:spacing w:beforeAutospacing="0" w:afterAutospacing="0" w:line="600" w:lineRule="exact"/>
        <w:ind w:left="0" w:leftChars="0" w:right="0" w:rightChars="0" w:firstLine="643" w:firstLineChars="200"/>
        <w:jc w:val="both"/>
        <w:outlineLvl w:val="9"/>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（一）收入支出预算安排情况</w:t>
      </w:r>
    </w:p>
    <w:p>
      <w:pPr>
        <w:keepNext w:val="0"/>
        <w:keepLines w:val="0"/>
        <w:pageBreakBefore w:val="0"/>
        <w:kinsoku/>
        <w:wordWrap/>
        <w:overflowPunct/>
        <w:topLinePunct w:val="0"/>
        <w:autoSpaceDE/>
        <w:autoSpaceDN/>
        <w:bidi w:val="0"/>
        <w:adjustRightInd w:val="0"/>
        <w:snapToGrid w:val="0"/>
        <w:spacing w:beforeAutospacing="0" w:afterAutospacing="0" w:line="600" w:lineRule="exact"/>
        <w:ind w:left="0" w:leftChars="0" w:right="0" w:rightChars="0" w:firstLine="640" w:firstLineChars="200"/>
        <w:jc w:val="both"/>
        <w:outlineLvl w:val="9"/>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部门收入既包括保障</w:t>
      </w:r>
      <w:r>
        <w:rPr>
          <w:rFonts w:hint="eastAsia" w:ascii="仿宋_GB2312" w:hAnsi="仿宋_GB2312" w:eastAsia="仿宋_GB2312" w:cs="仿宋_GB2312"/>
          <w:color w:val="auto"/>
          <w:kern w:val="0"/>
          <w:sz w:val="32"/>
          <w:szCs w:val="32"/>
          <w:lang w:val="en-US" w:eastAsia="zh-CN"/>
        </w:rPr>
        <w:t>单位</w:t>
      </w:r>
      <w:r>
        <w:rPr>
          <w:rFonts w:hint="eastAsia" w:ascii="仿宋_GB2312" w:hAnsi="仿宋_GB2312" w:eastAsia="仿宋_GB2312" w:cs="仿宋_GB2312"/>
          <w:color w:val="auto"/>
          <w:kern w:val="0"/>
          <w:sz w:val="32"/>
          <w:szCs w:val="32"/>
        </w:rPr>
        <w:t>基本运行的经费，也包括</w:t>
      </w:r>
      <w:r>
        <w:rPr>
          <w:rFonts w:hint="eastAsia" w:ascii="仿宋_GB2312" w:hAnsi="仿宋_GB2312" w:eastAsia="仿宋_GB2312" w:cs="仿宋_GB2312"/>
          <w:color w:val="auto"/>
          <w:kern w:val="0"/>
          <w:sz w:val="32"/>
          <w:szCs w:val="32"/>
          <w:lang w:val="en-US" w:eastAsia="zh-CN"/>
        </w:rPr>
        <w:t>系统</w:t>
      </w:r>
      <w:r>
        <w:rPr>
          <w:rFonts w:hint="eastAsia" w:ascii="仿宋_GB2312" w:hAnsi="仿宋_GB2312" w:eastAsia="仿宋_GB2312" w:cs="仿宋_GB2312"/>
          <w:color w:val="auto"/>
          <w:kern w:val="0"/>
          <w:sz w:val="32"/>
          <w:szCs w:val="32"/>
        </w:rPr>
        <w:t>归口管理的粮食系统企业改制补助、粮食</w:t>
      </w:r>
      <w:r>
        <w:rPr>
          <w:rFonts w:hint="eastAsia" w:ascii="仿宋_GB2312" w:hAnsi="仿宋_GB2312" w:eastAsia="仿宋_GB2312" w:cs="仿宋_GB2312"/>
          <w:color w:val="auto"/>
          <w:kern w:val="0"/>
          <w:sz w:val="32"/>
          <w:szCs w:val="32"/>
          <w:lang w:val="en-US" w:eastAsia="zh-CN"/>
        </w:rPr>
        <w:t>安全</w:t>
      </w:r>
      <w:r>
        <w:rPr>
          <w:rFonts w:hint="eastAsia" w:ascii="仿宋_GB2312" w:hAnsi="仿宋_GB2312" w:eastAsia="仿宋_GB2312" w:cs="仿宋_GB2312"/>
          <w:color w:val="auto"/>
          <w:kern w:val="0"/>
          <w:sz w:val="32"/>
          <w:szCs w:val="32"/>
        </w:rPr>
        <w:t>产业扶持、</w:t>
      </w:r>
      <w:r>
        <w:rPr>
          <w:rFonts w:hint="eastAsia" w:ascii="仿宋_GB2312" w:hAnsi="仿宋_GB2312" w:eastAsia="仿宋_GB2312" w:cs="仿宋_GB2312"/>
          <w:color w:val="auto"/>
          <w:kern w:val="0"/>
          <w:sz w:val="32"/>
          <w:szCs w:val="32"/>
          <w:lang w:val="en-US" w:eastAsia="zh-CN"/>
        </w:rPr>
        <w:t>粮食安全考核奖励资金、</w:t>
      </w:r>
      <w:r>
        <w:rPr>
          <w:rFonts w:hint="eastAsia" w:ascii="仿宋_GB2312" w:hAnsi="仿宋_GB2312" w:eastAsia="仿宋_GB2312" w:cs="仿宋_GB2312"/>
          <w:color w:val="auto"/>
          <w:kern w:val="0"/>
          <w:sz w:val="32"/>
          <w:szCs w:val="32"/>
        </w:rPr>
        <w:t>粮食</w:t>
      </w:r>
      <w:r>
        <w:rPr>
          <w:rFonts w:hint="eastAsia" w:ascii="仿宋_GB2312" w:hAnsi="仿宋_GB2312" w:eastAsia="仿宋_GB2312" w:cs="仿宋_GB2312"/>
          <w:color w:val="auto"/>
          <w:kern w:val="0"/>
          <w:sz w:val="32"/>
          <w:szCs w:val="32"/>
          <w:lang w:val="en-US" w:eastAsia="zh-CN"/>
        </w:rPr>
        <w:t>系统帮扶慰问</w:t>
      </w:r>
      <w:r>
        <w:rPr>
          <w:rFonts w:hint="eastAsia" w:ascii="仿宋_GB2312" w:hAnsi="仿宋_GB2312" w:eastAsia="仿宋_GB2312" w:cs="仿宋_GB2312"/>
          <w:color w:val="auto"/>
          <w:kern w:val="0"/>
          <w:sz w:val="32"/>
          <w:szCs w:val="32"/>
        </w:rPr>
        <w:t>和粮食行政执法及统计调查等专项经费。</w:t>
      </w:r>
    </w:p>
    <w:p>
      <w:pPr>
        <w:keepNext w:val="0"/>
        <w:keepLines w:val="0"/>
        <w:pageBreakBefore w:val="0"/>
        <w:widowControl/>
        <w:shd w:val="clear" w:color="auto" w:fill="FFFFFF"/>
        <w:kinsoku/>
        <w:wordWrap/>
        <w:overflowPunct/>
        <w:topLinePunct w:val="0"/>
        <w:autoSpaceDE/>
        <w:autoSpaceDN/>
        <w:bidi w:val="0"/>
        <w:spacing w:beforeAutospacing="0" w:afterAutospacing="0" w:line="600" w:lineRule="exact"/>
        <w:ind w:left="0" w:leftChars="0" w:right="0" w:rightChars="0" w:firstLine="643" w:firstLineChars="200"/>
        <w:jc w:val="both"/>
        <w:textAlignment w:val="bottom"/>
        <w:outlineLvl w:val="9"/>
        <w:rPr>
          <w:rFonts w:hint="eastAsia" w:ascii="仿宋_GB2312" w:hAnsi="仿宋_GB2312" w:eastAsia="仿宋_GB2312" w:cs="仿宋_GB2312"/>
          <w:color w:val="auto"/>
          <w:kern w:val="0"/>
          <w:sz w:val="32"/>
          <w:szCs w:val="32"/>
        </w:rPr>
      </w:pPr>
      <w:r>
        <w:rPr>
          <w:rFonts w:hint="eastAsia" w:hAnsi="仿宋_GB2312" w:cs="仿宋_GB2312"/>
          <w:b/>
          <w:bCs/>
          <w:sz w:val="32"/>
          <w:szCs w:val="32"/>
          <w:lang w:val="en-US" w:eastAsia="zh-CN"/>
        </w:rPr>
        <w:t>1.</w:t>
      </w:r>
      <w:r>
        <w:rPr>
          <w:rFonts w:hint="eastAsia" w:ascii="仿宋_GB2312" w:hAnsi="仿宋_GB2312" w:eastAsia="仿宋_GB2312" w:cs="仿宋_GB2312"/>
          <w:b/>
          <w:bCs/>
          <w:sz w:val="32"/>
          <w:szCs w:val="32"/>
          <w:lang w:eastAsia="zh-CN"/>
        </w:rPr>
        <w:t>收入决算，</w:t>
      </w:r>
      <w:r>
        <w:rPr>
          <w:rFonts w:hint="eastAsia" w:ascii="仿宋_GB2312" w:hAnsi="仿宋_GB2312" w:eastAsia="仿宋_GB2312" w:cs="仿宋_GB2312"/>
          <w:color w:val="auto"/>
          <w:kern w:val="0"/>
          <w:sz w:val="32"/>
          <w:szCs w:val="32"/>
        </w:rPr>
        <w:t>201</w:t>
      </w:r>
      <w:r>
        <w:rPr>
          <w:rFonts w:hint="eastAsia" w:ascii="仿宋_GB2312" w:hAnsi="仿宋_GB2312" w:eastAsia="仿宋_GB2312" w:cs="仿宋_GB2312"/>
          <w:color w:val="auto"/>
          <w:kern w:val="0"/>
          <w:sz w:val="32"/>
          <w:szCs w:val="32"/>
          <w:lang w:val="en-US" w:eastAsia="zh-CN"/>
        </w:rPr>
        <w:t>9</w:t>
      </w:r>
      <w:r>
        <w:rPr>
          <w:rFonts w:hint="eastAsia" w:ascii="仿宋_GB2312" w:hAnsi="仿宋_GB2312" w:eastAsia="仿宋_GB2312" w:cs="仿宋_GB2312"/>
          <w:color w:val="auto"/>
          <w:kern w:val="0"/>
          <w:sz w:val="32"/>
          <w:szCs w:val="32"/>
        </w:rPr>
        <w:t>年决算</w:t>
      </w:r>
      <w:r>
        <w:rPr>
          <w:rFonts w:hint="eastAsia" w:ascii="仿宋_GB2312" w:hAnsi="仿宋_GB2312" w:eastAsia="仿宋_GB2312" w:cs="仿宋_GB2312"/>
          <w:color w:val="auto"/>
          <w:kern w:val="0"/>
          <w:sz w:val="32"/>
          <w:szCs w:val="32"/>
          <w:lang w:eastAsia="zh-CN"/>
        </w:rPr>
        <w:t>数</w:t>
      </w:r>
      <w:r>
        <w:rPr>
          <w:rFonts w:hint="eastAsia" w:ascii="仿宋_GB2312" w:hAnsi="仿宋_GB2312" w:eastAsia="仿宋_GB2312" w:cs="仿宋_GB2312"/>
          <w:color w:val="auto"/>
          <w:kern w:val="0"/>
          <w:sz w:val="32"/>
          <w:szCs w:val="32"/>
          <w:lang w:val="en-US" w:eastAsia="zh-CN"/>
        </w:rPr>
        <w:t>1443.9</w:t>
      </w:r>
      <w:r>
        <w:rPr>
          <w:rFonts w:hint="eastAsia" w:ascii="仿宋_GB2312" w:hAnsi="仿宋_GB2312" w:eastAsia="仿宋_GB2312" w:cs="仿宋_GB2312"/>
          <w:color w:val="auto"/>
          <w:kern w:val="0"/>
          <w:sz w:val="32"/>
          <w:szCs w:val="32"/>
        </w:rPr>
        <w:t>万元，其中，财政补助收入</w:t>
      </w:r>
      <w:r>
        <w:rPr>
          <w:rFonts w:hint="eastAsia" w:ascii="仿宋_GB2312" w:hAnsi="仿宋_GB2312" w:eastAsia="仿宋_GB2312" w:cs="仿宋_GB2312"/>
          <w:color w:val="auto"/>
          <w:kern w:val="0"/>
          <w:sz w:val="32"/>
          <w:szCs w:val="32"/>
          <w:lang w:val="en-US" w:eastAsia="zh-CN"/>
        </w:rPr>
        <w:t>1437.3</w:t>
      </w:r>
      <w:r>
        <w:rPr>
          <w:rFonts w:hint="eastAsia" w:ascii="仿宋_GB2312" w:hAnsi="仿宋_GB2312" w:eastAsia="仿宋_GB2312" w:cs="仿宋_GB2312"/>
          <w:color w:val="auto"/>
          <w:kern w:val="0"/>
          <w:sz w:val="32"/>
          <w:szCs w:val="32"/>
        </w:rPr>
        <w:t>万元，上级补助收入</w:t>
      </w:r>
      <w:r>
        <w:rPr>
          <w:rFonts w:hint="eastAsia" w:ascii="仿宋_GB2312" w:hAnsi="仿宋_GB2312" w:eastAsia="仿宋_GB2312" w:cs="仿宋_GB2312"/>
          <w:color w:val="auto"/>
          <w:kern w:val="0"/>
          <w:sz w:val="32"/>
          <w:szCs w:val="32"/>
          <w:lang w:val="en-US" w:eastAsia="zh-CN"/>
        </w:rPr>
        <w:t>6.6</w:t>
      </w:r>
      <w:r>
        <w:rPr>
          <w:rFonts w:hint="eastAsia" w:ascii="仿宋_GB2312" w:hAnsi="仿宋_GB2312" w:eastAsia="仿宋_GB2312" w:cs="仿宋_GB2312"/>
          <w:color w:val="auto"/>
          <w:kern w:val="0"/>
          <w:sz w:val="32"/>
          <w:szCs w:val="32"/>
        </w:rPr>
        <w:t>万元。</w:t>
      </w:r>
    </w:p>
    <w:p>
      <w:pPr>
        <w:keepNext w:val="0"/>
        <w:keepLines w:val="0"/>
        <w:pageBreakBefore w:val="0"/>
        <w:widowControl/>
        <w:shd w:val="clear" w:color="auto" w:fill="FFFFFF"/>
        <w:kinsoku/>
        <w:wordWrap/>
        <w:overflowPunct/>
        <w:topLinePunct w:val="0"/>
        <w:autoSpaceDE/>
        <w:autoSpaceDN/>
        <w:bidi w:val="0"/>
        <w:spacing w:beforeAutospacing="0" w:afterAutospacing="0" w:line="600" w:lineRule="exact"/>
        <w:ind w:left="0" w:leftChars="0" w:right="0" w:rightChars="0" w:firstLine="643" w:firstLineChars="200"/>
        <w:jc w:val="both"/>
        <w:textAlignment w:val="bottom"/>
        <w:outlineLvl w:val="9"/>
        <w:rPr>
          <w:rFonts w:hint="eastAsia" w:ascii="仿宋_GB2312" w:hAnsi="仿宋_GB2312" w:eastAsia="仿宋_GB2312" w:cs="仿宋_GB2312"/>
          <w:color w:val="auto"/>
          <w:kern w:val="0"/>
          <w:sz w:val="32"/>
          <w:szCs w:val="32"/>
        </w:rPr>
      </w:pPr>
      <w:r>
        <w:rPr>
          <w:rFonts w:hint="eastAsia" w:hAnsi="仿宋_GB2312" w:cs="仿宋_GB2312"/>
          <w:b/>
          <w:bCs/>
          <w:sz w:val="32"/>
          <w:szCs w:val="32"/>
          <w:lang w:val="en-US" w:eastAsia="zh-CN"/>
        </w:rPr>
        <w:t>2.</w:t>
      </w:r>
      <w:r>
        <w:rPr>
          <w:rFonts w:hint="eastAsia" w:ascii="仿宋_GB2312" w:hAnsi="仿宋_GB2312" w:eastAsia="仿宋_GB2312" w:cs="仿宋_GB2312"/>
          <w:b/>
          <w:bCs/>
          <w:sz w:val="32"/>
          <w:szCs w:val="32"/>
          <w:lang w:eastAsia="zh-CN"/>
        </w:rPr>
        <w:t>支出决算，</w:t>
      </w:r>
      <w:r>
        <w:rPr>
          <w:rFonts w:hint="eastAsia" w:ascii="仿宋_GB2312" w:hAnsi="仿宋_GB2312" w:eastAsia="仿宋_GB2312" w:cs="仿宋_GB2312"/>
          <w:color w:val="auto"/>
          <w:kern w:val="0"/>
          <w:sz w:val="32"/>
          <w:szCs w:val="32"/>
        </w:rPr>
        <w:t>201</w:t>
      </w:r>
      <w:r>
        <w:rPr>
          <w:rFonts w:hint="eastAsia" w:ascii="仿宋_GB2312" w:hAnsi="仿宋_GB2312" w:eastAsia="仿宋_GB2312" w:cs="仿宋_GB2312"/>
          <w:color w:val="auto"/>
          <w:kern w:val="0"/>
          <w:sz w:val="32"/>
          <w:szCs w:val="32"/>
          <w:lang w:val="en-US" w:eastAsia="zh-CN"/>
        </w:rPr>
        <w:t>9</w:t>
      </w:r>
      <w:r>
        <w:rPr>
          <w:rFonts w:hint="eastAsia" w:ascii="仿宋_GB2312" w:hAnsi="仿宋_GB2312" w:eastAsia="仿宋_GB2312" w:cs="仿宋_GB2312"/>
          <w:color w:val="auto"/>
          <w:kern w:val="0"/>
          <w:sz w:val="32"/>
          <w:szCs w:val="32"/>
        </w:rPr>
        <w:t>年决算数为</w:t>
      </w:r>
      <w:r>
        <w:rPr>
          <w:rFonts w:hint="eastAsia" w:ascii="仿宋_GB2312" w:hAnsi="仿宋_GB2312" w:eastAsia="仿宋_GB2312" w:cs="仿宋_GB2312"/>
          <w:color w:val="auto"/>
          <w:kern w:val="0"/>
          <w:sz w:val="32"/>
          <w:szCs w:val="32"/>
          <w:lang w:val="en-US" w:eastAsia="zh-CN"/>
        </w:rPr>
        <w:t>1441</w:t>
      </w:r>
      <w:r>
        <w:rPr>
          <w:rFonts w:hint="eastAsia" w:ascii="仿宋_GB2312" w:hAnsi="仿宋_GB2312" w:eastAsia="仿宋_GB2312" w:cs="仿宋_GB2312"/>
          <w:color w:val="auto"/>
          <w:kern w:val="0"/>
          <w:sz w:val="32"/>
          <w:szCs w:val="32"/>
        </w:rPr>
        <w:t>万元，其中：</w:t>
      </w:r>
    </w:p>
    <w:p>
      <w:pPr>
        <w:keepNext w:val="0"/>
        <w:keepLines w:val="0"/>
        <w:pageBreakBefore w:val="0"/>
        <w:widowControl/>
        <w:shd w:val="clear" w:color="auto" w:fill="FFFFFF"/>
        <w:kinsoku/>
        <w:wordWrap/>
        <w:overflowPunct/>
        <w:topLinePunct w:val="0"/>
        <w:autoSpaceDE/>
        <w:autoSpaceDN/>
        <w:bidi w:val="0"/>
        <w:spacing w:beforeAutospacing="0" w:afterAutospacing="0" w:line="600" w:lineRule="exact"/>
        <w:ind w:left="0" w:leftChars="0" w:right="0" w:rightChars="0" w:firstLine="643" w:firstLineChars="200"/>
        <w:jc w:val="both"/>
        <w:textAlignment w:val="bottom"/>
        <w:outlineLvl w:val="9"/>
        <w:rPr>
          <w:rFonts w:hint="eastAsia" w:ascii="仿宋_GB2312" w:hAnsi="仿宋_GB2312" w:eastAsia="仿宋_GB2312" w:cs="仿宋_GB2312"/>
          <w:color w:val="auto"/>
          <w:kern w:val="0"/>
          <w:sz w:val="32"/>
          <w:szCs w:val="32"/>
        </w:rPr>
      </w:pPr>
      <w:r>
        <w:rPr>
          <w:rFonts w:hint="eastAsia" w:hAnsi="仿宋_GB2312" w:cs="仿宋_GB2312"/>
          <w:b/>
          <w:bCs/>
          <w:color w:val="auto"/>
          <w:kern w:val="0"/>
          <w:sz w:val="32"/>
          <w:szCs w:val="32"/>
          <w:lang w:eastAsia="zh-CN"/>
        </w:rPr>
        <w:t>（</w:t>
      </w:r>
      <w:r>
        <w:rPr>
          <w:rFonts w:hint="eastAsia" w:hAnsi="仿宋_GB2312" w:cs="仿宋_GB2312"/>
          <w:b/>
          <w:bCs/>
          <w:color w:val="auto"/>
          <w:kern w:val="0"/>
          <w:sz w:val="32"/>
          <w:szCs w:val="32"/>
          <w:lang w:val="en-US" w:eastAsia="zh-CN"/>
        </w:rPr>
        <w:t>1</w:t>
      </w:r>
      <w:r>
        <w:rPr>
          <w:rFonts w:hint="eastAsia" w:hAnsi="仿宋_GB2312" w:cs="仿宋_GB2312"/>
          <w:b/>
          <w:bCs/>
          <w:color w:val="auto"/>
          <w:kern w:val="0"/>
          <w:sz w:val="32"/>
          <w:szCs w:val="32"/>
          <w:lang w:eastAsia="zh-CN"/>
        </w:rPr>
        <w:t>）</w:t>
      </w:r>
      <w:r>
        <w:rPr>
          <w:rFonts w:hint="eastAsia" w:ascii="仿宋_GB2312" w:hAnsi="仿宋_GB2312" w:eastAsia="仿宋_GB2312" w:cs="仿宋_GB2312"/>
          <w:b/>
          <w:bCs/>
          <w:color w:val="auto"/>
          <w:kern w:val="0"/>
          <w:sz w:val="32"/>
          <w:szCs w:val="32"/>
        </w:rPr>
        <w:t>基本支出：</w:t>
      </w:r>
      <w:r>
        <w:rPr>
          <w:rFonts w:hint="eastAsia" w:ascii="仿宋_GB2312" w:hAnsi="仿宋_GB2312" w:eastAsia="仿宋_GB2312" w:cs="仿宋_GB2312"/>
          <w:color w:val="auto"/>
          <w:kern w:val="0"/>
          <w:sz w:val="32"/>
          <w:szCs w:val="32"/>
        </w:rPr>
        <w:t>201</w:t>
      </w:r>
      <w:r>
        <w:rPr>
          <w:rFonts w:hint="eastAsia" w:ascii="仿宋_GB2312" w:hAnsi="仿宋_GB2312" w:eastAsia="仿宋_GB2312" w:cs="仿宋_GB2312"/>
          <w:color w:val="auto"/>
          <w:kern w:val="0"/>
          <w:sz w:val="32"/>
          <w:szCs w:val="32"/>
          <w:lang w:val="en-US" w:eastAsia="zh-CN"/>
        </w:rPr>
        <w:t>9</w:t>
      </w:r>
      <w:r>
        <w:rPr>
          <w:rFonts w:hint="eastAsia" w:ascii="仿宋_GB2312" w:hAnsi="仿宋_GB2312" w:eastAsia="仿宋_GB2312" w:cs="仿宋_GB2312"/>
          <w:color w:val="auto"/>
          <w:kern w:val="0"/>
          <w:sz w:val="32"/>
          <w:szCs w:val="32"/>
        </w:rPr>
        <w:t>年决算数为</w:t>
      </w:r>
      <w:r>
        <w:rPr>
          <w:rFonts w:hint="eastAsia" w:ascii="仿宋_GB2312" w:hAnsi="仿宋_GB2312" w:eastAsia="仿宋_GB2312" w:cs="仿宋_GB2312"/>
          <w:color w:val="auto"/>
          <w:kern w:val="0"/>
          <w:sz w:val="32"/>
          <w:szCs w:val="32"/>
          <w:lang w:val="en-US" w:eastAsia="zh-CN"/>
        </w:rPr>
        <w:t>580</w:t>
      </w:r>
      <w:r>
        <w:rPr>
          <w:rFonts w:hint="eastAsia" w:ascii="仿宋_GB2312" w:hAnsi="仿宋_GB2312" w:eastAsia="仿宋_GB2312" w:cs="仿宋_GB2312"/>
          <w:color w:val="auto"/>
          <w:kern w:val="0"/>
          <w:sz w:val="32"/>
          <w:szCs w:val="32"/>
        </w:rPr>
        <w:t>万元，是指为保障单位机构运转、完成日常工作任务而发生的各项支出，包括基本工资、津贴补贴等人员经费以及办公费、印刷费、水电费、办公设备购置等日常公用经费。</w:t>
      </w:r>
    </w:p>
    <w:p>
      <w:pPr>
        <w:keepNext w:val="0"/>
        <w:keepLines w:val="0"/>
        <w:pageBreakBefore w:val="0"/>
        <w:widowControl/>
        <w:shd w:val="clear" w:color="auto" w:fill="FFFFFF"/>
        <w:kinsoku/>
        <w:wordWrap/>
        <w:overflowPunct/>
        <w:topLinePunct w:val="0"/>
        <w:autoSpaceDE/>
        <w:autoSpaceDN/>
        <w:bidi w:val="0"/>
        <w:spacing w:beforeAutospacing="0" w:afterAutospacing="0" w:line="600" w:lineRule="exact"/>
        <w:ind w:left="0" w:leftChars="0" w:right="0" w:rightChars="0" w:firstLine="643" w:firstLineChars="200"/>
        <w:jc w:val="both"/>
        <w:textAlignment w:val="bottom"/>
        <w:outlineLvl w:val="9"/>
        <w:rPr>
          <w:rFonts w:hint="eastAsia" w:ascii="仿宋_GB2312" w:hAnsi="仿宋_GB2312" w:eastAsia="仿宋_GB2312" w:cs="仿宋_GB2312"/>
          <w:b/>
          <w:bCs/>
          <w:color w:val="auto"/>
          <w:kern w:val="0"/>
          <w:sz w:val="32"/>
          <w:szCs w:val="32"/>
        </w:rPr>
      </w:pPr>
      <w:r>
        <w:rPr>
          <w:rFonts w:hint="eastAsia" w:hAnsi="仿宋_GB2312" w:cs="仿宋_GB2312"/>
          <w:b/>
          <w:bCs/>
          <w:color w:val="auto"/>
          <w:kern w:val="0"/>
          <w:sz w:val="32"/>
          <w:szCs w:val="32"/>
          <w:lang w:eastAsia="zh-CN"/>
        </w:rPr>
        <w:t>（</w:t>
      </w:r>
      <w:r>
        <w:rPr>
          <w:rFonts w:hint="eastAsia" w:hAnsi="仿宋_GB2312" w:cs="仿宋_GB2312"/>
          <w:b/>
          <w:bCs/>
          <w:color w:val="auto"/>
          <w:kern w:val="0"/>
          <w:sz w:val="32"/>
          <w:szCs w:val="32"/>
          <w:lang w:val="en-US" w:eastAsia="zh-CN"/>
        </w:rPr>
        <w:t>2</w:t>
      </w:r>
      <w:r>
        <w:rPr>
          <w:rFonts w:hint="eastAsia" w:hAnsi="仿宋_GB2312" w:cs="仿宋_GB2312"/>
          <w:b/>
          <w:bCs/>
          <w:color w:val="auto"/>
          <w:kern w:val="0"/>
          <w:sz w:val="32"/>
          <w:szCs w:val="32"/>
          <w:lang w:eastAsia="zh-CN"/>
        </w:rPr>
        <w:t>）</w:t>
      </w:r>
      <w:r>
        <w:rPr>
          <w:rFonts w:hint="eastAsia" w:ascii="仿宋_GB2312" w:hAnsi="仿宋_GB2312" w:eastAsia="仿宋_GB2312" w:cs="仿宋_GB2312"/>
          <w:b/>
          <w:bCs/>
          <w:color w:val="auto"/>
          <w:kern w:val="0"/>
          <w:sz w:val="32"/>
          <w:szCs w:val="32"/>
        </w:rPr>
        <w:t>项目支出：</w:t>
      </w:r>
    </w:p>
    <w:p>
      <w:pPr>
        <w:keepNext w:val="0"/>
        <w:keepLines w:val="0"/>
        <w:pageBreakBefore w:val="0"/>
        <w:widowControl/>
        <w:shd w:val="clear" w:color="auto" w:fill="FFFFFF"/>
        <w:kinsoku/>
        <w:wordWrap/>
        <w:overflowPunct/>
        <w:topLinePunct w:val="0"/>
        <w:autoSpaceDE/>
        <w:autoSpaceDN/>
        <w:bidi w:val="0"/>
        <w:spacing w:beforeAutospacing="0" w:afterAutospacing="0" w:line="600" w:lineRule="exact"/>
        <w:ind w:left="0" w:leftChars="0" w:right="0" w:rightChars="0" w:firstLine="640" w:firstLineChars="200"/>
        <w:jc w:val="both"/>
        <w:textAlignment w:val="bottom"/>
        <w:outlineLvl w:val="9"/>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201</w:t>
      </w:r>
      <w:r>
        <w:rPr>
          <w:rFonts w:hint="eastAsia" w:ascii="仿宋_GB2312" w:hAnsi="仿宋_GB2312" w:eastAsia="仿宋_GB2312" w:cs="仿宋_GB2312"/>
          <w:color w:val="auto"/>
          <w:kern w:val="0"/>
          <w:sz w:val="32"/>
          <w:szCs w:val="32"/>
          <w:lang w:val="en-US" w:eastAsia="zh-CN"/>
        </w:rPr>
        <w:t>9</w:t>
      </w:r>
      <w:r>
        <w:rPr>
          <w:rFonts w:hint="eastAsia" w:ascii="仿宋_GB2312" w:hAnsi="仿宋_GB2312" w:eastAsia="仿宋_GB2312" w:cs="仿宋_GB2312"/>
          <w:color w:val="auto"/>
          <w:kern w:val="0"/>
          <w:sz w:val="32"/>
          <w:szCs w:val="32"/>
        </w:rPr>
        <w:t>年决算数为</w:t>
      </w:r>
      <w:r>
        <w:rPr>
          <w:rFonts w:hint="eastAsia" w:ascii="仿宋_GB2312" w:hAnsi="仿宋_GB2312" w:eastAsia="仿宋_GB2312" w:cs="仿宋_GB2312"/>
          <w:color w:val="auto"/>
          <w:kern w:val="0"/>
          <w:sz w:val="32"/>
          <w:szCs w:val="32"/>
          <w:lang w:val="en-US" w:eastAsia="zh-CN"/>
        </w:rPr>
        <w:t>861</w:t>
      </w:r>
      <w:r>
        <w:rPr>
          <w:rFonts w:hint="eastAsia" w:ascii="仿宋_GB2312" w:hAnsi="仿宋_GB2312" w:eastAsia="仿宋_GB2312" w:cs="仿宋_GB2312"/>
          <w:color w:val="auto"/>
          <w:kern w:val="0"/>
          <w:sz w:val="32"/>
          <w:szCs w:val="32"/>
        </w:rPr>
        <w:t>万元，是指单位为完成特定行政工作或事业发展目标而发生的支出，其中：企业关闭破产补助元</w:t>
      </w:r>
      <w:r>
        <w:rPr>
          <w:rFonts w:hint="eastAsia" w:ascii="仿宋_GB2312" w:hAnsi="仿宋_GB2312" w:eastAsia="仿宋_GB2312" w:cs="仿宋_GB2312"/>
          <w:color w:val="auto"/>
          <w:kern w:val="0"/>
          <w:sz w:val="32"/>
          <w:szCs w:val="32"/>
          <w:lang w:val="en-US" w:eastAsia="zh-CN"/>
        </w:rPr>
        <w:t>122万元</w:t>
      </w:r>
      <w:r>
        <w:rPr>
          <w:rFonts w:hint="eastAsia" w:ascii="仿宋_GB2312" w:hAnsi="仿宋_GB2312" w:eastAsia="仿宋_GB2312" w:cs="仿宋_GB2312"/>
          <w:color w:val="auto"/>
          <w:kern w:val="0"/>
          <w:sz w:val="32"/>
          <w:szCs w:val="32"/>
        </w:rPr>
        <w:t>，是用于</w:t>
      </w:r>
      <w:r>
        <w:rPr>
          <w:rFonts w:hint="eastAsia" w:ascii="仿宋_GB2312" w:hAnsi="仿宋_GB2312" w:eastAsia="仿宋_GB2312" w:cs="仿宋_GB2312"/>
          <w:color w:val="auto"/>
          <w:kern w:val="0"/>
          <w:sz w:val="32"/>
          <w:szCs w:val="32"/>
          <w:lang w:eastAsia="zh-CN"/>
        </w:rPr>
        <w:t>返还改制企业退休人员自缴医保单位部分</w:t>
      </w:r>
      <w:r>
        <w:rPr>
          <w:rFonts w:hint="eastAsia" w:ascii="仿宋_GB2312" w:hAnsi="仿宋_GB2312" w:eastAsia="仿宋_GB2312" w:cs="仿宋_GB2312"/>
          <w:color w:val="auto"/>
          <w:kern w:val="0"/>
          <w:sz w:val="32"/>
          <w:szCs w:val="32"/>
          <w:lang w:val="en-US" w:eastAsia="zh-CN"/>
        </w:rPr>
        <w:t>和系统的帮扶及慰问；伤残抚恤17万元，用于</w:t>
      </w:r>
      <w:r>
        <w:rPr>
          <w:rFonts w:hint="eastAsia" w:ascii="仿宋_GB2312" w:hAnsi="仿宋_GB2312" w:eastAsia="仿宋_GB2312" w:cs="仿宋_GB2312"/>
          <w:color w:val="auto"/>
          <w:kern w:val="0"/>
          <w:sz w:val="32"/>
          <w:szCs w:val="32"/>
        </w:rPr>
        <w:t>缴纳改制企业伤残军人的养老保险</w:t>
      </w:r>
      <w:r>
        <w:rPr>
          <w:rFonts w:hint="eastAsia" w:ascii="仿宋_GB2312" w:hAnsi="仿宋_GB2312" w:eastAsia="仿宋_GB2312" w:cs="仿宋_GB2312"/>
          <w:color w:val="auto"/>
          <w:kern w:val="0"/>
          <w:sz w:val="32"/>
          <w:szCs w:val="32"/>
          <w:lang w:val="en-US" w:eastAsia="zh-CN"/>
        </w:rPr>
        <w:t>及</w:t>
      </w:r>
      <w:r>
        <w:rPr>
          <w:rFonts w:hint="eastAsia" w:ascii="仿宋_GB2312" w:hAnsi="仿宋_GB2312" w:eastAsia="仿宋_GB2312" w:cs="仿宋_GB2312"/>
          <w:color w:val="auto"/>
          <w:kern w:val="0"/>
          <w:sz w:val="32"/>
          <w:szCs w:val="32"/>
          <w:lang w:eastAsia="zh-CN"/>
        </w:rPr>
        <w:t>发放</w:t>
      </w:r>
      <w:r>
        <w:rPr>
          <w:rFonts w:hint="eastAsia" w:ascii="仿宋_GB2312" w:hAnsi="仿宋_GB2312" w:eastAsia="仿宋_GB2312" w:cs="仿宋_GB2312"/>
          <w:color w:val="auto"/>
          <w:kern w:val="0"/>
          <w:sz w:val="32"/>
          <w:szCs w:val="32"/>
        </w:rPr>
        <w:t>改制企业伤残军人</w:t>
      </w:r>
      <w:r>
        <w:rPr>
          <w:rFonts w:hint="eastAsia" w:ascii="仿宋_GB2312" w:hAnsi="仿宋_GB2312" w:eastAsia="仿宋_GB2312" w:cs="仿宋_GB2312"/>
          <w:color w:val="auto"/>
          <w:kern w:val="0"/>
          <w:sz w:val="32"/>
          <w:szCs w:val="32"/>
          <w:lang w:eastAsia="zh-CN"/>
        </w:rPr>
        <w:t>生活补助</w:t>
      </w:r>
      <w:r>
        <w:rPr>
          <w:rFonts w:hint="eastAsia" w:ascii="仿宋_GB2312" w:hAnsi="仿宋_GB2312" w:eastAsia="仿宋_GB2312" w:cs="仿宋_GB2312"/>
          <w:color w:val="auto"/>
          <w:kern w:val="0"/>
          <w:sz w:val="32"/>
          <w:szCs w:val="32"/>
          <w:lang w:val="en-US" w:eastAsia="zh-CN"/>
        </w:rPr>
        <w:t>；</w:t>
      </w:r>
      <w:r>
        <w:rPr>
          <w:rFonts w:hint="eastAsia" w:ascii="仿宋_GB2312" w:hAnsi="仿宋_GB2312" w:eastAsia="仿宋_GB2312" w:cs="仿宋_GB2312"/>
          <w:color w:val="auto"/>
          <w:kern w:val="0"/>
          <w:sz w:val="32"/>
          <w:szCs w:val="32"/>
        </w:rPr>
        <w:t>一般行政管理事务</w:t>
      </w:r>
      <w:r>
        <w:rPr>
          <w:rFonts w:hint="eastAsia" w:ascii="仿宋_GB2312" w:hAnsi="仿宋_GB2312" w:eastAsia="仿宋_GB2312" w:cs="仿宋_GB2312"/>
          <w:color w:val="auto"/>
          <w:kern w:val="0"/>
          <w:sz w:val="32"/>
          <w:szCs w:val="32"/>
          <w:lang w:val="en-US" w:eastAsia="zh-CN"/>
        </w:rPr>
        <w:t>164.5</w:t>
      </w:r>
      <w:r>
        <w:rPr>
          <w:rFonts w:hint="eastAsia" w:ascii="仿宋_GB2312" w:hAnsi="仿宋_GB2312" w:eastAsia="仿宋_GB2312" w:cs="仿宋_GB2312"/>
          <w:color w:val="auto"/>
          <w:kern w:val="0"/>
          <w:sz w:val="32"/>
          <w:szCs w:val="32"/>
        </w:rPr>
        <w:t>万元，主要用于粮食行政执法和统计调查经费</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lang w:val="en-US" w:eastAsia="zh-CN"/>
        </w:rPr>
        <w:t>事业单位退休人员津补贴和</w:t>
      </w:r>
      <w:r>
        <w:rPr>
          <w:rFonts w:hint="eastAsia" w:ascii="仿宋_GB2312" w:hAnsi="仿宋_GB2312" w:eastAsia="仿宋_GB2312" w:cs="仿宋_GB2312"/>
          <w:color w:val="auto"/>
          <w:kern w:val="0"/>
          <w:sz w:val="32"/>
          <w:szCs w:val="32"/>
          <w:lang w:eastAsia="zh-CN"/>
        </w:rPr>
        <w:t>慰问改制企业困难职工和退休人员，以及做好改制企业国有资产管理和信访维稳等后续工作经费</w:t>
      </w:r>
      <w:r>
        <w:rPr>
          <w:rFonts w:hint="eastAsia" w:ascii="仿宋_GB2312" w:hAnsi="仿宋_GB2312" w:eastAsia="仿宋_GB2312" w:cs="仿宋_GB2312"/>
          <w:color w:val="auto"/>
          <w:kern w:val="0"/>
          <w:sz w:val="32"/>
          <w:szCs w:val="32"/>
        </w:rPr>
        <w:t>；其他粮油事务支出</w:t>
      </w:r>
      <w:r>
        <w:rPr>
          <w:rFonts w:hint="eastAsia" w:ascii="仿宋_GB2312" w:hAnsi="仿宋_GB2312" w:eastAsia="仿宋_GB2312" w:cs="仿宋_GB2312"/>
          <w:color w:val="auto"/>
          <w:kern w:val="0"/>
          <w:sz w:val="32"/>
          <w:szCs w:val="32"/>
          <w:lang w:val="en-US" w:eastAsia="zh-CN"/>
        </w:rPr>
        <w:t>524</w:t>
      </w:r>
      <w:r>
        <w:rPr>
          <w:rFonts w:hint="eastAsia" w:ascii="仿宋_GB2312" w:hAnsi="仿宋_GB2312" w:eastAsia="仿宋_GB2312" w:cs="仿宋_GB2312"/>
          <w:color w:val="auto"/>
          <w:kern w:val="0"/>
          <w:sz w:val="32"/>
          <w:szCs w:val="32"/>
        </w:rPr>
        <w:t>万元，主要用于</w:t>
      </w:r>
      <w:r>
        <w:rPr>
          <w:rFonts w:hint="eastAsia" w:ascii="仿宋_GB2312" w:hAnsi="仿宋_GB2312" w:eastAsia="仿宋_GB2312" w:cs="仿宋_GB2312"/>
          <w:color w:val="auto"/>
          <w:kern w:val="0"/>
          <w:sz w:val="32"/>
          <w:szCs w:val="32"/>
          <w:lang w:val="en-US" w:eastAsia="zh-CN"/>
        </w:rPr>
        <w:t>2018年优质粮食工程产后服务中心建设补助、</w:t>
      </w:r>
      <w:r>
        <w:rPr>
          <w:rFonts w:hint="eastAsia" w:ascii="仿宋_GB2312" w:hAnsi="仿宋_GB2312" w:eastAsia="仿宋_GB2312" w:cs="仿宋_GB2312"/>
          <w:color w:val="auto"/>
          <w:kern w:val="0"/>
          <w:sz w:val="32"/>
          <w:szCs w:val="32"/>
        </w:rPr>
        <w:t>粮食</w:t>
      </w:r>
      <w:r>
        <w:rPr>
          <w:rFonts w:hint="eastAsia" w:ascii="仿宋_GB2312" w:hAnsi="仿宋_GB2312" w:eastAsia="仿宋_GB2312" w:cs="仿宋_GB2312"/>
          <w:color w:val="auto"/>
          <w:kern w:val="0"/>
          <w:sz w:val="32"/>
          <w:szCs w:val="32"/>
          <w:lang w:val="en-US" w:eastAsia="zh-CN"/>
        </w:rPr>
        <w:t>安全</w:t>
      </w:r>
      <w:r>
        <w:rPr>
          <w:rFonts w:hint="eastAsia" w:ascii="仿宋_GB2312" w:hAnsi="仿宋_GB2312" w:eastAsia="仿宋_GB2312" w:cs="仿宋_GB2312"/>
          <w:color w:val="auto"/>
          <w:kern w:val="0"/>
          <w:sz w:val="32"/>
          <w:szCs w:val="32"/>
          <w:lang w:eastAsia="zh-CN"/>
        </w:rPr>
        <w:t>产业扶持、</w:t>
      </w:r>
      <w:r>
        <w:rPr>
          <w:rFonts w:hint="eastAsia" w:ascii="仿宋_GB2312" w:hAnsi="仿宋_GB2312" w:eastAsia="仿宋_GB2312" w:cs="仿宋_GB2312"/>
          <w:color w:val="auto"/>
          <w:kern w:val="0"/>
          <w:sz w:val="32"/>
          <w:szCs w:val="32"/>
          <w:lang w:val="en-US" w:eastAsia="zh-CN"/>
        </w:rPr>
        <w:t>粮食产业化龙头企业扶持和</w:t>
      </w:r>
      <w:r>
        <w:rPr>
          <w:rFonts w:hint="eastAsia" w:ascii="仿宋_GB2312" w:hAnsi="仿宋_GB2312" w:eastAsia="仿宋_GB2312" w:cs="仿宋_GB2312"/>
          <w:color w:val="auto"/>
          <w:kern w:val="0"/>
          <w:sz w:val="32"/>
          <w:szCs w:val="32"/>
        </w:rPr>
        <w:t>政策性粮食费用补助</w:t>
      </w:r>
      <w:r>
        <w:rPr>
          <w:rFonts w:hint="eastAsia" w:ascii="仿宋_GB2312" w:hAnsi="仿宋_GB2312" w:eastAsia="仿宋_GB2312" w:cs="仿宋_GB2312"/>
          <w:color w:val="auto"/>
          <w:kern w:val="0"/>
          <w:sz w:val="32"/>
          <w:szCs w:val="32"/>
          <w:lang w:val="en-US" w:eastAsia="zh-CN"/>
        </w:rPr>
        <w:t>等</w:t>
      </w: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lang w:val="en-US" w:eastAsia="zh-CN"/>
        </w:rPr>
        <w:t>其他政府性基金及对应专项债务收入安排的支出14万元，用于应急粮油网点建设补助和星级粮库建设补助</w:t>
      </w:r>
      <w:r>
        <w:rPr>
          <w:rFonts w:hint="eastAsia" w:ascii="仿宋_GB2312" w:hAnsi="仿宋_GB2312" w:eastAsia="仿宋_GB2312" w:cs="仿宋_GB2312"/>
          <w:color w:val="auto"/>
          <w:kern w:val="0"/>
          <w:sz w:val="32"/>
          <w:szCs w:val="32"/>
        </w:rPr>
        <w:t>。</w:t>
      </w:r>
    </w:p>
    <w:p>
      <w:pPr>
        <w:keepNext w:val="0"/>
        <w:keepLines w:val="0"/>
        <w:pageBreakBefore w:val="0"/>
        <w:widowControl/>
        <w:shd w:val="clear" w:color="auto" w:fill="FFFFFF"/>
        <w:kinsoku/>
        <w:wordWrap/>
        <w:overflowPunct/>
        <w:topLinePunct w:val="0"/>
        <w:autoSpaceDE/>
        <w:autoSpaceDN/>
        <w:bidi w:val="0"/>
        <w:spacing w:beforeAutospacing="0" w:afterAutospacing="0" w:line="600" w:lineRule="exact"/>
        <w:ind w:left="0" w:leftChars="0" w:right="0" w:rightChars="0" w:firstLine="643" w:firstLineChars="200"/>
        <w:jc w:val="both"/>
        <w:textAlignment w:val="bottom"/>
        <w:outlineLvl w:val="9"/>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b/>
          <w:bCs/>
          <w:color w:val="auto"/>
          <w:kern w:val="0"/>
          <w:sz w:val="32"/>
          <w:szCs w:val="32"/>
        </w:rPr>
        <w:t>3</w:t>
      </w:r>
      <w:r>
        <w:rPr>
          <w:rFonts w:hint="eastAsia" w:ascii="仿宋_GB2312" w:hAnsi="仿宋_GB2312" w:eastAsia="仿宋_GB2312" w:cs="仿宋_GB2312"/>
          <w:b/>
          <w:bCs/>
          <w:color w:val="auto"/>
          <w:kern w:val="0"/>
          <w:sz w:val="32"/>
          <w:szCs w:val="32"/>
          <w:lang w:val="en-US" w:eastAsia="zh-CN"/>
        </w:rPr>
        <w:t>.</w:t>
      </w:r>
      <w:r>
        <w:rPr>
          <w:rFonts w:hint="eastAsia" w:ascii="仿宋_GB2312" w:hAnsi="仿宋_GB2312" w:eastAsia="仿宋_GB2312" w:cs="仿宋_GB2312"/>
          <w:b/>
          <w:bCs/>
          <w:color w:val="auto"/>
          <w:kern w:val="0"/>
          <w:sz w:val="32"/>
          <w:szCs w:val="32"/>
        </w:rPr>
        <w:t>事业单位经营支出：</w:t>
      </w:r>
      <w:r>
        <w:rPr>
          <w:rFonts w:hint="eastAsia" w:ascii="仿宋_GB2312" w:hAnsi="仿宋_GB2312" w:eastAsia="仿宋_GB2312" w:cs="仿宋_GB2312"/>
          <w:color w:val="auto"/>
          <w:kern w:val="0"/>
          <w:sz w:val="32"/>
          <w:szCs w:val="32"/>
        </w:rPr>
        <w:t>201</w:t>
      </w:r>
      <w:r>
        <w:rPr>
          <w:rFonts w:hint="eastAsia" w:ascii="仿宋_GB2312" w:hAnsi="仿宋_GB2312" w:eastAsia="仿宋_GB2312" w:cs="仿宋_GB2312"/>
          <w:color w:val="auto"/>
          <w:kern w:val="0"/>
          <w:sz w:val="32"/>
          <w:szCs w:val="32"/>
          <w:lang w:val="en-US" w:eastAsia="zh-CN"/>
        </w:rPr>
        <w:t>9</w:t>
      </w:r>
      <w:r>
        <w:rPr>
          <w:rFonts w:hint="eastAsia" w:ascii="仿宋_GB2312" w:hAnsi="仿宋_GB2312" w:eastAsia="仿宋_GB2312" w:cs="仿宋_GB2312"/>
          <w:color w:val="auto"/>
          <w:kern w:val="0"/>
          <w:sz w:val="32"/>
          <w:szCs w:val="32"/>
        </w:rPr>
        <w:t>年决算数为0。</w:t>
      </w:r>
    </w:p>
    <w:p>
      <w:pPr>
        <w:keepNext w:val="0"/>
        <w:keepLines w:val="0"/>
        <w:pageBreakBefore w:val="0"/>
        <w:widowControl/>
        <w:shd w:val="clear" w:color="auto" w:fill="FFFFFF"/>
        <w:kinsoku/>
        <w:wordWrap/>
        <w:overflowPunct/>
        <w:topLinePunct w:val="0"/>
        <w:autoSpaceDE/>
        <w:autoSpaceDN/>
        <w:bidi w:val="0"/>
        <w:spacing w:beforeAutospacing="0" w:afterAutospacing="0" w:line="600" w:lineRule="exact"/>
        <w:ind w:left="0" w:leftChars="0" w:right="0" w:rightChars="0" w:firstLine="643" w:firstLineChars="200"/>
        <w:jc w:val="both"/>
        <w:textAlignment w:val="bottom"/>
        <w:outlineLvl w:val="9"/>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b/>
          <w:bCs/>
          <w:color w:val="auto"/>
          <w:kern w:val="0"/>
          <w:sz w:val="32"/>
          <w:szCs w:val="32"/>
        </w:rPr>
        <w:t>4</w:t>
      </w:r>
      <w:r>
        <w:rPr>
          <w:rFonts w:hint="eastAsia" w:ascii="仿宋_GB2312" w:hAnsi="仿宋_GB2312" w:eastAsia="仿宋_GB2312" w:cs="仿宋_GB2312"/>
          <w:b/>
          <w:bCs/>
          <w:color w:val="auto"/>
          <w:kern w:val="0"/>
          <w:sz w:val="32"/>
          <w:szCs w:val="32"/>
          <w:lang w:val="en-US" w:eastAsia="zh-CN"/>
        </w:rPr>
        <w:t>.</w:t>
      </w:r>
      <w:r>
        <w:rPr>
          <w:rFonts w:hint="eastAsia" w:ascii="仿宋_GB2312" w:hAnsi="仿宋_GB2312" w:eastAsia="仿宋_GB2312" w:cs="仿宋_GB2312"/>
          <w:b/>
          <w:bCs/>
          <w:color w:val="auto"/>
          <w:kern w:val="0"/>
          <w:sz w:val="32"/>
          <w:szCs w:val="32"/>
        </w:rPr>
        <w:t>机关运行经费情况：</w:t>
      </w:r>
      <w:r>
        <w:rPr>
          <w:rFonts w:hint="eastAsia" w:ascii="仿宋_GB2312" w:hAnsi="仿宋_GB2312" w:eastAsia="仿宋_GB2312" w:cs="仿宋_GB2312"/>
          <w:color w:val="auto"/>
          <w:kern w:val="0"/>
          <w:sz w:val="32"/>
          <w:szCs w:val="32"/>
        </w:rPr>
        <w:t>201</w:t>
      </w:r>
      <w:r>
        <w:rPr>
          <w:rFonts w:hint="eastAsia" w:ascii="仿宋_GB2312" w:hAnsi="仿宋_GB2312" w:eastAsia="仿宋_GB2312" w:cs="仿宋_GB2312"/>
          <w:color w:val="auto"/>
          <w:kern w:val="0"/>
          <w:sz w:val="32"/>
          <w:szCs w:val="32"/>
          <w:lang w:val="en-US" w:eastAsia="zh-CN"/>
        </w:rPr>
        <w:t>9</w:t>
      </w:r>
      <w:r>
        <w:rPr>
          <w:rFonts w:hint="eastAsia" w:ascii="仿宋_GB2312" w:hAnsi="仿宋_GB2312" w:eastAsia="仿宋_GB2312" w:cs="仿宋_GB2312"/>
          <w:color w:val="auto"/>
          <w:kern w:val="0"/>
          <w:sz w:val="32"/>
          <w:szCs w:val="32"/>
        </w:rPr>
        <w:t>年</w:t>
      </w:r>
      <w:r>
        <w:rPr>
          <w:rFonts w:hint="eastAsia" w:ascii="仿宋_GB2312" w:hAnsi="仿宋_GB2312" w:eastAsia="仿宋_GB2312" w:cs="仿宋_GB2312"/>
          <w:color w:val="auto"/>
          <w:kern w:val="0"/>
          <w:sz w:val="32"/>
          <w:szCs w:val="32"/>
          <w:lang w:val="en-US" w:eastAsia="zh-CN"/>
        </w:rPr>
        <w:t>单位</w:t>
      </w:r>
      <w:r>
        <w:rPr>
          <w:rFonts w:hint="eastAsia" w:ascii="仿宋_GB2312" w:hAnsi="仿宋_GB2312" w:eastAsia="仿宋_GB2312" w:cs="仿宋_GB2312"/>
          <w:color w:val="auto"/>
          <w:kern w:val="0"/>
          <w:sz w:val="32"/>
          <w:szCs w:val="32"/>
        </w:rPr>
        <w:t>运行经费</w:t>
      </w:r>
      <w:r>
        <w:rPr>
          <w:rFonts w:hint="eastAsia" w:ascii="仿宋_GB2312" w:hAnsi="仿宋_GB2312" w:eastAsia="仿宋_GB2312" w:cs="仿宋_GB2312"/>
          <w:color w:val="auto"/>
          <w:kern w:val="0"/>
          <w:sz w:val="32"/>
          <w:szCs w:val="32"/>
          <w:lang w:val="en-US" w:eastAsia="zh-CN"/>
        </w:rPr>
        <w:t>32</w:t>
      </w:r>
      <w:r>
        <w:rPr>
          <w:rFonts w:hint="eastAsia" w:ascii="仿宋_GB2312" w:hAnsi="仿宋_GB2312" w:eastAsia="仿宋_GB2312" w:cs="仿宋_GB2312"/>
          <w:color w:val="auto"/>
          <w:kern w:val="0"/>
          <w:sz w:val="32"/>
          <w:szCs w:val="32"/>
        </w:rPr>
        <w:t>万元，比201</w:t>
      </w:r>
      <w:r>
        <w:rPr>
          <w:rFonts w:hint="eastAsia" w:ascii="仿宋_GB2312" w:hAnsi="仿宋_GB2312" w:eastAsia="仿宋_GB2312" w:cs="仿宋_GB2312"/>
          <w:color w:val="auto"/>
          <w:kern w:val="0"/>
          <w:sz w:val="32"/>
          <w:szCs w:val="32"/>
          <w:lang w:val="en-US" w:eastAsia="zh-CN"/>
        </w:rPr>
        <w:t>8</w:t>
      </w:r>
      <w:r>
        <w:rPr>
          <w:rFonts w:hint="eastAsia" w:ascii="仿宋_GB2312" w:hAnsi="仿宋_GB2312" w:eastAsia="仿宋_GB2312" w:cs="仿宋_GB2312"/>
          <w:color w:val="auto"/>
          <w:kern w:val="0"/>
          <w:sz w:val="32"/>
          <w:szCs w:val="32"/>
        </w:rPr>
        <w:t>年</w:t>
      </w:r>
      <w:r>
        <w:rPr>
          <w:rFonts w:hint="eastAsia" w:ascii="仿宋_GB2312" w:hAnsi="仿宋_GB2312" w:eastAsia="仿宋_GB2312" w:cs="仿宋_GB2312"/>
          <w:color w:val="auto"/>
          <w:kern w:val="0"/>
          <w:sz w:val="32"/>
          <w:szCs w:val="32"/>
          <w:lang w:val="en-US" w:eastAsia="zh-CN"/>
        </w:rPr>
        <w:t>35</w:t>
      </w:r>
      <w:r>
        <w:rPr>
          <w:rFonts w:hint="eastAsia" w:ascii="仿宋_GB2312" w:hAnsi="仿宋_GB2312" w:eastAsia="仿宋_GB2312" w:cs="仿宋_GB2312"/>
          <w:color w:val="auto"/>
          <w:kern w:val="0"/>
          <w:sz w:val="32"/>
          <w:szCs w:val="32"/>
        </w:rPr>
        <w:t>万元</w:t>
      </w:r>
      <w:r>
        <w:rPr>
          <w:rFonts w:hint="eastAsia" w:ascii="仿宋_GB2312" w:hAnsi="仿宋_GB2312" w:eastAsia="仿宋_GB2312" w:cs="仿宋_GB2312"/>
          <w:color w:val="auto"/>
          <w:kern w:val="0"/>
          <w:sz w:val="32"/>
          <w:szCs w:val="32"/>
          <w:lang w:val="en-US" w:eastAsia="zh-CN"/>
        </w:rPr>
        <w:t>减少3万元</w:t>
      </w:r>
      <w:r>
        <w:rPr>
          <w:rFonts w:hint="eastAsia" w:ascii="仿宋_GB2312" w:hAnsi="仿宋_GB2312" w:eastAsia="仿宋_GB2312" w:cs="仿宋_GB2312"/>
          <w:color w:val="auto"/>
          <w:kern w:val="0"/>
          <w:sz w:val="32"/>
          <w:szCs w:val="32"/>
        </w:rPr>
        <w:t>，主要原因是</w:t>
      </w:r>
      <w:r>
        <w:rPr>
          <w:rFonts w:hint="eastAsia" w:ascii="仿宋_GB2312" w:hAnsi="仿宋_GB2312" w:eastAsia="仿宋_GB2312" w:cs="仿宋_GB2312"/>
          <w:color w:val="auto"/>
          <w:kern w:val="0"/>
          <w:sz w:val="32"/>
          <w:szCs w:val="32"/>
          <w:lang w:val="en-US" w:eastAsia="zh-CN"/>
        </w:rPr>
        <w:t>本年加强管理，压缩经费开支</w:t>
      </w:r>
      <w:r>
        <w:rPr>
          <w:rFonts w:hint="eastAsia" w:ascii="仿宋_GB2312" w:hAnsi="仿宋_GB2312" w:eastAsia="仿宋_GB2312" w:cs="仿宋_GB2312"/>
          <w:color w:val="auto"/>
          <w:kern w:val="0"/>
          <w:sz w:val="32"/>
          <w:szCs w:val="32"/>
        </w:rPr>
        <w:t>等因素。</w:t>
      </w:r>
    </w:p>
    <w:p>
      <w:pPr>
        <w:keepNext w:val="0"/>
        <w:keepLines w:val="0"/>
        <w:pageBreakBefore w:val="0"/>
        <w:kinsoku/>
        <w:wordWrap/>
        <w:overflowPunct/>
        <w:topLinePunct w:val="0"/>
        <w:autoSpaceDE/>
        <w:autoSpaceDN/>
        <w:bidi w:val="0"/>
        <w:adjustRightInd w:val="0"/>
        <w:snapToGrid w:val="0"/>
        <w:spacing w:beforeAutospacing="0" w:afterAutospacing="0" w:line="600" w:lineRule="exact"/>
        <w:ind w:left="0" w:leftChars="0" w:right="0" w:rightChars="0" w:firstLine="643" w:firstLineChars="200"/>
        <w:jc w:val="both"/>
        <w:outlineLvl w:val="9"/>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（二）收入支出预算执行情况</w:t>
      </w:r>
    </w:p>
    <w:p>
      <w:pPr>
        <w:keepNext w:val="0"/>
        <w:keepLines w:val="0"/>
        <w:pageBreakBefore w:val="0"/>
        <w:widowControl/>
        <w:shd w:val="clear" w:color="auto" w:fill="FFFFFF"/>
        <w:kinsoku/>
        <w:wordWrap/>
        <w:overflowPunct/>
        <w:topLinePunct w:val="0"/>
        <w:autoSpaceDE/>
        <w:autoSpaceDN/>
        <w:bidi w:val="0"/>
        <w:spacing w:beforeAutospacing="0" w:afterAutospacing="0" w:line="600" w:lineRule="exact"/>
        <w:ind w:left="0" w:leftChars="0" w:right="0" w:rightChars="0" w:firstLine="640" w:firstLineChars="200"/>
        <w:jc w:val="both"/>
        <w:textAlignment w:val="bottom"/>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总的来看，本年预决算较上年相比，</w:t>
      </w:r>
      <w:r>
        <w:rPr>
          <w:rFonts w:hint="eastAsia" w:ascii="仿宋_GB2312" w:hAnsi="仿宋_GB2312" w:eastAsia="仿宋_GB2312" w:cs="仿宋_GB2312"/>
          <w:color w:val="auto"/>
          <w:sz w:val="32"/>
          <w:szCs w:val="32"/>
          <w:lang w:eastAsia="zh-CN"/>
        </w:rPr>
        <w:t>总收入比去年有</w:t>
      </w:r>
      <w:r>
        <w:rPr>
          <w:rFonts w:hint="eastAsia" w:ascii="仿宋_GB2312" w:hAnsi="仿宋_GB2312" w:eastAsia="仿宋_GB2312" w:cs="仿宋_GB2312"/>
          <w:color w:val="auto"/>
          <w:sz w:val="32"/>
          <w:szCs w:val="32"/>
          <w:lang w:val="en-US" w:eastAsia="zh-CN"/>
        </w:rPr>
        <w:t>所减少</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主要是</w:t>
      </w:r>
      <w:r>
        <w:rPr>
          <w:rFonts w:hint="eastAsia" w:ascii="仿宋_GB2312" w:hAnsi="仿宋_GB2312" w:eastAsia="仿宋_GB2312" w:cs="仿宋_GB2312"/>
          <w:color w:val="auto"/>
          <w:sz w:val="32"/>
          <w:szCs w:val="32"/>
          <w:lang w:eastAsia="zh-CN"/>
        </w:rPr>
        <w:t>项目</w:t>
      </w:r>
      <w:r>
        <w:rPr>
          <w:rFonts w:hint="eastAsia" w:ascii="仿宋_GB2312" w:hAnsi="仿宋_GB2312" w:eastAsia="仿宋_GB2312" w:cs="仿宋_GB2312"/>
          <w:color w:val="auto"/>
          <w:sz w:val="32"/>
          <w:szCs w:val="32"/>
          <w:lang w:val="en-US" w:eastAsia="zh-CN"/>
        </w:rPr>
        <w:t>收入减少</w:t>
      </w:r>
      <w:r>
        <w:rPr>
          <w:rFonts w:hint="eastAsia" w:ascii="仿宋_GB2312" w:hAnsi="仿宋_GB2312" w:eastAsia="仿宋_GB2312" w:cs="仿宋_GB2312"/>
          <w:color w:val="auto"/>
          <w:sz w:val="32"/>
          <w:szCs w:val="32"/>
          <w:lang w:eastAsia="zh-CN"/>
        </w:rPr>
        <w:t>，今年</w:t>
      </w:r>
      <w:r>
        <w:rPr>
          <w:rFonts w:hint="eastAsia" w:ascii="仿宋_GB2312" w:hAnsi="仿宋_GB2312" w:eastAsia="仿宋_GB2312" w:cs="仿宋_GB2312"/>
          <w:color w:val="auto"/>
          <w:sz w:val="32"/>
          <w:szCs w:val="32"/>
          <w:lang w:val="en-US" w:eastAsia="zh-CN"/>
        </w:rPr>
        <w:t>项目</w:t>
      </w:r>
      <w:r>
        <w:rPr>
          <w:rFonts w:hint="eastAsia" w:ascii="仿宋_GB2312" w:hAnsi="仿宋_GB2312" w:eastAsia="仿宋_GB2312" w:cs="仿宋_GB2312"/>
          <w:color w:val="auto"/>
          <w:sz w:val="32"/>
          <w:szCs w:val="32"/>
          <w:lang w:eastAsia="zh-CN"/>
        </w:rPr>
        <w:t>支出</w:t>
      </w:r>
      <w:r>
        <w:rPr>
          <w:rFonts w:hint="eastAsia" w:ascii="仿宋_GB2312" w:hAnsi="仿宋_GB2312" w:eastAsia="仿宋_GB2312" w:cs="仿宋_GB2312"/>
          <w:color w:val="auto"/>
          <w:sz w:val="32"/>
          <w:szCs w:val="32"/>
          <w:lang w:val="en-US" w:eastAsia="zh-CN"/>
        </w:rPr>
        <w:t>861万元比去年1174万元减少313万元。主要原因：</w:t>
      </w:r>
      <w:r>
        <w:rPr>
          <w:rFonts w:hint="eastAsia" w:ascii="仿宋_GB2312" w:hAnsi="仿宋_GB2312" w:eastAsia="仿宋_GB2312" w:cs="仿宋_GB2312"/>
          <w:color w:val="auto"/>
          <w:sz w:val="32"/>
          <w:szCs w:val="32"/>
        </w:rPr>
        <w:t>一是</w:t>
      </w:r>
      <w:r>
        <w:rPr>
          <w:rFonts w:hint="eastAsia" w:ascii="仿宋_GB2312" w:hAnsi="仿宋_GB2312" w:eastAsia="仿宋_GB2312" w:cs="仿宋_GB2312"/>
          <w:color w:val="auto"/>
          <w:sz w:val="32"/>
          <w:szCs w:val="32"/>
          <w:lang w:val="en-US" w:eastAsia="zh-CN"/>
        </w:rPr>
        <w:t>去年安排2018年和2017年粮食</w:t>
      </w:r>
      <w:r>
        <w:rPr>
          <w:rFonts w:hint="eastAsia" w:ascii="仿宋_GB2312" w:hAnsi="仿宋_GB2312" w:eastAsia="仿宋_GB2312" w:cs="仿宋_GB2312"/>
          <w:color w:val="auto"/>
          <w:sz w:val="32"/>
          <w:szCs w:val="32"/>
          <w:lang w:eastAsia="zh-CN"/>
        </w:rPr>
        <w:t>行业扶持资金</w:t>
      </w:r>
      <w:r>
        <w:rPr>
          <w:rFonts w:hint="eastAsia" w:ascii="仿宋_GB2312" w:hAnsi="仿宋_GB2312" w:eastAsia="仿宋_GB2312" w:cs="仿宋_GB2312"/>
          <w:color w:val="auto"/>
          <w:sz w:val="32"/>
          <w:szCs w:val="32"/>
          <w:lang w:val="en-US" w:eastAsia="zh-CN"/>
        </w:rPr>
        <w:t>分别为120和130万元，而今年只安排2019年的120万元，减少130万元；去年安排优质粮食工程产后服务中心建设资金340万元，而</w:t>
      </w:r>
      <w:r>
        <w:rPr>
          <w:rFonts w:hint="eastAsia" w:ascii="仿宋_GB2312" w:hAnsi="仿宋_GB2312" w:eastAsia="仿宋_GB2312" w:cs="仿宋_GB2312"/>
          <w:color w:val="auto"/>
          <w:sz w:val="32"/>
          <w:szCs w:val="32"/>
          <w:lang w:eastAsia="zh-CN"/>
        </w:rPr>
        <w:t>今年</w:t>
      </w:r>
      <w:r>
        <w:rPr>
          <w:rFonts w:hint="eastAsia" w:ascii="仿宋_GB2312" w:hAnsi="仿宋_GB2312" w:eastAsia="仿宋_GB2312" w:cs="仿宋_GB2312"/>
          <w:color w:val="auto"/>
          <w:sz w:val="32"/>
          <w:szCs w:val="32"/>
          <w:lang w:val="en-US" w:eastAsia="zh-CN"/>
        </w:rPr>
        <w:t>扫尾工程完成，只安排60万元，减少280万元；去</w:t>
      </w:r>
      <w:r>
        <w:rPr>
          <w:rFonts w:hint="eastAsia" w:ascii="仿宋_GB2312" w:hAnsi="仿宋_GB2312" w:eastAsia="仿宋_GB2312" w:cs="仿宋_GB2312"/>
          <w:color w:val="auto"/>
          <w:sz w:val="32"/>
          <w:szCs w:val="32"/>
          <w:lang w:eastAsia="zh-CN"/>
        </w:rPr>
        <w:t>年</w:t>
      </w:r>
      <w:r>
        <w:rPr>
          <w:rFonts w:hint="eastAsia" w:ascii="仿宋_GB2312" w:hAnsi="仿宋_GB2312" w:eastAsia="仿宋_GB2312" w:cs="仿宋_GB2312"/>
          <w:color w:val="auto"/>
          <w:sz w:val="32"/>
          <w:szCs w:val="32"/>
          <w:lang w:val="en-US" w:eastAsia="zh-CN"/>
        </w:rPr>
        <w:t>安排</w:t>
      </w:r>
      <w:r>
        <w:rPr>
          <w:rFonts w:hint="eastAsia" w:ascii="仿宋_GB2312" w:hAnsi="仿宋_GB2312" w:eastAsia="仿宋_GB2312" w:cs="仿宋_GB2312"/>
          <w:color w:val="auto"/>
          <w:kern w:val="0"/>
          <w:sz w:val="32"/>
          <w:szCs w:val="32"/>
          <w:lang w:val="en-US" w:eastAsia="zh-CN"/>
        </w:rPr>
        <w:t>改制职工养老保险补助93万元，而今年没有；</w:t>
      </w:r>
      <w:r>
        <w:rPr>
          <w:rFonts w:hint="eastAsia" w:ascii="仿宋_GB2312" w:hAnsi="仿宋_GB2312" w:eastAsia="仿宋_GB2312" w:cs="仿宋_GB2312"/>
          <w:color w:val="auto"/>
          <w:sz w:val="32"/>
          <w:szCs w:val="32"/>
          <w:lang w:val="en-US" w:eastAsia="zh-CN"/>
        </w:rPr>
        <w:t>今年新增粮食安全奖励专项资金200万元，而去年没有；</w:t>
      </w:r>
      <w:r>
        <w:rPr>
          <w:rFonts w:hint="eastAsia" w:ascii="仿宋_GB2312" w:hAnsi="仿宋_GB2312" w:eastAsia="仿宋_GB2312" w:cs="仿宋_GB2312"/>
          <w:color w:val="auto"/>
          <w:sz w:val="32"/>
          <w:szCs w:val="32"/>
        </w:rPr>
        <w:t>其他方面的预决算与上年相比，没有较大变化。</w:t>
      </w:r>
    </w:p>
    <w:p>
      <w:pPr>
        <w:keepNext w:val="0"/>
        <w:keepLines w:val="0"/>
        <w:pageBreakBefore w:val="0"/>
        <w:numPr>
          <w:ilvl w:val="0"/>
          <w:numId w:val="0"/>
        </w:numPr>
        <w:kinsoku/>
        <w:wordWrap/>
        <w:overflowPunct/>
        <w:topLinePunct w:val="0"/>
        <w:autoSpaceDE/>
        <w:autoSpaceDN/>
        <w:bidi w:val="0"/>
        <w:spacing w:beforeAutospacing="0" w:line="600" w:lineRule="exact"/>
        <w:ind w:firstLine="640" w:firstLineChars="200"/>
        <w:jc w:val="both"/>
        <w:rPr>
          <w:rFonts w:hint="eastAsia" w:ascii="黑体" w:hAnsi="黑体" w:eastAsia="黑体" w:cs="黑体"/>
          <w:sz w:val="32"/>
          <w:szCs w:val="32"/>
          <w:lang w:eastAsia="zh-CN"/>
        </w:rPr>
      </w:pPr>
      <w:r>
        <w:rPr>
          <w:rFonts w:hint="eastAsia" w:ascii="黑体" w:hAnsi="黑体" w:eastAsia="黑体" w:cs="黑体"/>
          <w:sz w:val="32"/>
          <w:szCs w:val="32"/>
          <w:lang w:eastAsia="zh-CN"/>
        </w:rPr>
        <w:t>三、</w:t>
      </w:r>
      <w:r>
        <w:rPr>
          <w:rFonts w:hint="eastAsia" w:ascii="黑体" w:hAnsi="黑体" w:eastAsia="黑体" w:cs="黑体"/>
          <w:sz w:val="32"/>
          <w:szCs w:val="32"/>
        </w:rPr>
        <w:t>部门（单位）</w:t>
      </w:r>
      <w:r>
        <w:rPr>
          <w:rFonts w:hint="eastAsia" w:ascii="黑体" w:hAnsi="黑体" w:eastAsia="黑体" w:cs="黑体"/>
          <w:sz w:val="32"/>
          <w:szCs w:val="32"/>
          <w:lang w:eastAsia="zh-CN"/>
        </w:rPr>
        <w:t>资产管理情况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Autospacing="0" w:after="0" w:afterAutospacing="0" w:line="600" w:lineRule="exact"/>
        <w:ind w:right="0" w:firstLine="640" w:firstLineChars="200"/>
        <w:jc w:val="both"/>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color w:val="auto"/>
          <w:kern w:val="0"/>
          <w:sz w:val="32"/>
          <w:szCs w:val="32"/>
          <w:shd w:val="clear" w:color="auto" w:fill="FFFFFF"/>
          <w:lang w:val="en-US" w:eastAsia="zh-CN" w:bidi="ar"/>
        </w:rPr>
        <w:t>2019年12月期末，本单位资产合计10296万元，同2018年12月期末数10533万元相比，减少237万元，主要是补提历年及计提本年折旧244万元，增购无形资产9万元和固定资产1万元，减少应收财政往来3万元。</w:t>
      </w:r>
      <w:r>
        <w:rPr>
          <w:rFonts w:hint="eastAsia" w:ascii="仿宋_GB2312" w:hAnsi="仿宋_GB2312" w:eastAsia="仿宋_GB2312" w:cs="仿宋_GB2312"/>
          <w:b w:val="0"/>
          <w:bCs/>
          <w:color w:val="auto"/>
          <w:sz w:val="32"/>
          <w:szCs w:val="32"/>
        </w:rPr>
        <w:t>资产负债结构情况</w:t>
      </w:r>
      <w:r>
        <w:rPr>
          <w:rFonts w:hint="eastAsia" w:ascii="仿宋_GB2312" w:hAnsi="仿宋_GB2312" w:eastAsia="仿宋_GB2312" w:cs="仿宋_GB2312"/>
          <w:b w:val="0"/>
          <w:bCs/>
          <w:color w:val="auto"/>
          <w:sz w:val="32"/>
          <w:szCs w:val="32"/>
          <w:lang w:eastAsia="zh-CN"/>
        </w:rPr>
        <w:t>：</w:t>
      </w:r>
      <w:r>
        <w:rPr>
          <w:rFonts w:hint="eastAsia" w:ascii="仿宋_GB2312" w:hAnsi="仿宋_GB2312" w:eastAsia="仿宋_GB2312" w:cs="仿宋_GB2312"/>
          <w:color w:val="auto"/>
          <w:kern w:val="0"/>
          <w:sz w:val="32"/>
          <w:szCs w:val="32"/>
          <w:shd w:val="clear" w:color="auto" w:fill="FFFFFF"/>
          <w:lang w:val="en-US" w:eastAsia="zh-CN" w:bidi="ar"/>
        </w:rPr>
        <w:t>2019年12月期末，本单位资产合计10296万元，其中其他应收款9900万元（含应收政府政策性补贴款9304.2万元），占比96.2%，同2018年12月期末数9903相比减少3万元；固定资产原值630.8万元，累计折旧243.5万元，净值387.3万元，占比3.7%，固定资产原值同2018年12月期末数621万元相比增加10万元；无形资产8.5万元，系本年新购；银行存款0.2万元，与上年相比，基本无变动。</w:t>
      </w:r>
    </w:p>
    <w:p>
      <w:pPr>
        <w:keepNext w:val="0"/>
        <w:keepLines w:val="0"/>
        <w:pageBreakBefore w:val="0"/>
        <w:numPr>
          <w:ilvl w:val="0"/>
          <w:numId w:val="0"/>
        </w:numPr>
        <w:kinsoku/>
        <w:wordWrap/>
        <w:overflowPunct/>
        <w:topLinePunct w:val="0"/>
        <w:autoSpaceDE/>
        <w:autoSpaceDN/>
        <w:bidi w:val="0"/>
        <w:spacing w:beforeAutospacing="0" w:line="600" w:lineRule="exact"/>
        <w:ind w:firstLine="640" w:firstLineChars="200"/>
        <w:jc w:val="both"/>
        <w:rPr>
          <w:rFonts w:hint="eastAsia" w:ascii="黑体" w:hAnsi="黑体" w:eastAsia="黑体" w:cs="黑体"/>
          <w:sz w:val="32"/>
          <w:szCs w:val="32"/>
        </w:rPr>
      </w:pPr>
      <w:r>
        <w:rPr>
          <w:rFonts w:hint="eastAsia" w:ascii="黑体" w:hAnsi="黑体" w:eastAsia="黑体" w:cs="黑体"/>
          <w:sz w:val="32"/>
          <w:szCs w:val="32"/>
          <w:lang w:eastAsia="zh-CN"/>
        </w:rPr>
        <w:t>四</w:t>
      </w:r>
      <w:r>
        <w:rPr>
          <w:rFonts w:hint="eastAsia" w:ascii="黑体" w:hAnsi="黑体" w:eastAsia="黑体" w:cs="黑体"/>
          <w:sz w:val="32"/>
          <w:szCs w:val="32"/>
        </w:rPr>
        <w:t>、部门（单位）整体支出绩效目标及开展情况</w:t>
      </w:r>
    </w:p>
    <w:p>
      <w:pPr>
        <w:keepNext w:val="0"/>
        <w:keepLines w:val="0"/>
        <w:pageBreakBefore w:val="0"/>
        <w:kinsoku/>
        <w:wordWrap/>
        <w:overflowPunct/>
        <w:topLinePunct w:val="0"/>
        <w:autoSpaceDE/>
        <w:autoSpaceDN/>
        <w:bidi w:val="0"/>
        <w:spacing w:beforeAutospacing="0" w:afterAutospacing="0" w:line="600" w:lineRule="exact"/>
        <w:ind w:firstLine="640" w:firstLineChars="200"/>
        <w:jc w:val="both"/>
        <w:outlineLvl w:val="9"/>
        <w:rPr>
          <w:rFonts w:hint="eastAsia" w:ascii="仿宋_GB2312" w:hAnsi="仿宋_GB2312" w:eastAsia="仿宋_GB2312" w:cs="仿宋_GB2312"/>
          <w:sz w:val="32"/>
          <w:szCs w:val="32"/>
          <w:lang w:val="en-US" w:eastAsia="zh-CN"/>
        </w:rPr>
      </w:pPr>
      <w:r>
        <w:rPr>
          <w:rFonts w:hint="eastAsia" w:hAnsi="仿宋_GB2312" w:cs="仿宋_GB2312"/>
          <w:sz w:val="32"/>
          <w:szCs w:val="32"/>
          <w:lang w:val="en-US" w:eastAsia="zh-CN"/>
        </w:rPr>
        <w:t>1.</w:t>
      </w:r>
      <w:r>
        <w:rPr>
          <w:rFonts w:hint="eastAsia" w:ascii="仿宋_GB2312" w:hAnsi="仿宋_GB2312" w:eastAsia="仿宋_GB2312" w:cs="仿宋_GB2312"/>
          <w:sz w:val="32"/>
          <w:szCs w:val="32"/>
          <w:lang w:val="en-US" w:eastAsia="zh-CN"/>
        </w:rPr>
        <w:t>本单位</w:t>
      </w:r>
      <w:r>
        <w:rPr>
          <w:rFonts w:hint="eastAsia" w:hAnsi="仿宋_GB2312" w:cs="仿宋_GB2312"/>
          <w:sz w:val="32"/>
          <w:szCs w:val="32"/>
          <w:lang w:val="en-US" w:eastAsia="zh-CN"/>
        </w:rPr>
        <w:t>整体支出</w:t>
      </w:r>
      <w:r>
        <w:rPr>
          <w:rFonts w:hint="eastAsia" w:ascii="仿宋_GB2312" w:hAnsi="仿宋_GB2312" w:eastAsia="仿宋_GB2312" w:cs="仿宋_GB2312"/>
          <w:sz w:val="32"/>
          <w:szCs w:val="32"/>
          <w:lang w:val="en-US" w:eastAsia="zh-CN"/>
        </w:rPr>
        <w:t>绩效目标为指导和监督全县粮食经营者依法从事收购、储存、运输活动和政策性用粮的购销活动，以及执行国家粮食流通统计制度的情况；做好全县社会粮食流通统计和信息工作；管理系统内国有资产的安全和处置；热情接待各级来访领导和群众，做好国有粮食企业改革改制的后续工作。全年完成省市粮食局和区市场</w:t>
      </w:r>
      <w:r>
        <w:rPr>
          <w:rFonts w:hint="eastAsia" w:hAnsi="仿宋_GB2312" w:cs="仿宋_GB2312"/>
          <w:sz w:val="32"/>
          <w:szCs w:val="32"/>
          <w:lang w:val="en-US" w:eastAsia="zh-CN"/>
        </w:rPr>
        <w:t>监督</w:t>
      </w:r>
      <w:r>
        <w:rPr>
          <w:rFonts w:hint="eastAsia" w:ascii="仿宋_GB2312" w:hAnsi="仿宋_GB2312" w:eastAsia="仿宋_GB2312" w:cs="仿宋_GB2312"/>
          <w:sz w:val="32"/>
          <w:szCs w:val="32"/>
          <w:lang w:val="en-US" w:eastAsia="zh-CN"/>
        </w:rPr>
        <w:t>管理局下达的粮油检验检测批次，区域内粮食企业实现粮食收购 3万吨以上，销售3万吨以上，粮食行业固定资产投资达500万元以上，区内应急粮油供应网点达15个，实现区域内所有乡镇全覆盖，扶持12家粮食产业化龙头企业，仓储设施和物流体系建设不断加强，慰问改制企业退休人员及困难职工等600多人，确保全系统安全稳定，定期开展国有资产安全生产检查和安全储粮检查，确保各级储备粮数量真实，质量良好，全年无任何安全事故，促进区域内粮食经济健康、协调、可持续发展。</w:t>
      </w:r>
    </w:p>
    <w:p>
      <w:pPr>
        <w:keepNext w:val="0"/>
        <w:keepLines w:val="0"/>
        <w:pageBreakBefore w:val="0"/>
        <w:kinsoku/>
        <w:wordWrap/>
        <w:overflowPunct/>
        <w:topLinePunct w:val="0"/>
        <w:autoSpaceDE/>
        <w:autoSpaceDN/>
        <w:bidi w:val="0"/>
        <w:spacing w:beforeAutospacing="0" w:afterAutospacing="0" w:line="600" w:lineRule="exact"/>
        <w:ind w:firstLine="640" w:firstLineChars="200"/>
        <w:jc w:val="both"/>
        <w:outlineLvl w:val="9"/>
        <w:rPr>
          <w:rFonts w:hint="default" w:ascii="仿宋_GB2312" w:eastAsia="仿宋_GB2312"/>
          <w:color w:val="auto"/>
          <w:sz w:val="32"/>
          <w:szCs w:val="32"/>
          <w:lang w:val="en-US" w:eastAsia="zh-CN"/>
        </w:rPr>
      </w:pPr>
      <w:r>
        <w:rPr>
          <w:rFonts w:hint="eastAsia" w:hAnsi="仿宋_GB2312" w:cs="仿宋_GB2312"/>
          <w:sz w:val="32"/>
          <w:szCs w:val="32"/>
          <w:lang w:val="en-US" w:eastAsia="zh-CN"/>
        </w:rPr>
        <w:t>2.全年整体支出绩效开展情况分项目来看主要是：</w:t>
      </w:r>
      <w:r>
        <w:rPr>
          <w:rFonts w:hint="eastAsia" w:ascii="仿宋_GB2312" w:hAnsi="微软雅黑" w:eastAsia="仿宋_GB2312" w:cs="仿宋_GB2312"/>
          <w:color w:val="auto"/>
          <w:kern w:val="0"/>
          <w:sz w:val="32"/>
          <w:szCs w:val="32"/>
          <w:shd w:val="clear" w:color="auto" w:fill="FFFFFF"/>
          <w:lang w:val="en-US" w:eastAsia="zh-CN" w:bidi="ar"/>
        </w:rPr>
        <w:t>优质粮食工程产后服务中心建设60万元，主要用于长沙龙虎生态科技有限公司、</w:t>
      </w:r>
      <w:r>
        <w:rPr>
          <w:rFonts w:hint="eastAsia" w:ascii="仿宋_GB2312" w:eastAsia="仿宋_GB2312"/>
          <w:color w:val="auto"/>
          <w:sz w:val="32"/>
          <w:szCs w:val="32"/>
          <w:lang w:val="en-US" w:eastAsia="zh-CN"/>
        </w:rPr>
        <w:t>长沙市望城区隆平格塘种粮专业合作社、长沙市望城区新河优质稻种植专业合作社、长沙市望城区浩瀚农业发展有限公司、长沙市望城区靖港镇石毫村建良大米加工厂的五个粮食产后服务中心建设项目补助；</w:t>
      </w:r>
      <w:r>
        <w:rPr>
          <w:rFonts w:hint="eastAsia" w:ascii="仿宋_GB2312" w:hAnsi="微软雅黑" w:eastAsia="仿宋_GB2312" w:cs="仿宋_GB2312"/>
          <w:color w:val="auto"/>
          <w:kern w:val="0"/>
          <w:sz w:val="32"/>
          <w:szCs w:val="32"/>
          <w:shd w:val="clear" w:color="auto" w:fill="FFFFFF"/>
          <w:lang w:val="en-US" w:eastAsia="zh-CN" w:bidi="ar"/>
        </w:rPr>
        <w:t>粮食安全产业扶持124万元和粮食安全省长责任制考核奖励资金200万元，主要用于扶持</w:t>
      </w:r>
      <w:r>
        <w:rPr>
          <w:rFonts w:hint="eastAsia" w:ascii="仿宋_GB2312" w:eastAsia="仿宋_GB2312"/>
          <w:color w:val="auto"/>
          <w:sz w:val="32"/>
          <w:szCs w:val="32"/>
          <w:lang w:val="en-US" w:eastAsia="zh-CN"/>
        </w:rPr>
        <w:t>五家粮食产后服务中心建设以及粮食产业化龙头企业、</w:t>
      </w:r>
      <w:r>
        <w:rPr>
          <w:rFonts w:hint="eastAsia" w:ascii="仿宋_GB2312" w:eastAsia="仿宋_GB2312" w:cs="仿宋_GB2312"/>
          <w:b w:val="0"/>
          <w:bCs w:val="0"/>
          <w:color w:val="auto"/>
          <w:kern w:val="0"/>
          <w:sz w:val="32"/>
          <w:szCs w:val="32"/>
          <w:lang w:val="en-US" w:eastAsia="zh-CN" w:bidi="ar"/>
        </w:rPr>
        <w:t>粮食应急保障加工网点和供应网点，促进了</w:t>
      </w:r>
      <w:r>
        <w:rPr>
          <w:rFonts w:hint="eastAsia" w:ascii="仿宋_GB2312" w:eastAsia="仿宋_GB2312"/>
          <w:color w:val="auto"/>
          <w:sz w:val="32"/>
          <w:szCs w:val="32"/>
          <w:lang w:val="en-US" w:eastAsia="zh-CN"/>
        </w:rPr>
        <w:t>五家粮食产后服务中心建设完工，</w:t>
      </w:r>
      <w:r>
        <w:rPr>
          <w:rFonts w:hint="eastAsia" w:ascii="仿宋_GB2312" w:eastAsia="仿宋_GB2312" w:cs="仿宋_GB2312"/>
          <w:b w:val="0"/>
          <w:bCs w:val="0"/>
          <w:color w:val="auto"/>
          <w:kern w:val="0"/>
          <w:sz w:val="32"/>
          <w:szCs w:val="32"/>
          <w:lang w:val="en-US" w:eastAsia="zh-CN" w:bidi="ar"/>
        </w:rPr>
        <w:t>完善了粮食应急保障体系，推进了粮食产业化进程和放心粮油工程建设；</w:t>
      </w:r>
      <w:r>
        <w:rPr>
          <w:rFonts w:hint="eastAsia" w:ascii="仿宋_GB2312" w:hAnsi="微软雅黑" w:eastAsia="仿宋_GB2312" w:cs="仿宋_GB2312"/>
          <w:color w:val="auto"/>
          <w:kern w:val="0"/>
          <w:sz w:val="32"/>
          <w:szCs w:val="32"/>
          <w:shd w:val="clear" w:color="auto" w:fill="FFFFFF"/>
          <w:lang w:val="en-US" w:eastAsia="zh-CN" w:bidi="ar"/>
        </w:rPr>
        <w:t>粮食系统企业改制补助109.4万元，主要用于热情接待来访群众，慰问改制企业退休人员及困难职工600多人次，定期开展国有资产安全生产检查，对陈旧破损的资产及时开展维修，不断完善设备设施，保障国有资产保值增值，维护了系统大局稳定；</w:t>
      </w:r>
      <w:r>
        <w:rPr>
          <w:rFonts w:hint="eastAsia" w:ascii="仿宋_GB2312" w:hAnsi="宋体" w:eastAsia="仿宋_GB2312" w:cs="宋体"/>
          <w:color w:val="auto"/>
          <w:kern w:val="0"/>
          <w:sz w:val="32"/>
          <w:szCs w:val="32"/>
        </w:rPr>
        <w:t>企业关闭破产补助</w:t>
      </w:r>
      <w:r>
        <w:rPr>
          <w:rFonts w:hint="eastAsia" w:ascii="仿宋_GB2312" w:hAnsi="宋体" w:eastAsia="仿宋_GB2312" w:cs="宋体"/>
          <w:color w:val="auto"/>
          <w:kern w:val="0"/>
          <w:sz w:val="32"/>
          <w:szCs w:val="32"/>
          <w:lang w:val="en-US" w:eastAsia="zh-CN"/>
        </w:rPr>
        <w:t>122</w:t>
      </w:r>
      <w:r>
        <w:rPr>
          <w:rFonts w:hint="eastAsia" w:ascii="仿宋_GB2312" w:hAnsi="宋体" w:eastAsia="仿宋_GB2312" w:cs="宋体"/>
          <w:color w:val="auto"/>
          <w:kern w:val="0"/>
          <w:sz w:val="32"/>
          <w:szCs w:val="32"/>
        </w:rPr>
        <w:t>万元，</w:t>
      </w:r>
      <w:r>
        <w:rPr>
          <w:rFonts w:hint="eastAsia" w:ascii="仿宋_GB2312" w:hAnsi="宋体" w:eastAsia="仿宋_GB2312" w:cs="宋体"/>
          <w:color w:val="auto"/>
          <w:kern w:val="0"/>
          <w:sz w:val="32"/>
          <w:szCs w:val="32"/>
          <w:lang w:val="en-US" w:eastAsia="zh-CN"/>
        </w:rPr>
        <w:t>主要</w:t>
      </w:r>
      <w:r>
        <w:rPr>
          <w:rFonts w:hint="eastAsia" w:ascii="仿宋_GB2312" w:hAnsi="宋体" w:eastAsia="仿宋_GB2312" w:cs="宋体"/>
          <w:color w:val="auto"/>
          <w:kern w:val="0"/>
          <w:sz w:val="32"/>
          <w:szCs w:val="32"/>
        </w:rPr>
        <w:t>是用于</w:t>
      </w:r>
      <w:r>
        <w:rPr>
          <w:rFonts w:hint="eastAsia" w:ascii="仿宋_GB2312" w:hAnsi="宋体" w:eastAsia="仿宋_GB2312" w:cs="宋体"/>
          <w:color w:val="auto"/>
          <w:kern w:val="0"/>
          <w:sz w:val="32"/>
          <w:szCs w:val="32"/>
          <w:lang w:eastAsia="zh-CN"/>
        </w:rPr>
        <w:t>返还改制企业退休人员自缴医保单位部分</w:t>
      </w:r>
      <w:r>
        <w:rPr>
          <w:rFonts w:hint="eastAsia" w:ascii="仿宋_GB2312" w:hAnsi="宋体" w:eastAsia="仿宋_GB2312" w:cs="宋体"/>
          <w:color w:val="auto"/>
          <w:kern w:val="0"/>
          <w:sz w:val="32"/>
          <w:szCs w:val="32"/>
          <w:lang w:val="en-US" w:eastAsia="zh-CN"/>
        </w:rPr>
        <w:t>51万元和改制职工帮扶慰问71万元</w:t>
      </w:r>
      <w:r>
        <w:rPr>
          <w:rFonts w:hint="eastAsia" w:hAnsi="宋体" w:cs="宋体"/>
          <w:color w:val="auto"/>
          <w:kern w:val="0"/>
          <w:sz w:val="32"/>
          <w:szCs w:val="32"/>
          <w:lang w:val="en-US" w:eastAsia="zh-CN"/>
        </w:rPr>
        <w:t>等。</w:t>
      </w:r>
    </w:p>
    <w:p>
      <w:pPr>
        <w:keepNext w:val="0"/>
        <w:keepLines w:val="0"/>
        <w:pageBreakBefore w:val="0"/>
        <w:numPr>
          <w:ilvl w:val="0"/>
          <w:numId w:val="0"/>
        </w:numPr>
        <w:kinsoku/>
        <w:wordWrap/>
        <w:overflowPunct/>
        <w:topLinePunct w:val="0"/>
        <w:autoSpaceDE/>
        <w:autoSpaceDN/>
        <w:bidi w:val="0"/>
        <w:spacing w:beforeAutospacing="0" w:line="600" w:lineRule="exact"/>
        <w:ind w:firstLine="640" w:firstLineChars="200"/>
        <w:jc w:val="both"/>
        <w:rPr>
          <w:rFonts w:hint="eastAsia" w:ascii="黑体" w:hAnsi="黑体" w:eastAsia="黑体" w:cs="黑体"/>
          <w:sz w:val="32"/>
          <w:szCs w:val="32"/>
        </w:rPr>
      </w:pPr>
      <w:r>
        <w:rPr>
          <w:rFonts w:hint="eastAsia" w:ascii="黑体" w:hAnsi="黑体" w:eastAsia="黑体" w:cs="黑体"/>
          <w:sz w:val="32"/>
          <w:szCs w:val="32"/>
          <w:lang w:eastAsia="zh-CN"/>
        </w:rPr>
        <w:t>五</w:t>
      </w:r>
      <w:r>
        <w:rPr>
          <w:rFonts w:hint="eastAsia" w:ascii="黑体" w:hAnsi="黑体" w:eastAsia="黑体" w:cs="黑体"/>
          <w:sz w:val="32"/>
          <w:szCs w:val="32"/>
        </w:rPr>
        <w:t>、部门（单位）整体支出绩效实现情况</w:t>
      </w:r>
    </w:p>
    <w:p>
      <w:pPr>
        <w:keepNext w:val="0"/>
        <w:keepLines w:val="0"/>
        <w:pageBreakBefore w:val="0"/>
        <w:kinsoku/>
        <w:wordWrap/>
        <w:overflowPunct/>
        <w:topLinePunct w:val="0"/>
        <w:autoSpaceDE/>
        <w:autoSpaceDN/>
        <w:bidi w:val="0"/>
        <w:spacing w:beforeAutospacing="0" w:line="600" w:lineRule="exact"/>
        <w:ind w:firstLine="643" w:firstLineChars="200"/>
        <w:jc w:val="both"/>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lang w:val="en-US" w:eastAsia="zh-CN"/>
        </w:rPr>
        <w:t>一</w:t>
      </w:r>
      <w:r>
        <w:rPr>
          <w:rFonts w:hint="eastAsia" w:ascii="仿宋_GB2312" w:hAnsi="仿宋_GB2312" w:eastAsia="仿宋_GB2312" w:cs="仿宋_GB2312"/>
          <w:b/>
          <w:bCs/>
          <w:sz w:val="32"/>
          <w:szCs w:val="32"/>
          <w:lang w:eastAsia="zh-CN"/>
        </w:rPr>
        <w:t>）认真落实粮食安全省长责任制</w:t>
      </w:r>
    </w:p>
    <w:p>
      <w:pPr>
        <w:keepNext w:val="0"/>
        <w:keepLines w:val="0"/>
        <w:pageBreakBefore w:val="0"/>
        <w:kinsoku/>
        <w:wordWrap/>
        <w:overflowPunct/>
        <w:topLinePunct w:val="0"/>
        <w:autoSpaceDE/>
        <w:autoSpaceDN/>
        <w:bidi w:val="0"/>
        <w:spacing w:beforeAutospacing="0" w:line="600" w:lineRule="exact"/>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以</w:t>
      </w:r>
      <w:r>
        <w:rPr>
          <w:rFonts w:hint="eastAsia" w:ascii="仿宋_GB2312" w:hAnsi="仿宋_GB2312" w:eastAsia="仿宋_GB2312" w:cs="仿宋_GB2312"/>
          <w:sz w:val="32"/>
          <w:szCs w:val="32"/>
          <w:lang w:val="en-US" w:eastAsia="zh-CN"/>
        </w:rPr>
        <w:t>争创省级督查激励奖励为目标，</w:t>
      </w:r>
      <w:r>
        <w:rPr>
          <w:rFonts w:hint="eastAsia" w:ascii="仿宋_GB2312" w:hAnsi="仿宋_GB2312" w:eastAsia="仿宋_GB2312" w:cs="仿宋_GB2312"/>
          <w:sz w:val="32"/>
          <w:szCs w:val="32"/>
          <w:lang w:eastAsia="zh-CN"/>
        </w:rPr>
        <w:t>全面</w:t>
      </w:r>
      <w:r>
        <w:rPr>
          <w:rFonts w:hint="eastAsia" w:ascii="仿宋_GB2312" w:hAnsi="仿宋_GB2312" w:eastAsia="仿宋_GB2312" w:cs="仿宋_GB2312"/>
          <w:sz w:val="32"/>
          <w:szCs w:val="32"/>
        </w:rPr>
        <w:t>落实粮食安全省长责任制，</w:t>
      </w:r>
      <w:r>
        <w:rPr>
          <w:rFonts w:hint="eastAsia" w:ascii="仿宋_GB2312" w:hAnsi="仿宋_GB2312" w:eastAsia="仿宋_GB2312" w:cs="仿宋_GB2312"/>
          <w:sz w:val="32"/>
          <w:szCs w:val="32"/>
          <w:lang w:eastAsia="zh-CN"/>
        </w:rPr>
        <w:t>圆满完成</w:t>
      </w:r>
      <w:r>
        <w:rPr>
          <w:rFonts w:hint="eastAsia" w:ascii="仿宋_GB2312" w:hAnsi="仿宋_GB2312" w:eastAsia="仿宋_GB2312" w:cs="仿宋_GB2312"/>
          <w:sz w:val="32"/>
          <w:szCs w:val="32"/>
          <w:lang w:val="en-US" w:eastAsia="zh-CN"/>
        </w:rPr>
        <w:t>2019年度工作任务</w:t>
      </w:r>
      <w:r>
        <w:rPr>
          <w:rFonts w:hint="eastAsia" w:ascii="仿宋_GB2312" w:hAnsi="仿宋_GB2312" w:eastAsia="仿宋_GB2312" w:cs="仿宋_GB2312"/>
          <w:sz w:val="32"/>
          <w:szCs w:val="32"/>
          <w:lang w:eastAsia="zh-CN"/>
        </w:rPr>
        <w:t>。</w:t>
      </w:r>
    </w:p>
    <w:p>
      <w:pPr>
        <w:keepNext w:val="0"/>
        <w:keepLines w:val="0"/>
        <w:pageBreakBefore w:val="0"/>
        <w:kinsoku/>
        <w:wordWrap/>
        <w:overflowPunct/>
        <w:topLinePunct w:val="0"/>
        <w:autoSpaceDE/>
        <w:autoSpaceDN/>
        <w:bidi w:val="0"/>
        <w:spacing w:beforeAutospacing="0" w:line="600" w:lineRule="exact"/>
        <w:ind w:firstLine="643" w:firstLineChars="200"/>
        <w:jc w:val="both"/>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lang w:val="en-US" w:eastAsia="zh-CN"/>
        </w:rPr>
        <w:t>二</w:t>
      </w:r>
      <w:r>
        <w:rPr>
          <w:rFonts w:hint="eastAsia" w:ascii="仿宋_GB2312" w:hAnsi="仿宋_GB2312" w:eastAsia="仿宋_GB2312" w:cs="仿宋_GB2312"/>
          <w:b/>
          <w:bCs/>
          <w:sz w:val="32"/>
          <w:szCs w:val="32"/>
          <w:lang w:eastAsia="zh-CN"/>
        </w:rPr>
        <w:t>）加强行业管理，切实保障粮食安全</w:t>
      </w:r>
    </w:p>
    <w:p>
      <w:pPr>
        <w:pStyle w:val="4"/>
        <w:keepNext w:val="0"/>
        <w:keepLines w:val="0"/>
        <w:pageBreakBefore w:val="0"/>
        <w:widowControl w:val="0"/>
        <w:numPr>
          <w:ilvl w:val="0"/>
          <w:numId w:val="0"/>
        </w:numPr>
        <w:kinsoku/>
        <w:wordWrap/>
        <w:overflowPunct/>
        <w:topLinePunct w:val="0"/>
        <w:autoSpaceDE/>
        <w:autoSpaceDN/>
        <w:bidi w:val="0"/>
        <w:adjustRightInd/>
        <w:snapToGrid/>
        <w:spacing w:beforeAutospacing="0" w:after="0" w:line="600" w:lineRule="exact"/>
        <w:ind w:leftChars="0" w:firstLine="643" w:firstLineChars="20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color w:val="auto"/>
          <w:sz w:val="32"/>
          <w:szCs w:val="32"/>
          <w:lang w:eastAsia="zh-CN"/>
        </w:rPr>
        <w:t>一是</w:t>
      </w:r>
      <w:r>
        <w:rPr>
          <w:rFonts w:hint="eastAsia" w:ascii="仿宋_GB2312" w:hAnsi="仿宋_GB2312" w:eastAsia="仿宋_GB2312" w:cs="仿宋_GB2312"/>
          <w:color w:val="auto"/>
          <w:sz w:val="32"/>
          <w:szCs w:val="32"/>
          <w:lang w:eastAsia="zh-CN"/>
        </w:rPr>
        <w:t>制订并印发了《2019年望城区区级储备粮补贴专项资金管理办法》，完善了资金使用方案，落实了区级储备粮资金140万元；全年已开展春夏和秋冬季2次库存粮食安全大检查工作，库存粮食粮情稳定，无安全储粮事故。</w:t>
      </w:r>
      <w:r>
        <w:rPr>
          <w:rFonts w:hint="eastAsia" w:ascii="仿宋_GB2312" w:hAnsi="仿宋_GB2312" w:eastAsia="仿宋_GB2312" w:cs="仿宋_GB2312"/>
          <w:b/>
          <w:bCs/>
          <w:sz w:val="32"/>
          <w:szCs w:val="32"/>
          <w:lang w:eastAsia="zh-CN"/>
        </w:rPr>
        <w:t>二是</w:t>
      </w:r>
      <w:r>
        <w:rPr>
          <w:rFonts w:hint="eastAsia" w:ascii="仿宋_GB2312" w:hAnsi="仿宋_GB2312" w:eastAsia="仿宋_GB2312" w:cs="仿宋_GB2312"/>
          <w:sz w:val="32"/>
          <w:szCs w:val="32"/>
          <w:lang w:eastAsia="zh-CN"/>
        </w:rPr>
        <w:t>全年已完成3家粮食应急保障网点建设工作，粮食应急指挥平台和视频会议室建设已通过验收并投入使用</w:t>
      </w:r>
      <w:r>
        <w:rPr>
          <w:rFonts w:hint="eastAsia" w:ascii="仿宋_GB2312" w:hAnsi="仿宋_GB2312" w:eastAsia="仿宋_GB2312" w:cs="仿宋_GB2312"/>
          <w:sz w:val="32"/>
          <w:szCs w:val="32"/>
          <w:lang w:val="en-US" w:eastAsia="zh-CN"/>
        </w:rPr>
        <w:t>；5家粮食产后服务中心如期完成预计的项目建设并通过验收；发挥粮油协会平台作用，</w:t>
      </w:r>
      <w:r>
        <w:rPr>
          <w:rFonts w:hint="eastAsia" w:ascii="仿宋_GB2312" w:hAnsi="仿宋_GB2312" w:eastAsia="仿宋_GB2312" w:cs="仿宋_GB2312"/>
          <w:sz w:val="32"/>
          <w:szCs w:val="32"/>
          <w:lang w:eastAsia="zh-CN"/>
        </w:rPr>
        <w:t>扶持本地粮油品牌，推进“湘米出湘”，“虎仔”牌大米成功进入广州市场。</w:t>
      </w:r>
      <w:r>
        <w:rPr>
          <w:rFonts w:hint="eastAsia" w:ascii="仿宋_GB2312" w:hAnsi="仿宋_GB2312" w:eastAsia="仿宋_GB2312" w:cs="仿宋_GB2312"/>
          <w:b/>
          <w:bCs/>
          <w:color w:val="auto"/>
          <w:sz w:val="32"/>
          <w:szCs w:val="32"/>
          <w:lang w:eastAsia="zh-CN"/>
        </w:rPr>
        <w:t>三是</w:t>
      </w:r>
      <w:r>
        <w:rPr>
          <w:rFonts w:hint="eastAsia" w:ascii="仿宋_GB2312" w:hAnsi="仿宋_GB2312" w:eastAsia="仿宋_GB2312" w:cs="仿宋_GB2312"/>
          <w:color w:val="auto"/>
          <w:sz w:val="32"/>
          <w:szCs w:val="32"/>
          <w:lang w:eastAsia="zh-CN"/>
        </w:rPr>
        <w:t>积极争取省、市对我区粮食产业的政策扶持，全年共争取上级资金209万元，其中2019年第一批粮食千亿产业专项资金（奖励落实粮食安全省长责任制工作成效明显区）200万元，市级应急网点服务专项补助9万元；2019年全行业完成粮食产业化建设固定资产投资535万元，圆满完成了年初既定目标。</w:t>
      </w:r>
      <w:r>
        <w:rPr>
          <w:rFonts w:hint="eastAsia" w:ascii="仿宋_GB2312" w:hAnsi="仿宋_GB2312" w:eastAsia="仿宋_GB2312" w:cs="仿宋_GB2312"/>
          <w:b/>
          <w:bCs/>
          <w:sz w:val="32"/>
          <w:szCs w:val="32"/>
          <w:lang w:eastAsia="zh-CN"/>
        </w:rPr>
        <w:t>四是</w:t>
      </w:r>
      <w:r>
        <w:rPr>
          <w:rFonts w:hint="eastAsia" w:ascii="仿宋_GB2312" w:hAnsi="仿宋_GB2312" w:eastAsia="仿宋_GB2312" w:cs="仿宋_GB2312"/>
          <w:sz w:val="32"/>
          <w:szCs w:val="32"/>
          <w:lang w:eastAsia="zh-CN"/>
        </w:rPr>
        <w:t>严格执行国家粮食政策，顺应收储制度改革，鼓励、扶持、引导亲丰农业等多元粮食收购主体入市收购，做到应收尽收，区域内未发生农民卖粮难事件。</w:t>
      </w:r>
    </w:p>
    <w:p>
      <w:pPr>
        <w:keepNext w:val="0"/>
        <w:keepLines w:val="0"/>
        <w:pageBreakBefore w:val="0"/>
        <w:kinsoku/>
        <w:wordWrap/>
        <w:overflowPunct/>
        <w:topLinePunct w:val="0"/>
        <w:autoSpaceDE/>
        <w:autoSpaceDN/>
        <w:bidi w:val="0"/>
        <w:spacing w:beforeAutospacing="0" w:line="600" w:lineRule="exact"/>
        <w:ind w:firstLine="643" w:firstLineChars="200"/>
        <w:jc w:val="both"/>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lang w:val="en-US" w:eastAsia="zh-CN"/>
        </w:rPr>
        <w:t>三</w:t>
      </w:r>
      <w:r>
        <w:rPr>
          <w:rFonts w:hint="eastAsia" w:ascii="仿宋_GB2312" w:hAnsi="仿宋_GB2312" w:eastAsia="仿宋_GB2312" w:cs="仿宋_GB2312"/>
          <w:b/>
          <w:bCs/>
          <w:sz w:val="32"/>
          <w:szCs w:val="32"/>
          <w:lang w:eastAsia="zh-CN"/>
        </w:rPr>
        <w:t>）强化监管服务，全面促进依法管粮</w:t>
      </w:r>
    </w:p>
    <w:p>
      <w:pPr>
        <w:keepNext w:val="0"/>
        <w:keepLines w:val="0"/>
        <w:pageBreakBefore w:val="0"/>
        <w:widowControl w:val="0"/>
        <w:kinsoku/>
        <w:wordWrap/>
        <w:overflowPunct/>
        <w:topLinePunct w:val="0"/>
        <w:autoSpaceDE/>
        <w:autoSpaceDN/>
        <w:bidi w:val="0"/>
        <w:adjustRightInd/>
        <w:snapToGrid/>
        <w:spacing w:beforeAutospacing="0" w:line="600" w:lineRule="exact"/>
        <w:ind w:firstLine="643" w:firstLineChars="20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b/>
          <w:sz w:val="32"/>
          <w:szCs w:val="32"/>
        </w:rPr>
        <w:t>一是</w:t>
      </w:r>
      <w:r>
        <w:rPr>
          <w:rFonts w:hint="eastAsia" w:ascii="仿宋_GB2312" w:hAnsi="仿宋_GB2312" w:eastAsia="仿宋_GB2312" w:cs="仿宋_GB2312"/>
          <w:bCs/>
          <w:sz w:val="32"/>
          <w:szCs w:val="32"/>
        </w:rPr>
        <w:t>加强社会粮食监管，履行粮食行政管理职能，全面推进依法管粮，对1</w:t>
      </w:r>
      <w:r>
        <w:rPr>
          <w:rFonts w:hint="eastAsia" w:ascii="仿宋_GB2312" w:hAnsi="仿宋_GB2312" w:eastAsia="仿宋_GB2312" w:cs="仿宋_GB2312"/>
          <w:bCs/>
          <w:sz w:val="32"/>
          <w:szCs w:val="32"/>
          <w:lang w:val="en-US" w:eastAsia="zh-CN"/>
        </w:rPr>
        <w:t>1</w:t>
      </w:r>
      <w:r>
        <w:rPr>
          <w:rFonts w:hint="eastAsia" w:ascii="仿宋_GB2312" w:hAnsi="仿宋_GB2312" w:eastAsia="仿宋_GB2312" w:cs="仿宋_GB2312"/>
          <w:bCs/>
          <w:sz w:val="32"/>
          <w:szCs w:val="32"/>
        </w:rPr>
        <w:t>家“放心粮油示范企业”开展粮食质量安全检查，抽取大米、食用油样品12个，检测合格。对汉泉贸易、亲丰农业</w:t>
      </w:r>
      <w:r>
        <w:rPr>
          <w:rFonts w:hint="eastAsia" w:ascii="仿宋_GB2312" w:hAnsi="仿宋_GB2312" w:eastAsia="仿宋_GB2312" w:cs="仿宋_GB2312"/>
          <w:bCs/>
          <w:sz w:val="32"/>
          <w:szCs w:val="32"/>
          <w:lang w:val="en-US" w:eastAsia="zh-CN"/>
        </w:rPr>
        <w:t>2家企业</w:t>
      </w:r>
      <w:r>
        <w:rPr>
          <w:rFonts w:hint="eastAsia" w:ascii="仿宋_GB2312" w:hAnsi="仿宋_GB2312" w:eastAsia="仿宋_GB2312" w:cs="仿宋_GB2312"/>
          <w:bCs/>
          <w:sz w:val="32"/>
          <w:szCs w:val="32"/>
        </w:rPr>
        <w:t>的粮食收购、销售进行日常监管。辖区内未发生任何涉及粮食流通购销环节的涉粮案件。</w:t>
      </w:r>
      <w:r>
        <w:rPr>
          <w:rFonts w:hint="eastAsia" w:ascii="仿宋_GB2312" w:hAnsi="仿宋_GB2312" w:eastAsia="仿宋_GB2312" w:cs="仿宋_GB2312"/>
          <w:b/>
          <w:sz w:val="32"/>
          <w:szCs w:val="32"/>
        </w:rPr>
        <w:t>二是</w:t>
      </w:r>
      <w:r>
        <w:rPr>
          <w:rFonts w:hint="eastAsia" w:ascii="仿宋_GB2312" w:hAnsi="仿宋_GB2312" w:eastAsia="仿宋_GB2312" w:cs="仿宋_GB2312"/>
          <w:sz w:val="32"/>
          <w:szCs w:val="32"/>
        </w:rPr>
        <w:t>做好辖区内政策性粮食出库、消化的监管工作</w:t>
      </w:r>
      <w:r>
        <w:rPr>
          <w:rFonts w:hint="eastAsia" w:ascii="仿宋_GB2312" w:hAnsi="仿宋_GB2312" w:eastAsia="仿宋_GB2312" w:cs="仿宋_GB2312"/>
          <w:sz w:val="32"/>
          <w:szCs w:val="32"/>
          <w:lang w:val="en-US" w:eastAsia="zh-CN"/>
        </w:rPr>
        <w:t>,督促长沙直属库茶亭库、靖港库履行出库义务，协调处理出库纠纷。对唐人神湘大骆驼饲料有限公司政策性粮食消化环节进行监管。辖区内未发生任何涉及粮食流通购销环节的舆情事件。</w:t>
      </w:r>
      <w:r>
        <w:rPr>
          <w:rFonts w:hint="eastAsia" w:ascii="仿宋_GB2312" w:hAnsi="仿宋_GB2312" w:eastAsia="仿宋_GB2312" w:cs="仿宋_GB2312"/>
          <w:b/>
          <w:sz w:val="32"/>
          <w:szCs w:val="32"/>
        </w:rPr>
        <w:t>三是</w:t>
      </w:r>
      <w:r>
        <w:rPr>
          <w:rFonts w:hint="eastAsia" w:ascii="仿宋_GB2312" w:hAnsi="仿宋_GB2312" w:eastAsia="仿宋_GB2312" w:cs="仿宋_GB2312"/>
          <w:bCs/>
          <w:sz w:val="32"/>
          <w:szCs w:val="32"/>
        </w:rPr>
        <w:t>对26家企业进行了诚信评价体系更新。与原宁乡县粮食局</w:t>
      </w:r>
      <w:r>
        <w:rPr>
          <w:rFonts w:hint="eastAsia" w:ascii="仿宋_GB2312" w:hAnsi="仿宋_GB2312" w:eastAsia="仿宋_GB2312" w:cs="仿宋_GB2312"/>
          <w:bCs/>
          <w:sz w:val="32"/>
          <w:szCs w:val="32"/>
          <w:lang w:eastAsia="zh-CN"/>
        </w:rPr>
        <w:t>和</w:t>
      </w:r>
      <w:r>
        <w:rPr>
          <w:rFonts w:hint="eastAsia" w:ascii="仿宋_GB2312" w:hAnsi="仿宋_GB2312" w:eastAsia="仿宋_GB2312" w:cs="仿宋_GB2312"/>
          <w:bCs/>
          <w:sz w:val="32"/>
          <w:szCs w:val="32"/>
        </w:rPr>
        <w:t>长沙县粮食</w:t>
      </w:r>
      <w:r>
        <w:rPr>
          <w:rFonts w:hint="eastAsia" w:ascii="仿宋_GB2312" w:hAnsi="仿宋_GB2312" w:eastAsia="仿宋_GB2312" w:cs="仿宋_GB2312"/>
          <w:bCs/>
          <w:sz w:val="32"/>
          <w:szCs w:val="32"/>
          <w:lang w:eastAsia="zh-CN"/>
        </w:rPr>
        <w:t>与</w:t>
      </w:r>
      <w:r>
        <w:rPr>
          <w:rFonts w:hint="eastAsia" w:ascii="仿宋_GB2312" w:hAnsi="仿宋_GB2312" w:eastAsia="仿宋_GB2312" w:cs="仿宋_GB2312"/>
          <w:bCs/>
          <w:sz w:val="32"/>
          <w:szCs w:val="32"/>
        </w:rPr>
        <w:t>物资储备事务中心签订</w:t>
      </w:r>
      <w:r>
        <w:rPr>
          <w:rFonts w:hint="eastAsia" w:ascii="仿宋_GB2312" w:hAnsi="仿宋_GB2312" w:eastAsia="仿宋_GB2312" w:cs="仿宋_GB2312"/>
          <w:bCs/>
          <w:sz w:val="32"/>
          <w:szCs w:val="32"/>
          <w:lang w:eastAsia="zh-CN"/>
        </w:rPr>
        <w:t>了</w:t>
      </w:r>
      <w:r>
        <w:rPr>
          <w:rFonts w:hint="eastAsia" w:ascii="仿宋_GB2312" w:hAnsi="仿宋_GB2312" w:eastAsia="仿宋_GB2312" w:cs="仿宋_GB2312"/>
          <w:bCs/>
          <w:sz w:val="32"/>
          <w:szCs w:val="32"/>
        </w:rPr>
        <w:t>粮食行政执法联动协议。</w:t>
      </w:r>
      <w:r>
        <w:rPr>
          <w:rFonts w:hint="eastAsia" w:ascii="仿宋_GB2312" w:hAnsi="仿宋_GB2312" w:eastAsia="仿宋_GB2312" w:cs="仿宋_GB2312"/>
          <w:b/>
          <w:sz w:val="32"/>
          <w:szCs w:val="32"/>
          <w:lang w:eastAsia="zh-CN"/>
        </w:rPr>
        <w:t>四是</w:t>
      </w:r>
      <w:r>
        <w:rPr>
          <w:rFonts w:hint="eastAsia" w:ascii="仿宋_GB2312" w:hAnsi="仿宋_GB2312" w:eastAsia="仿宋_GB2312" w:cs="仿宋_GB2312"/>
          <w:bCs/>
          <w:sz w:val="32"/>
          <w:szCs w:val="32"/>
          <w:lang w:eastAsia="zh-CN"/>
        </w:rPr>
        <w:t>对区域</w:t>
      </w:r>
      <w:r>
        <w:rPr>
          <w:rFonts w:hint="eastAsia" w:ascii="仿宋_GB2312" w:hAnsi="仿宋_GB2312" w:eastAsia="仿宋_GB2312" w:cs="仿宋_GB2312"/>
          <w:bCs/>
          <w:sz w:val="32"/>
          <w:szCs w:val="32"/>
        </w:rPr>
        <w:t>内15家涉粮企业的最低最高库存量进行了核查</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及时公布粮食价格信息，严格落实国家粮食质价政策。</w:t>
      </w:r>
      <w:r>
        <w:rPr>
          <w:rFonts w:hint="eastAsia" w:ascii="仿宋_GB2312" w:hAnsi="仿宋_GB2312" w:eastAsia="仿宋_GB2312" w:cs="仿宋_GB2312"/>
          <w:b/>
          <w:sz w:val="32"/>
          <w:szCs w:val="32"/>
          <w:lang w:eastAsia="zh-CN"/>
        </w:rPr>
        <w:t>五是</w:t>
      </w:r>
      <w:r>
        <w:rPr>
          <w:rFonts w:hint="eastAsia" w:ascii="仿宋_GB2312" w:hAnsi="仿宋_GB2312" w:eastAsia="仿宋_GB2312" w:cs="仿宋_GB2312"/>
          <w:b w:val="0"/>
          <w:bCs/>
          <w:sz w:val="32"/>
          <w:szCs w:val="32"/>
          <w:lang w:eastAsia="zh-CN"/>
        </w:rPr>
        <w:t>认真</w:t>
      </w:r>
      <w:r>
        <w:rPr>
          <w:rFonts w:hint="eastAsia" w:ascii="仿宋_GB2312" w:hAnsi="仿宋_GB2312" w:eastAsia="仿宋_GB2312" w:cs="仿宋_GB2312"/>
          <w:bCs/>
          <w:sz w:val="32"/>
          <w:szCs w:val="32"/>
        </w:rPr>
        <w:t>开展全国政策性粮食库存数量和质量大清查</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sz w:val="32"/>
          <w:szCs w:val="32"/>
          <w:lang w:val="en-US" w:eastAsia="zh-CN"/>
        </w:rPr>
        <w:t>按要求完成预分解登统、分解登统、上报资料等工作。</w:t>
      </w:r>
      <w:r>
        <w:rPr>
          <w:rFonts w:hint="eastAsia" w:ascii="仿宋_GB2312" w:hAnsi="仿宋_GB2312" w:eastAsia="仿宋_GB2312" w:cs="仿宋_GB2312"/>
          <w:b/>
          <w:sz w:val="32"/>
          <w:szCs w:val="32"/>
          <w:lang w:eastAsia="zh-CN"/>
        </w:rPr>
        <w:t>六是</w:t>
      </w:r>
      <w:r>
        <w:rPr>
          <w:rFonts w:hint="eastAsia" w:ascii="仿宋_GB2312" w:hAnsi="仿宋_GB2312" w:eastAsia="仿宋_GB2312" w:cs="仿宋_GB2312"/>
          <w:bCs/>
          <w:sz w:val="32"/>
          <w:szCs w:val="32"/>
          <w:lang w:eastAsia="zh-CN"/>
        </w:rPr>
        <w:t>制定了检验检测工作实施方案，早稻抽样检测58批次，晚稻以及油样97批次，对辖区内6家榨油坊进行抽样检测。全年无食品安全责任事故。</w:t>
      </w:r>
      <w:r>
        <w:rPr>
          <w:rFonts w:hint="eastAsia" w:ascii="仿宋_GB2312" w:hAnsi="仿宋_GB2312" w:eastAsia="仿宋_GB2312" w:cs="仿宋_GB2312"/>
          <w:b/>
          <w:sz w:val="32"/>
          <w:szCs w:val="32"/>
          <w:lang w:eastAsia="zh-CN"/>
        </w:rPr>
        <w:t>七是</w:t>
      </w:r>
      <w:r>
        <w:rPr>
          <w:rFonts w:hint="eastAsia" w:ascii="仿宋_GB2312" w:hAnsi="仿宋_GB2312" w:eastAsia="仿宋_GB2312" w:cs="仿宋_GB2312"/>
          <w:b w:val="0"/>
          <w:bCs/>
          <w:sz w:val="32"/>
          <w:szCs w:val="32"/>
          <w:lang w:eastAsia="zh-CN"/>
        </w:rPr>
        <w:t>做</w:t>
      </w:r>
      <w:r>
        <w:rPr>
          <w:rFonts w:hint="eastAsia" w:ascii="仿宋_GB2312" w:hAnsi="仿宋_GB2312" w:eastAsia="仿宋_GB2312" w:cs="仿宋_GB2312"/>
          <w:bCs/>
          <w:sz w:val="32"/>
          <w:szCs w:val="32"/>
          <w:lang w:eastAsia="zh-CN"/>
        </w:rPr>
        <w:t>好</w:t>
      </w:r>
      <w:r>
        <w:rPr>
          <w:rFonts w:hint="eastAsia" w:ascii="仿宋_GB2312" w:hAnsi="仿宋_GB2312" w:eastAsia="仿宋_GB2312" w:cs="仿宋_GB2312"/>
          <w:bCs/>
          <w:sz w:val="32"/>
          <w:szCs w:val="32"/>
        </w:rPr>
        <w:t>全区社会粮食统计工作，认真完成社会粮食供需平衡调查工作</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做到应统尽统。</w:t>
      </w:r>
    </w:p>
    <w:p>
      <w:pPr>
        <w:keepNext w:val="0"/>
        <w:keepLines w:val="0"/>
        <w:pageBreakBefore w:val="0"/>
        <w:kinsoku/>
        <w:wordWrap/>
        <w:overflowPunct/>
        <w:topLinePunct w:val="0"/>
        <w:autoSpaceDE/>
        <w:autoSpaceDN/>
        <w:bidi w:val="0"/>
        <w:spacing w:beforeAutospacing="0" w:line="600" w:lineRule="exact"/>
        <w:ind w:firstLine="643" w:firstLineChars="200"/>
        <w:jc w:val="both"/>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lang w:val="en-US" w:eastAsia="zh-CN"/>
        </w:rPr>
        <w:t>四</w:t>
      </w:r>
      <w:r>
        <w:rPr>
          <w:rFonts w:hint="eastAsia" w:ascii="仿宋_GB2312" w:hAnsi="仿宋_GB2312" w:eastAsia="仿宋_GB2312" w:cs="仿宋_GB2312"/>
          <w:b/>
          <w:bCs/>
          <w:sz w:val="32"/>
          <w:szCs w:val="32"/>
          <w:lang w:eastAsia="zh-CN"/>
        </w:rPr>
        <w:t>）抓好党建和安全维稳工作</w:t>
      </w:r>
      <w:r>
        <w:rPr>
          <w:rFonts w:hint="eastAsia" w:ascii="仿宋_GB2312" w:hAnsi="仿宋_GB2312" w:eastAsia="仿宋_GB2312" w:cs="仿宋_GB2312"/>
          <w:b/>
          <w:bCs/>
          <w:sz w:val="32"/>
          <w:szCs w:val="32"/>
        </w:rPr>
        <w:t>，确保系统大局稳定</w:t>
      </w:r>
    </w:p>
    <w:p>
      <w:pPr>
        <w:keepNext w:val="0"/>
        <w:keepLines w:val="0"/>
        <w:pageBreakBefore w:val="0"/>
        <w:widowControl w:val="0"/>
        <w:kinsoku/>
        <w:wordWrap/>
        <w:overflowPunct/>
        <w:topLinePunct w:val="0"/>
        <w:autoSpaceDE/>
        <w:autoSpaceDN/>
        <w:bidi w:val="0"/>
        <w:adjustRightInd/>
        <w:snapToGrid/>
        <w:spacing w:beforeAutospacing="0" w:line="600" w:lineRule="exact"/>
        <w:ind w:firstLine="643" w:firstLineChars="20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b/>
          <w:sz w:val="32"/>
          <w:szCs w:val="32"/>
        </w:rPr>
        <w:t>一是</w:t>
      </w:r>
      <w:r>
        <w:rPr>
          <w:rFonts w:hint="eastAsia" w:ascii="仿宋_GB2312" w:hAnsi="仿宋_GB2312" w:eastAsia="仿宋_GB2312" w:cs="仿宋_GB2312"/>
          <w:sz w:val="32"/>
          <w:szCs w:val="32"/>
          <w:lang w:eastAsia="zh-CN"/>
        </w:rPr>
        <w:t>认真开展“不忘初心、牢记使命”主题教育</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sz w:val="32"/>
          <w:szCs w:val="32"/>
          <w:lang w:eastAsia="zh-CN"/>
        </w:rPr>
        <w:t>做好党建、党风廉政建设、党管意识形态等工作</w:t>
      </w:r>
      <w:r>
        <w:rPr>
          <w:rFonts w:hint="eastAsia" w:ascii="仿宋_GB2312" w:hAnsi="仿宋_GB2312" w:eastAsia="仿宋_GB2312" w:cs="仿宋_GB2312"/>
          <w:sz w:val="32"/>
          <w:szCs w:val="32"/>
        </w:rPr>
        <w:t>。</w:t>
      </w:r>
      <w:r>
        <w:rPr>
          <w:rFonts w:hint="eastAsia" w:ascii="仿宋_GB2312" w:hAnsi="仿宋_GB2312" w:eastAsia="仿宋_GB2312" w:cs="仿宋_GB2312"/>
          <w:b/>
          <w:bCs/>
          <w:sz w:val="32"/>
          <w:szCs w:val="32"/>
          <w:lang w:eastAsia="zh-CN"/>
        </w:rPr>
        <w:t>二</w:t>
      </w:r>
      <w:r>
        <w:rPr>
          <w:rFonts w:hint="eastAsia" w:ascii="仿宋_GB2312" w:hAnsi="仿宋_GB2312" w:eastAsia="仿宋_GB2312" w:cs="仿宋_GB2312"/>
          <w:b/>
          <w:sz w:val="32"/>
          <w:szCs w:val="32"/>
        </w:rPr>
        <w:t>是</w:t>
      </w:r>
      <w:r>
        <w:rPr>
          <w:rFonts w:hint="eastAsia" w:ascii="仿宋_GB2312" w:hAnsi="仿宋_GB2312" w:eastAsia="仿宋_GB2312" w:cs="仿宋_GB2312"/>
          <w:sz w:val="32"/>
          <w:szCs w:val="32"/>
          <w:lang w:eastAsia="zh-CN"/>
        </w:rPr>
        <w:t>抓好文明创建、脱贫攻坚</w:t>
      </w:r>
      <w:r>
        <w:rPr>
          <w:rFonts w:hint="eastAsia" w:ascii="仿宋_GB2312" w:hAnsi="仿宋_GB2312" w:eastAsia="仿宋_GB2312" w:cs="仿宋_GB2312"/>
          <w:sz w:val="32"/>
          <w:szCs w:val="32"/>
        </w:rPr>
        <w:t>和</w:t>
      </w:r>
      <w:r>
        <w:rPr>
          <w:rFonts w:hint="eastAsia" w:ascii="仿宋_GB2312" w:hAnsi="仿宋_GB2312" w:eastAsia="仿宋_GB2312" w:cs="仿宋_GB2312"/>
          <w:sz w:val="32"/>
          <w:szCs w:val="32"/>
          <w:lang w:eastAsia="zh-CN"/>
        </w:rPr>
        <w:t>城市管理等</w:t>
      </w:r>
      <w:r>
        <w:rPr>
          <w:rFonts w:hint="eastAsia" w:ascii="仿宋_GB2312" w:hAnsi="仿宋_GB2312" w:eastAsia="仿宋_GB2312" w:cs="仿宋_GB2312"/>
          <w:sz w:val="32"/>
          <w:szCs w:val="32"/>
        </w:rPr>
        <w:t>工作。</w:t>
      </w:r>
      <w:r>
        <w:rPr>
          <w:rFonts w:hint="eastAsia" w:ascii="仿宋_GB2312" w:hAnsi="仿宋_GB2312" w:eastAsia="仿宋_GB2312" w:cs="仿宋_GB2312"/>
          <w:b/>
          <w:bCs/>
          <w:sz w:val="32"/>
          <w:szCs w:val="32"/>
          <w:lang w:eastAsia="zh-CN"/>
        </w:rPr>
        <w:t>三</w:t>
      </w:r>
      <w:r>
        <w:rPr>
          <w:rFonts w:hint="eastAsia" w:ascii="仿宋_GB2312" w:hAnsi="仿宋_GB2312" w:eastAsia="仿宋_GB2312" w:cs="仿宋_GB2312"/>
          <w:b/>
          <w:sz w:val="32"/>
          <w:szCs w:val="32"/>
        </w:rPr>
        <w:t>是</w:t>
      </w:r>
      <w:r>
        <w:rPr>
          <w:rFonts w:hint="eastAsia" w:ascii="仿宋_GB2312" w:hAnsi="仿宋_GB2312" w:eastAsia="仿宋_GB2312" w:cs="仿宋_GB2312"/>
          <w:sz w:val="32"/>
          <w:szCs w:val="32"/>
        </w:rPr>
        <w:t>做好企业改革改制后续工作</w:t>
      </w:r>
      <w:r>
        <w:rPr>
          <w:rFonts w:hint="eastAsia" w:ascii="仿宋_GB2312" w:hAnsi="仿宋_GB2312" w:eastAsia="仿宋_GB2312" w:cs="仿宋_GB2312"/>
          <w:sz w:val="32"/>
          <w:szCs w:val="32"/>
          <w:lang w:eastAsia="zh-CN"/>
        </w:rPr>
        <w:t>，抓好信访维稳、安全生产、综治维稳、应急管理等工作，完成区委、区政府交给的其他工作。</w:t>
      </w:r>
    </w:p>
    <w:p>
      <w:pPr>
        <w:keepNext w:val="0"/>
        <w:keepLines w:val="0"/>
        <w:pageBreakBefore w:val="0"/>
        <w:numPr>
          <w:ilvl w:val="0"/>
          <w:numId w:val="0"/>
        </w:numPr>
        <w:kinsoku/>
        <w:wordWrap/>
        <w:overflowPunct/>
        <w:topLinePunct w:val="0"/>
        <w:autoSpaceDE/>
        <w:autoSpaceDN/>
        <w:bidi w:val="0"/>
        <w:spacing w:beforeAutospacing="0" w:line="600" w:lineRule="exact"/>
        <w:ind w:firstLine="640" w:firstLineChars="200"/>
        <w:jc w:val="both"/>
        <w:rPr>
          <w:rFonts w:hint="eastAsia" w:ascii="黑体" w:hAnsi="黑体" w:eastAsia="黑体" w:cs="黑体"/>
          <w:sz w:val="32"/>
          <w:szCs w:val="32"/>
        </w:rPr>
      </w:pPr>
      <w:r>
        <w:rPr>
          <w:rFonts w:hint="eastAsia" w:ascii="黑体" w:hAnsi="黑体" w:eastAsia="黑体" w:cs="黑体"/>
          <w:sz w:val="32"/>
          <w:szCs w:val="32"/>
          <w:lang w:eastAsia="zh-CN"/>
        </w:rPr>
        <w:t>六</w:t>
      </w:r>
      <w:r>
        <w:rPr>
          <w:rFonts w:hint="eastAsia" w:ascii="黑体" w:hAnsi="黑体" w:eastAsia="黑体" w:cs="黑体"/>
          <w:sz w:val="32"/>
          <w:szCs w:val="32"/>
        </w:rPr>
        <w:t>、部门（单位）整体支出绩效中存在问题及改进措施</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Autospacing="0" w:after="0" w:afterAutospacing="0" w:line="600" w:lineRule="exact"/>
        <w:ind w:left="0" w:right="0" w:firstLine="640" w:firstLineChars="200"/>
        <w:jc w:val="both"/>
        <w:outlineLvl w:val="9"/>
        <w:rPr>
          <w:rFonts w:hint="eastAsia" w:ascii="仿宋_GB2312" w:hAnsi="仿宋_GB2312" w:eastAsia="仿宋_GB2312" w:cs="仿宋_GB2312"/>
          <w:color w:val="auto"/>
          <w:kern w:val="0"/>
          <w:sz w:val="32"/>
          <w:szCs w:val="32"/>
          <w:shd w:val="clear" w:color="auto" w:fill="FFFFFF"/>
          <w:lang w:val="en-US" w:eastAsia="zh-CN" w:bidi="ar"/>
        </w:rPr>
      </w:pPr>
      <w:r>
        <w:rPr>
          <w:rFonts w:hint="eastAsia" w:ascii="仿宋_GB2312" w:hAnsi="仿宋_GB2312" w:eastAsia="仿宋_GB2312" w:cs="仿宋_GB2312"/>
          <w:color w:val="auto"/>
          <w:kern w:val="0"/>
          <w:sz w:val="32"/>
          <w:szCs w:val="32"/>
          <w:shd w:val="clear" w:color="auto" w:fill="FFFFFF"/>
          <w:lang w:val="en-US" w:eastAsia="zh-CN" w:bidi="ar"/>
        </w:rPr>
        <w:t>绩效目标的设置内容细化不够，项目资金未设专项明细账，尚未针对绩效运行中可能出现的偏差制订预防措施或者制度，根据相关的项目管理制度、实施方案等进行日常监管。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Autospacing="0" w:after="0" w:afterAutospacing="0" w:line="600" w:lineRule="exact"/>
        <w:ind w:left="0" w:right="0" w:firstLine="640" w:firstLineChars="200"/>
        <w:jc w:val="both"/>
        <w:outlineLvl w:val="9"/>
        <w:rPr>
          <w:rFonts w:hint="eastAsia" w:ascii="仿宋_GB2312" w:hAnsi="仿宋_GB2312" w:eastAsia="仿宋_GB2312" w:cs="仿宋_GB2312"/>
          <w:color w:val="auto"/>
          <w:kern w:val="0"/>
          <w:sz w:val="32"/>
          <w:szCs w:val="32"/>
          <w:shd w:val="clear" w:color="auto" w:fill="FFFFFF"/>
          <w:lang w:val="en-US" w:eastAsia="zh-CN" w:bidi="ar"/>
        </w:rPr>
      </w:pPr>
      <w:r>
        <w:rPr>
          <w:rFonts w:hint="eastAsia" w:ascii="仿宋_GB2312" w:hAnsi="仿宋_GB2312" w:eastAsia="仿宋_GB2312" w:cs="仿宋_GB2312"/>
          <w:color w:val="auto"/>
          <w:kern w:val="0"/>
          <w:sz w:val="32"/>
          <w:szCs w:val="32"/>
          <w:shd w:val="clear" w:color="auto" w:fill="FFFFFF"/>
          <w:lang w:val="en-US" w:eastAsia="zh-CN" w:bidi="ar"/>
        </w:rPr>
        <w:t>2020年将在绩效目标设置中细化绩效目标内容，执行专项核算，保证转款专用；加强预算绩效管理学习，在项目管理中建立绩效导向意识，制定目标偏差预防措施。</w:t>
      </w:r>
    </w:p>
    <w:p>
      <w:pPr>
        <w:keepNext w:val="0"/>
        <w:keepLines w:val="0"/>
        <w:pageBreakBefore w:val="0"/>
        <w:numPr>
          <w:ilvl w:val="0"/>
          <w:numId w:val="0"/>
        </w:numPr>
        <w:kinsoku/>
        <w:wordWrap/>
        <w:overflowPunct/>
        <w:topLinePunct w:val="0"/>
        <w:autoSpaceDE/>
        <w:autoSpaceDN/>
        <w:bidi w:val="0"/>
        <w:spacing w:beforeAutospacing="0" w:line="600" w:lineRule="exact"/>
        <w:ind w:firstLine="640" w:firstLineChars="200"/>
        <w:jc w:val="both"/>
        <w:rPr>
          <w:rFonts w:hint="eastAsia" w:ascii="黑体" w:hAnsi="黑体" w:eastAsia="黑体" w:cs="黑体"/>
          <w:sz w:val="32"/>
          <w:szCs w:val="32"/>
        </w:rPr>
      </w:pPr>
      <w:r>
        <w:rPr>
          <w:rFonts w:hint="eastAsia" w:ascii="黑体" w:hAnsi="黑体" w:eastAsia="黑体" w:cs="黑体"/>
          <w:sz w:val="32"/>
          <w:szCs w:val="32"/>
        </w:rPr>
        <w:t>七、其它需要说明的情况</w:t>
      </w:r>
    </w:p>
    <w:p>
      <w:pPr>
        <w:pStyle w:val="2"/>
        <w:keepNext w:val="0"/>
        <w:keepLines w:val="0"/>
        <w:pageBreakBefore w:val="0"/>
        <w:kinsoku/>
        <w:wordWrap/>
        <w:overflowPunct/>
        <w:topLinePunct w:val="0"/>
        <w:autoSpaceDE/>
        <w:autoSpaceDN/>
        <w:bidi w:val="0"/>
        <w:spacing w:before="0" w:beforeAutospacing="0" w:line="600" w:lineRule="exact"/>
        <w:ind w:left="0" w:leftChars="0"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无。</w:t>
      </w:r>
    </w:p>
    <w:p>
      <w:pPr>
        <w:rPr>
          <w:rFonts w:hint="eastAsia"/>
          <w:lang w:val="en-US" w:eastAsia="zh-CN"/>
        </w:rPr>
      </w:pPr>
      <w:r>
        <w:rPr>
          <w:rFonts w:hint="eastAsia"/>
          <w:lang w:val="en-US" w:eastAsia="zh-CN"/>
        </w:rPr>
        <w:br w:type="page"/>
      </w:r>
    </w:p>
    <w:p>
      <w:pPr>
        <w:spacing w:line="560" w:lineRule="exact"/>
        <w:jc w:val="center"/>
        <w:rPr>
          <w:rFonts w:hint="eastAsia" w:eastAsia="方正小标宋简体"/>
          <w:kern w:val="0"/>
          <w:sz w:val="40"/>
          <w:szCs w:val="40"/>
          <w:lang w:eastAsia="zh-CN"/>
        </w:rPr>
      </w:pPr>
      <w:r>
        <w:rPr>
          <w:rFonts w:hint="eastAsia" w:ascii="仿宋" w:hAnsi="仿宋" w:eastAsia="仿宋" w:cs="仿宋"/>
          <w:kern w:val="0"/>
          <w:sz w:val="40"/>
          <w:szCs w:val="40"/>
          <w:lang w:val="en-US" w:eastAsia="zh-CN"/>
        </w:rPr>
        <w:t>2019</w:t>
      </w:r>
      <w:r>
        <w:rPr>
          <w:rFonts w:hint="eastAsia" w:eastAsia="方正小标宋简体"/>
          <w:kern w:val="0"/>
          <w:sz w:val="40"/>
          <w:szCs w:val="40"/>
          <w:lang w:val="en-US" w:eastAsia="zh-CN"/>
        </w:rPr>
        <w:t>年度</w:t>
      </w:r>
      <w:r>
        <w:rPr>
          <w:rFonts w:eastAsia="方正小标宋简体"/>
          <w:kern w:val="0"/>
          <w:sz w:val="40"/>
          <w:szCs w:val="40"/>
        </w:rPr>
        <w:t>部门整体支出绩效</w:t>
      </w:r>
      <w:r>
        <w:rPr>
          <w:rFonts w:hint="eastAsia" w:eastAsia="方正小标宋简体"/>
          <w:kern w:val="0"/>
          <w:sz w:val="40"/>
          <w:szCs w:val="40"/>
          <w:lang w:eastAsia="zh-CN"/>
        </w:rPr>
        <w:t>自</w:t>
      </w:r>
      <w:r>
        <w:rPr>
          <w:rFonts w:eastAsia="方正小标宋简体"/>
          <w:kern w:val="0"/>
          <w:sz w:val="40"/>
          <w:szCs w:val="40"/>
        </w:rPr>
        <w:t>评表</w:t>
      </w:r>
    </w:p>
    <w:tbl>
      <w:tblPr>
        <w:tblStyle w:val="7"/>
        <w:tblW w:w="9063"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
      <w:tblGrid>
        <w:gridCol w:w="503"/>
        <w:gridCol w:w="503"/>
        <w:gridCol w:w="91"/>
        <w:gridCol w:w="412"/>
        <w:gridCol w:w="180"/>
        <w:gridCol w:w="323"/>
        <w:gridCol w:w="156"/>
        <w:gridCol w:w="627"/>
        <w:gridCol w:w="517"/>
        <w:gridCol w:w="537"/>
        <w:gridCol w:w="1231"/>
        <w:gridCol w:w="569"/>
        <w:gridCol w:w="346"/>
        <w:gridCol w:w="315"/>
        <w:gridCol w:w="1441"/>
        <w:gridCol w:w="404"/>
        <w:gridCol w:w="908"/>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部门名称</w:t>
            </w:r>
          </w:p>
        </w:tc>
        <w:tc>
          <w:tcPr>
            <w:tcW w:w="3960" w:type="dxa"/>
            <w:gridSpan w:val="7"/>
            <w:tcBorders>
              <w:tl2br w:val="nil"/>
              <w:tr2bl w:val="nil"/>
            </w:tcBorders>
            <w:tcMar>
              <w:top w:w="15" w:type="dxa"/>
              <w:left w:w="15" w:type="dxa"/>
              <w:bottom w:w="0" w:type="dxa"/>
              <w:right w:w="15" w:type="dxa"/>
            </w:tcMar>
            <w:vAlign w:val="center"/>
          </w:tcPr>
          <w:p>
            <w:pPr>
              <w:spacing w:line="250" w:lineRule="exact"/>
              <w:jc w:val="center"/>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rPr>
              <w:t>　</w:t>
            </w:r>
            <w:r>
              <w:rPr>
                <w:rFonts w:hint="eastAsia" w:asciiTheme="minorEastAsia" w:hAnsiTheme="minorEastAsia" w:eastAsiaTheme="minorEastAsia" w:cstheme="minorEastAsia"/>
                <w:color w:val="000000"/>
                <w:sz w:val="21"/>
                <w:szCs w:val="21"/>
                <w:lang w:val="en-US" w:eastAsia="zh-CN"/>
              </w:rPr>
              <w:t>长沙市望城区粮食和物资储备事务中心</w:t>
            </w:r>
          </w:p>
        </w:tc>
        <w:tc>
          <w:tcPr>
            <w:tcW w:w="2102" w:type="dxa"/>
            <w:gridSpan w:val="3"/>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下属单位个数</w:t>
            </w:r>
          </w:p>
        </w:tc>
        <w:tc>
          <w:tcPr>
            <w:tcW w:w="1312" w:type="dxa"/>
            <w:gridSpan w:val="2"/>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restart"/>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整体支出规模</w:t>
            </w:r>
          </w:p>
          <w:p>
            <w:pPr>
              <w:spacing w:line="250" w:lineRule="exact"/>
              <w:jc w:val="center"/>
              <w:rPr>
                <w:rFonts w:hint="eastAsia" w:eastAsia="仿宋_GB2312"/>
                <w:lang w:eastAsia="zh-CN"/>
              </w:rPr>
            </w:pPr>
            <w:r>
              <w:rPr>
                <w:rFonts w:hint="eastAsia"/>
                <w:sz w:val="22"/>
                <w:szCs w:val="22"/>
                <w:lang w:eastAsia="zh-CN"/>
              </w:rPr>
              <w:t>（</w:t>
            </w:r>
            <w:r>
              <w:rPr>
                <w:rFonts w:hint="eastAsia"/>
                <w:sz w:val="22"/>
                <w:szCs w:val="22"/>
                <w:lang w:val="en-US" w:eastAsia="zh-CN"/>
              </w:rPr>
              <w:t>万元</w:t>
            </w:r>
            <w:r>
              <w:rPr>
                <w:rFonts w:hint="eastAsia"/>
                <w:sz w:val="22"/>
                <w:szCs w:val="22"/>
                <w:lang w:eastAsia="zh-CN"/>
              </w:rPr>
              <w:t>）</w:t>
            </w:r>
          </w:p>
        </w:tc>
        <w:tc>
          <w:tcPr>
            <w:tcW w:w="2160" w:type="dxa"/>
            <w:gridSpan w:val="5"/>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rPr>
              <w:t>　</w:t>
            </w:r>
            <w:r>
              <w:rPr>
                <w:rFonts w:hint="eastAsia" w:asciiTheme="minorEastAsia" w:hAnsiTheme="minorEastAsia" w:eastAsiaTheme="minorEastAsia" w:cstheme="minorEastAsia"/>
                <w:color w:val="000000"/>
                <w:sz w:val="21"/>
                <w:szCs w:val="21"/>
                <w:lang w:eastAsia="zh-CN"/>
              </w:rPr>
              <w:t>项</w:t>
            </w:r>
            <w:r>
              <w:rPr>
                <w:rFonts w:hint="eastAsia" w:asciiTheme="minorEastAsia" w:hAnsiTheme="minorEastAsia" w:eastAsiaTheme="minorEastAsia" w:cstheme="minorEastAsia"/>
                <w:color w:val="000000"/>
                <w:sz w:val="21"/>
                <w:szCs w:val="21"/>
                <w:lang w:val="en-US" w:eastAsia="zh-CN"/>
              </w:rPr>
              <w:t xml:space="preserve">   </w:t>
            </w:r>
            <w:r>
              <w:rPr>
                <w:rFonts w:hint="eastAsia" w:asciiTheme="minorEastAsia" w:hAnsiTheme="minorEastAsia" w:eastAsiaTheme="minorEastAsia" w:cstheme="minorEastAsia"/>
                <w:color w:val="000000"/>
                <w:sz w:val="21"/>
                <w:szCs w:val="21"/>
                <w:lang w:eastAsia="zh-CN"/>
              </w:rPr>
              <w:t>目</w:t>
            </w:r>
          </w:p>
        </w:tc>
        <w:tc>
          <w:tcPr>
            <w:tcW w:w="2146" w:type="dxa"/>
            <w:gridSpan w:val="3"/>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全年预算数</w:t>
            </w:r>
          </w:p>
        </w:tc>
        <w:tc>
          <w:tcPr>
            <w:tcW w:w="2160" w:type="dxa"/>
            <w:gridSpan w:val="3"/>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全年执行数</w:t>
            </w:r>
          </w:p>
        </w:tc>
        <w:tc>
          <w:tcPr>
            <w:tcW w:w="908" w:type="dxa"/>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执行率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hint="eastAsia" w:asciiTheme="minorEastAsia" w:hAnsiTheme="minorEastAsia" w:eastAsiaTheme="minorEastAsia" w:cstheme="minorEastAsia"/>
                <w:color w:val="000000"/>
                <w:sz w:val="21"/>
                <w:szCs w:val="21"/>
              </w:rPr>
            </w:pPr>
          </w:p>
        </w:tc>
        <w:tc>
          <w:tcPr>
            <w:tcW w:w="479" w:type="dxa"/>
            <w:gridSpan w:val="2"/>
            <w:vMerge w:val="restart"/>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资</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金</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来</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源</w:t>
            </w:r>
          </w:p>
          <w:p>
            <w:pPr>
              <w:spacing w:line="250" w:lineRule="exact"/>
              <w:jc w:val="center"/>
              <w:rPr>
                <w:rFonts w:hint="eastAsia"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lang w:eastAsia="zh-CN"/>
              </w:rPr>
              <w:t>合计</w:t>
            </w:r>
          </w:p>
        </w:tc>
        <w:tc>
          <w:tcPr>
            <w:tcW w:w="2146" w:type="dxa"/>
            <w:gridSpan w:val="3"/>
            <w:tcBorders>
              <w:tl2br w:val="nil"/>
              <w:tr2bl w:val="nil"/>
            </w:tcBorders>
            <w:tcMar>
              <w:top w:w="15" w:type="dxa"/>
              <w:left w:w="15" w:type="dxa"/>
              <w:bottom w:w="0" w:type="dxa"/>
              <w:right w:w="15" w:type="dxa"/>
            </w:tcMar>
            <w:vAlign w:val="center"/>
          </w:tcPr>
          <w:p>
            <w:pPr>
              <w:spacing w:line="250" w:lineRule="exact"/>
              <w:jc w:val="center"/>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1443.9</w:t>
            </w:r>
          </w:p>
        </w:tc>
        <w:tc>
          <w:tcPr>
            <w:tcW w:w="2160" w:type="dxa"/>
            <w:gridSpan w:val="3"/>
            <w:tcBorders>
              <w:tl2br w:val="nil"/>
              <w:tr2bl w:val="nil"/>
            </w:tcBorders>
            <w:tcMar>
              <w:top w:w="15" w:type="dxa"/>
              <w:left w:w="15" w:type="dxa"/>
              <w:bottom w:w="0" w:type="dxa"/>
              <w:right w:w="15" w:type="dxa"/>
            </w:tcMar>
            <w:vAlign w:val="center"/>
          </w:tcPr>
          <w:p>
            <w:pPr>
              <w:spacing w:line="250" w:lineRule="exact"/>
              <w:jc w:val="center"/>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1441</w:t>
            </w:r>
          </w:p>
        </w:tc>
        <w:tc>
          <w:tcPr>
            <w:tcW w:w="908" w:type="dxa"/>
            <w:tcBorders>
              <w:tl2br w:val="nil"/>
              <w:tr2bl w:val="nil"/>
            </w:tcBorders>
            <w:tcMar>
              <w:top w:w="15" w:type="dxa"/>
              <w:left w:w="15" w:type="dxa"/>
              <w:bottom w:w="0" w:type="dxa"/>
              <w:right w:w="15" w:type="dxa"/>
            </w:tcMar>
            <w:vAlign w:val="center"/>
          </w:tcPr>
          <w:p>
            <w:pPr>
              <w:spacing w:line="250" w:lineRule="exact"/>
              <w:jc w:val="center"/>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99.8%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hint="eastAsia"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rPr>
              <w:t>（1）财政拨</w:t>
            </w:r>
            <w:r>
              <w:rPr>
                <w:rFonts w:hint="eastAsia" w:asciiTheme="minorEastAsia" w:hAnsiTheme="minorEastAsia" w:eastAsiaTheme="minorEastAsia" w:cstheme="minorEastAsia"/>
                <w:color w:val="000000"/>
                <w:sz w:val="21"/>
                <w:szCs w:val="21"/>
                <w:lang w:eastAsia="zh-CN"/>
              </w:rPr>
              <w:t>款</w:t>
            </w:r>
          </w:p>
        </w:tc>
        <w:tc>
          <w:tcPr>
            <w:tcW w:w="2146" w:type="dxa"/>
            <w:gridSpan w:val="3"/>
            <w:tcBorders>
              <w:tl2br w:val="nil"/>
              <w:tr2bl w:val="nil"/>
            </w:tcBorders>
            <w:tcMar>
              <w:top w:w="15" w:type="dxa"/>
              <w:left w:w="15" w:type="dxa"/>
              <w:bottom w:w="0" w:type="dxa"/>
              <w:right w:w="15" w:type="dxa"/>
            </w:tcMar>
            <w:vAlign w:val="center"/>
          </w:tcPr>
          <w:p>
            <w:pPr>
              <w:spacing w:line="250" w:lineRule="exact"/>
              <w:jc w:val="center"/>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1437.3</w:t>
            </w:r>
          </w:p>
        </w:tc>
        <w:tc>
          <w:tcPr>
            <w:tcW w:w="2160" w:type="dxa"/>
            <w:gridSpan w:val="3"/>
            <w:tcBorders>
              <w:tl2br w:val="nil"/>
              <w:tr2bl w:val="nil"/>
            </w:tcBorders>
            <w:tcMar>
              <w:top w:w="15" w:type="dxa"/>
              <w:left w:w="15" w:type="dxa"/>
              <w:bottom w:w="0" w:type="dxa"/>
              <w:right w:w="15" w:type="dxa"/>
            </w:tcMar>
            <w:vAlign w:val="center"/>
          </w:tcPr>
          <w:p>
            <w:pPr>
              <w:spacing w:line="250" w:lineRule="exact"/>
              <w:jc w:val="center"/>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1437.3</w:t>
            </w:r>
          </w:p>
        </w:tc>
        <w:tc>
          <w:tcPr>
            <w:tcW w:w="908" w:type="dxa"/>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hint="eastAsia"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（2）其他资金</w:t>
            </w:r>
          </w:p>
        </w:tc>
        <w:tc>
          <w:tcPr>
            <w:tcW w:w="2146" w:type="dxa"/>
            <w:gridSpan w:val="3"/>
            <w:tcBorders>
              <w:tl2br w:val="nil"/>
              <w:tr2bl w:val="nil"/>
            </w:tcBorders>
            <w:tcMar>
              <w:top w:w="15" w:type="dxa"/>
              <w:left w:w="15" w:type="dxa"/>
              <w:bottom w:w="0" w:type="dxa"/>
              <w:right w:w="15" w:type="dxa"/>
            </w:tcMar>
            <w:vAlign w:val="center"/>
          </w:tcPr>
          <w:p>
            <w:pPr>
              <w:spacing w:line="250" w:lineRule="exact"/>
              <w:jc w:val="center"/>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6.6</w:t>
            </w:r>
          </w:p>
        </w:tc>
        <w:tc>
          <w:tcPr>
            <w:tcW w:w="2160" w:type="dxa"/>
            <w:gridSpan w:val="3"/>
            <w:tcBorders>
              <w:tl2br w:val="nil"/>
              <w:tr2bl w:val="nil"/>
            </w:tcBorders>
            <w:tcMar>
              <w:top w:w="15" w:type="dxa"/>
              <w:left w:w="15" w:type="dxa"/>
              <w:bottom w:w="0" w:type="dxa"/>
              <w:right w:w="15" w:type="dxa"/>
            </w:tcMar>
            <w:vAlign w:val="center"/>
          </w:tcPr>
          <w:p>
            <w:pPr>
              <w:spacing w:line="250" w:lineRule="exact"/>
              <w:jc w:val="center"/>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3.7</w:t>
            </w:r>
          </w:p>
        </w:tc>
        <w:tc>
          <w:tcPr>
            <w:tcW w:w="908" w:type="dxa"/>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56%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hint="eastAsia" w:asciiTheme="minorEastAsia" w:hAnsiTheme="minorEastAsia" w:eastAsiaTheme="minorEastAsia" w:cstheme="minorEastAsia"/>
                <w:color w:val="000000"/>
                <w:sz w:val="21"/>
                <w:szCs w:val="21"/>
              </w:rPr>
            </w:pPr>
          </w:p>
        </w:tc>
        <w:tc>
          <w:tcPr>
            <w:tcW w:w="479" w:type="dxa"/>
            <w:gridSpan w:val="2"/>
            <w:vMerge w:val="restart"/>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资</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金</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结</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构</w:t>
            </w:r>
          </w:p>
          <w:p>
            <w:pPr>
              <w:spacing w:line="250" w:lineRule="exact"/>
              <w:jc w:val="center"/>
              <w:rPr>
                <w:rFonts w:hint="eastAsia"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lang w:eastAsia="zh-CN"/>
              </w:rPr>
              <w:t>合计</w:t>
            </w:r>
          </w:p>
        </w:tc>
        <w:tc>
          <w:tcPr>
            <w:tcW w:w="2146" w:type="dxa"/>
            <w:gridSpan w:val="3"/>
            <w:tcBorders>
              <w:tl2br w:val="nil"/>
              <w:tr2bl w:val="nil"/>
            </w:tcBorders>
            <w:tcMar>
              <w:top w:w="15" w:type="dxa"/>
              <w:left w:w="15" w:type="dxa"/>
              <w:bottom w:w="0" w:type="dxa"/>
              <w:right w:w="15" w:type="dxa"/>
            </w:tcMar>
            <w:vAlign w:val="center"/>
          </w:tcPr>
          <w:p>
            <w:pPr>
              <w:spacing w:line="250" w:lineRule="exact"/>
              <w:jc w:val="center"/>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1443.9</w:t>
            </w:r>
          </w:p>
        </w:tc>
        <w:tc>
          <w:tcPr>
            <w:tcW w:w="2160" w:type="dxa"/>
            <w:gridSpan w:val="3"/>
            <w:tcBorders>
              <w:tl2br w:val="nil"/>
              <w:tr2bl w:val="nil"/>
            </w:tcBorders>
            <w:tcMar>
              <w:top w:w="15" w:type="dxa"/>
              <w:left w:w="15" w:type="dxa"/>
              <w:bottom w:w="0" w:type="dxa"/>
              <w:right w:w="15" w:type="dxa"/>
            </w:tcMar>
            <w:vAlign w:val="center"/>
          </w:tcPr>
          <w:p>
            <w:pPr>
              <w:spacing w:line="250" w:lineRule="exact"/>
              <w:jc w:val="center"/>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1441</w:t>
            </w:r>
          </w:p>
        </w:tc>
        <w:tc>
          <w:tcPr>
            <w:tcW w:w="908" w:type="dxa"/>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99.8%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hint="eastAsia"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right"/>
              <w:rPr>
                <w:rFonts w:hint="eastAsia"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rPr>
              <w:t>（1）基本支</w:t>
            </w:r>
            <w:r>
              <w:rPr>
                <w:rFonts w:hint="eastAsia" w:asciiTheme="minorEastAsia" w:hAnsiTheme="minorEastAsia" w:eastAsiaTheme="minorEastAsia" w:cstheme="minorEastAsia"/>
                <w:color w:val="000000"/>
                <w:sz w:val="21"/>
                <w:szCs w:val="21"/>
                <w:lang w:eastAsia="zh-CN"/>
              </w:rPr>
              <w:t>出</w:t>
            </w:r>
          </w:p>
        </w:tc>
        <w:tc>
          <w:tcPr>
            <w:tcW w:w="2146" w:type="dxa"/>
            <w:gridSpan w:val="3"/>
            <w:tcBorders>
              <w:tl2br w:val="nil"/>
              <w:tr2bl w:val="nil"/>
            </w:tcBorders>
            <w:tcMar>
              <w:top w:w="15" w:type="dxa"/>
              <w:left w:w="15" w:type="dxa"/>
              <w:bottom w:w="0" w:type="dxa"/>
              <w:right w:w="15" w:type="dxa"/>
            </w:tcMar>
            <w:vAlign w:val="center"/>
          </w:tcPr>
          <w:p>
            <w:pPr>
              <w:spacing w:line="250" w:lineRule="exact"/>
              <w:jc w:val="center"/>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580</w:t>
            </w:r>
          </w:p>
        </w:tc>
        <w:tc>
          <w:tcPr>
            <w:tcW w:w="2160" w:type="dxa"/>
            <w:gridSpan w:val="3"/>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580</w:t>
            </w:r>
          </w:p>
        </w:tc>
        <w:tc>
          <w:tcPr>
            <w:tcW w:w="908" w:type="dxa"/>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hint="eastAsia"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right"/>
              <w:rPr>
                <w:rFonts w:hint="eastAsia"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tabs>
                <w:tab w:val="left" w:pos="567"/>
              </w:tabs>
              <w:spacing w:line="250" w:lineRule="exact"/>
              <w:jc w:val="center"/>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rPr>
              <w:t>（2）项目支</w:t>
            </w:r>
            <w:r>
              <w:rPr>
                <w:rFonts w:hint="eastAsia" w:asciiTheme="minorEastAsia" w:hAnsiTheme="minorEastAsia" w:eastAsiaTheme="minorEastAsia" w:cstheme="minorEastAsia"/>
                <w:color w:val="000000"/>
                <w:sz w:val="21"/>
                <w:szCs w:val="21"/>
                <w:lang w:eastAsia="zh-CN"/>
              </w:rPr>
              <w:t>出</w:t>
            </w:r>
          </w:p>
        </w:tc>
        <w:tc>
          <w:tcPr>
            <w:tcW w:w="2146" w:type="dxa"/>
            <w:gridSpan w:val="3"/>
            <w:tcBorders>
              <w:tl2br w:val="nil"/>
              <w:tr2bl w:val="nil"/>
            </w:tcBorders>
            <w:tcMar>
              <w:top w:w="15" w:type="dxa"/>
              <w:left w:w="15" w:type="dxa"/>
              <w:bottom w:w="0" w:type="dxa"/>
              <w:right w:w="15" w:type="dxa"/>
            </w:tcMar>
            <w:vAlign w:val="center"/>
          </w:tcPr>
          <w:p>
            <w:pPr>
              <w:spacing w:line="250" w:lineRule="exact"/>
              <w:jc w:val="center"/>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863.9</w:t>
            </w:r>
          </w:p>
        </w:tc>
        <w:tc>
          <w:tcPr>
            <w:tcW w:w="2160" w:type="dxa"/>
            <w:gridSpan w:val="3"/>
            <w:tcBorders>
              <w:tl2br w:val="nil"/>
              <w:tr2bl w:val="nil"/>
            </w:tcBorders>
            <w:tcMar>
              <w:top w:w="15" w:type="dxa"/>
              <w:left w:w="15" w:type="dxa"/>
              <w:bottom w:w="0" w:type="dxa"/>
              <w:right w:w="15" w:type="dxa"/>
            </w:tcMar>
            <w:vAlign w:val="center"/>
          </w:tcPr>
          <w:p>
            <w:pPr>
              <w:spacing w:line="250" w:lineRule="exact"/>
              <w:jc w:val="center"/>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861</w:t>
            </w:r>
          </w:p>
        </w:tc>
        <w:tc>
          <w:tcPr>
            <w:tcW w:w="908" w:type="dxa"/>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99.7%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628" w:hRule="atLeast"/>
          <w:jc w:val="center"/>
        </w:trPr>
        <w:tc>
          <w:tcPr>
            <w:tcW w:w="1097" w:type="dxa"/>
            <w:gridSpan w:val="3"/>
            <w:vMerge w:val="restart"/>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年度总</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体目标</w:t>
            </w:r>
          </w:p>
        </w:tc>
        <w:tc>
          <w:tcPr>
            <w:tcW w:w="3983" w:type="dxa"/>
            <w:gridSpan w:val="8"/>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年初设定目标</w:t>
            </w:r>
          </w:p>
        </w:tc>
        <w:tc>
          <w:tcPr>
            <w:tcW w:w="3983" w:type="dxa"/>
            <w:gridSpan w:val="6"/>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全年完成情况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350" w:hRule="atLeast"/>
          <w:jc w:val="center"/>
        </w:trPr>
        <w:tc>
          <w:tcPr>
            <w:tcW w:w="1097" w:type="dxa"/>
            <w:gridSpan w:val="3"/>
            <w:vMerge w:val="continue"/>
            <w:tcBorders>
              <w:tl2br w:val="nil"/>
              <w:tr2bl w:val="nil"/>
            </w:tcBorders>
            <w:vAlign w:val="center"/>
          </w:tcPr>
          <w:p>
            <w:pPr>
              <w:spacing w:line="250" w:lineRule="exact"/>
              <w:rPr>
                <w:rFonts w:hint="eastAsia" w:asciiTheme="minorEastAsia" w:hAnsiTheme="minorEastAsia" w:eastAsiaTheme="minorEastAsia" w:cstheme="minorEastAsia"/>
                <w:color w:val="000000"/>
                <w:sz w:val="18"/>
                <w:szCs w:val="18"/>
              </w:rPr>
            </w:pPr>
          </w:p>
        </w:tc>
        <w:tc>
          <w:tcPr>
            <w:tcW w:w="3983" w:type="dxa"/>
            <w:gridSpan w:val="8"/>
            <w:tcBorders>
              <w:tl2br w:val="nil"/>
              <w:tr2bl w:val="nil"/>
            </w:tcBorders>
            <w:tcMar>
              <w:top w:w="15" w:type="dxa"/>
              <w:left w:w="15" w:type="dxa"/>
              <w:bottom w:w="0" w:type="dxa"/>
              <w:right w:w="15" w:type="dxa"/>
            </w:tcMar>
            <w:vAlign w:val="center"/>
          </w:tcPr>
          <w:p>
            <w:pPr>
              <w:spacing w:line="250" w:lineRule="exact"/>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指导和监督全县粮食经营者依法从事收购、储存、运输活动和政策性用粮的购销活动，以及执行国家粮食流通统计制度的情况；做好全县社会粮食流通统计和信息工作；管理系统内国有资产的安全和处置；热情接待各级来访领导和群众，做好国有粮食企业改革改制的后续工作。全年完成省市粮食局和区市场</w:t>
            </w:r>
            <w:r>
              <w:rPr>
                <w:rFonts w:hint="eastAsia" w:asciiTheme="minorEastAsia" w:hAnsiTheme="minorEastAsia" w:eastAsiaTheme="minorEastAsia" w:cstheme="minorEastAsia"/>
                <w:color w:val="000000"/>
                <w:sz w:val="18"/>
                <w:szCs w:val="18"/>
                <w:lang w:eastAsia="zh-CN"/>
              </w:rPr>
              <w:t>监督</w:t>
            </w:r>
            <w:r>
              <w:rPr>
                <w:rFonts w:hint="eastAsia" w:asciiTheme="minorEastAsia" w:hAnsiTheme="minorEastAsia" w:eastAsiaTheme="minorEastAsia" w:cstheme="minorEastAsia"/>
                <w:color w:val="000000"/>
                <w:sz w:val="18"/>
                <w:szCs w:val="18"/>
              </w:rPr>
              <w:t>管理局下达的粮油检验检测批次，区域内粮食企业实现粮食收购 3万吨以上，销售3万吨以上，粮食行业固定资产投资达</w:t>
            </w:r>
            <w:r>
              <w:rPr>
                <w:rFonts w:hint="eastAsia" w:asciiTheme="minorEastAsia" w:hAnsiTheme="minorEastAsia" w:eastAsiaTheme="minorEastAsia" w:cstheme="minorEastAsia"/>
                <w:color w:val="000000"/>
                <w:sz w:val="18"/>
                <w:szCs w:val="18"/>
                <w:lang w:val="en-US" w:eastAsia="zh-CN"/>
              </w:rPr>
              <w:t>5</w:t>
            </w:r>
            <w:r>
              <w:rPr>
                <w:rFonts w:hint="eastAsia" w:asciiTheme="minorEastAsia" w:hAnsiTheme="minorEastAsia" w:eastAsiaTheme="minorEastAsia" w:cstheme="minorEastAsia"/>
                <w:color w:val="000000"/>
                <w:sz w:val="18"/>
                <w:szCs w:val="18"/>
              </w:rPr>
              <w:t>00万元以上，区内应急粮油供应网点达15个，实现区域内所有乡镇全覆盖，扶持12家粮食产业化龙头企业，仓储设施和物流体系建设不断加强，慰问改制企业退休人员及困难职工等600多人，确保全系统安全稳定，定期开展国有资产安全生产检查和安全储粮检查，确保各级储备粮数量真实，质量良好，全年无任何安全事故，促进区域内粮食经济健康、协调、可持续发展。　</w:t>
            </w:r>
          </w:p>
        </w:tc>
        <w:tc>
          <w:tcPr>
            <w:tcW w:w="3983" w:type="dxa"/>
            <w:gridSpan w:val="6"/>
            <w:tcBorders>
              <w:tl2br w:val="nil"/>
              <w:tr2bl w:val="nil"/>
            </w:tcBorders>
            <w:tcMar>
              <w:top w:w="15" w:type="dxa"/>
              <w:left w:w="15" w:type="dxa"/>
              <w:bottom w:w="0" w:type="dxa"/>
              <w:right w:w="15" w:type="dxa"/>
            </w:tcMar>
            <w:vAlign w:val="center"/>
          </w:tcPr>
          <w:p>
            <w:pPr>
              <w:spacing w:line="250" w:lineRule="exact"/>
              <w:jc w:val="both"/>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一、认真落实粮食安全省长责任制</w:t>
            </w:r>
            <w:r>
              <w:rPr>
                <w:rFonts w:hint="eastAsia" w:asciiTheme="minorEastAsia" w:hAnsiTheme="minorEastAsia" w:eastAsiaTheme="minorEastAsia" w:cstheme="minorEastAsia"/>
                <w:color w:val="000000"/>
                <w:sz w:val="18"/>
                <w:szCs w:val="18"/>
                <w:lang w:eastAsia="zh-CN"/>
              </w:rPr>
              <w:t>，</w:t>
            </w:r>
            <w:r>
              <w:rPr>
                <w:rFonts w:hint="eastAsia" w:asciiTheme="minorEastAsia" w:hAnsiTheme="minorEastAsia" w:eastAsiaTheme="minorEastAsia" w:cstheme="minorEastAsia"/>
                <w:color w:val="000000"/>
                <w:sz w:val="18"/>
                <w:szCs w:val="18"/>
              </w:rPr>
              <w:t>圆满完成2019年度工作任务。</w:t>
            </w:r>
          </w:p>
          <w:p>
            <w:pPr>
              <w:spacing w:line="250" w:lineRule="exact"/>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二、加强行业管理，切实保障粮食安全</w:t>
            </w:r>
          </w:p>
          <w:p>
            <w:pPr>
              <w:spacing w:line="250" w:lineRule="exact"/>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一是</w:t>
            </w:r>
            <w:r>
              <w:rPr>
                <w:rFonts w:hint="eastAsia" w:asciiTheme="minorEastAsia" w:hAnsiTheme="minorEastAsia" w:eastAsiaTheme="minorEastAsia" w:cstheme="minorEastAsia"/>
                <w:color w:val="000000"/>
                <w:sz w:val="18"/>
                <w:szCs w:val="18"/>
                <w:lang w:val="en-US" w:eastAsia="zh-CN"/>
              </w:rPr>
              <w:t>加强粮食储存管理，</w:t>
            </w:r>
            <w:r>
              <w:rPr>
                <w:rFonts w:hint="eastAsia" w:asciiTheme="minorEastAsia" w:hAnsiTheme="minorEastAsia" w:eastAsiaTheme="minorEastAsia" w:cstheme="minorEastAsia"/>
                <w:color w:val="000000"/>
                <w:sz w:val="18"/>
                <w:szCs w:val="18"/>
              </w:rPr>
              <w:t>全年开展春夏和秋冬季2次库存粮食安全大检查工作，库存粮食粮情稳定，无安全储粮事故。二是全年完成3家粮食应急保障网点建设工作，粮食应急指挥平台和视频会议室建设已通过验收并投入使用；5家粮食产后服务中心如期完成预计的项目建设并通过验收；发挥粮油协会平台作用，扶持本地粮油品牌，推进“湘米出湘”，“虎仔”牌大米成功进入广州市场。三是积极争取省、市对我区粮食产业的政策扶持，全年共争取上级资金209万元，其中2019年第一批粮食千亿产业专项资金（奖励落实粮食安全省长责任制工作成效明显区）200万元，市级应急网点服务专项补助9万元；2019年全行业完成粮食产业化建设固定资产投资535万元，圆满完成了年初既定目标。四是严格执行国家粮食政策，顺应收储制度改革，鼓励、扶持、引导亲丰农业等多元粮食收购主体入市收购，做到应收尽收</w:t>
            </w:r>
            <w:r>
              <w:rPr>
                <w:rFonts w:hint="eastAsia" w:asciiTheme="minorEastAsia" w:hAnsiTheme="minorEastAsia" w:eastAsiaTheme="minorEastAsia" w:cstheme="minorEastAsia"/>
                <w:color w:val="000000"/>
                <w:sz w:val="18"/>
                <w:szCs w:val="18"/>
                <w:lang w:eastAsia="zh-CN"/>
              </w:rPr>
              <w:t>，</w:t>
            </w:r>
            <w:r>
              <w:rPr>
                <w:rFonts w:hint="eastAsia" w:asciiTheme="minorEastAsia" w:hAnsiTheme="minorEastAsia" w:eastAsiaTheme="minorEastAsia" w:cstheme="minorEastAsia"/>
                <w:color w:val="000000"/>
                <w:sz w:val="18"/>
                <w:szCs w:val="18"/>
              </w:rPr>
              <w:t>区域内未发生农民卖粮难事件。</w:t>
            </w:r>
          </w:p>
          <w:p>
            <w:pPr>
              <w:spacing w:line="250" w:lineRule="exact"/>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三、强化监管服务，全面促进依法管粮</w:t>
            </w:r>
          </w:p>
          <w:p>
            <w:pPr>
              <w:spacing w:line="250" w:lineRule="exact"/>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一是加强社会粮食监管，履行粮食行政管理职能，全面推进依法管粮，对11家“放心粮油示范企业”开展粮食质量安全检查，抽取大米、食用油样品12个，检测合格。对汉泉贸易、亲丰农业2家企业的粮食收购、销售进行日常监管。辖区内未发生任何涉及粮食流通购销环节的涉粮案件。二是做好辖区内政策性粮食出库、消化的监管工作,督促长沙直属库茶亭库、靖港库履行出库义务，协调处理出库纠纷。对唐人神湘大骆驼饲料有限公司政策性粮食消化环节进行监管。辖区内未发生任何涉及粮食流通购销环节的舆情事件。三是对26家企业进行了诚信评价体系更新。与原宁乡县粮食局和长沙县粮食与物资储备事务中心签订了粮食行政执法联动协议。四是对区域内15家涉粮企业的最低最高库存量进行了核查，及时公布粮食价格信息，严格落实国家粮食质价政策。五是认真开展全国政策性粮食库存数量和质量大清查，按要求完成预分解登统、分解登统、上报资料等工作。六是制定了检验检测工作实施方案，早稻抽样检测58批次，晚稻以及油样97批次，对辖区内6家榨油坊进行抽样检测。全年无食品安全责任事故。七是做好全区社会粮食统计工作，认真完成社会粮食供需平衡调查工作，做到应统尽统。</w:t>
            </w:r>
          </w:p>
          <w:p>
            <w:pPr>
              <w:spacing w:line="250" w:lineRule="exact"/>
              <w:jc w:val="left"/>
              <w:rPr>
                <w:rFonts w:hint="eastAsia" w:asciiTheme="minorEastAsia" w:hAnsiTheme="minorEastAsia" w:eastAsiaTheme="minorEastAsia" w:cstheme="minorEastAsia"/>
                <w:color w:val="000000"/>
                <w:sz w:val="18"/>
                <w:szCs w:val="18"/>
                <w:lang w:eastAsia="zh-CN"/>
              </w:rPr>
            </w:pPr>
            <w:r>
              <w:rPr>
                <w:rFonts w:hint="eastAsia" w:asciiTheme="minorEastAsia" w:hAnsiTheme="minorEastAsia" w:eastAsiaTheme="minorEastAsia" w:cstheme="minorEastAsia"/>
                <w:color w:val="000000"/>
                <w:sz w:val="18"/>
                <w:szCs w:val="18"/>
              </w:rPr>
              <w:t>四、做好企业改革改制后续工作，抓好信访维稳、安全生产、综治维稳、应急管理等工作</w:t>
            </w:r>
            <w:r>
              <w:rPr>
                <w:rFonts w:hint="eastAsia" w:asciiTheme="minorEastAsia" w:hAnsiTheme="minorEastAsia" w:eastAsiaTheme="minorEastAsia" w:cstheme="minorEastAsia"/>
                <w:color w:val="000000"/>
                <w:sz w:val="18"/>
                <w:szCs w:val="18"/>
                <w:lang w:eastAsia="zh-CN"/>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51" w:hRule="atLeast"/>
          <w:jc w:val="center"/>
        </w:trPr>
        <w:tc>
          <w:tcPr>
            <w:tcW w:w="9063" w:type="dxa"/>
            <w:gridSpan w:val="17"/>
            <w:tcBorders>
              <w:tl2br w:val="nil"/>
              <w:tr2bl w:val="nil"/>
            </w:tcBorders>
            <w:vAlign w:val="center"/>
          </w:tcPr>
          <w:p>
            <w:pPr>
              <w:spacing w:line="250" w:lineRule="exact"/>
              <w:jc w:val="center"/>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分解目标自评</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blHeader/>
          <w:jc w:val="center"/>
        </w:trPr>
        <w:tc>
          <w:tcPr>
            <w:tcW w:w="50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一级指标</w:t>
            </w:r>
          </w:p>
        </w:tc>
        <w:tc>
          <w:tcPr>
            <w:tcW w:w="50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分值</w:t>
            </w:r>
          </w:p>
        </w:tc>
        <w:tc>
          <w:tcPr>
            <w:tcW w:w="503"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二级</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指标</w:t>
            </w:r>
          </w:p>
        </w:tc>
        <w:tc>
          <w:tcPr>
            <w:tcW w:w="503"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分值</w:t>
            </w:r>
          </w:p>
        </w:tc>
        <w:tc>
          <w:tcPr>
            <w:tcW w:w="783"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三级</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指标</w:t>
            </w:r>
          </w:p>
        </w:tc>
        <w:tc>
          <w:tcPr>
            <w:tcW w:w="51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分值</w:t>
            </w:r>
          </w:p>
        </w:tc>
        <w:tc>
          <w:tcPr>
            <w:tcW w:w="2998" w:type="dxa"/>
            <w:gridSpan w:val="5"/>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评价标准</w:t>
            </w:r>
          </w:p>
        </w:tc>
        <w:tc>
          <w:tcPr>
            <w:tcW w:w="1845"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指标说明</w:t>
            </w:r>
          </w:p>
        </w:tc>
        <w:tc>
          <w:tcPr>
            <w:tcW w:w="90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得分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680" w:hRule="atLeast"/>
          <w:jc w:val="center"/>
        </w:trPr>
        <w:tc>
          <w:tcPr>
            <w:tcW w:w="503" w:type="dxa"/>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投入</w:t>
            </w:r>
          </w:p>
        </w:tc>
        <w:tc>
          <w:tcPr>
            <w:tcW w:w="503" w:type="dxa"/>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503" w:type="dxa"/>
            <w:gridSpan w:val="2"/>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预算配置</w:t>
            </w:r>
          </w:p>
        </w:tc>
        <w:tc>
          <w:tcPr>
            <w:tcW w:w="503" w:type="dxa"/>
            <w:gridSpan w:val="2"/>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在职人员控制率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998" w:type="dxa"/>
            <w:gridSpan w:val="5"/>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以100%为标准。在职人员控制率≦100%，计5分；每超过一个百分点扣0.5分，扣完为止。</w:t>
            </w:r>
          </w:p>
        </w:tc>
        <w:tc>
          <w:tcPr>
            <w:tcW w:w="1845" w:type="dxa"/>
            <w:gridSpan w:val="2"/>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在职人员控制率=（在职人员数/编制数）×100%，在职人员数：部门（单位）实际在职人数，以财政厅确定的部门决算编制口径为准。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编制数：机构编制部门核定批复的部门（单位）的人员编制数。</w:t>
            </w:r>
          </w:p>
        </w:tc>
        <w:tc>
          <w:tcPr>
            <w:tcW w:w="908" w:type="dxa"/>
            <w:tcBorders>
              <w:tl2br w:val="nil"/>
              <w:tr2bl w:val="nil"/>
            </w:tcBorders>
            <w:vAlign w:val="center"/>
          </w:tcPr>
          <w:p>
            <w:pPr>
              <w:spacing w:line="24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654"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“三公经费”变动率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998" w:type="dxa"/>
            <w:gridSpan w:val="5"/>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“三公经费”变动率≦0,计5分；“三公经费”＞0，每超过一个百分点扣0.8分，扣完为止。</w:t>
            </w:r>
          </w:p>
        </w:tc>
        <w:tc>
          <w:tcPr>
            <w:tcW w:w="1845" w:type="dxa"/>
            <w:gridSpan w:val="2"/>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“三公经费”变动率=[（本年度“三公经费”预算数-上年度“三公经费”预算数）/上年度“三公经费”预算数]×100%</w:t>
            </w:r>
          </w:p>
        </w:tc>
        <w:tc>
          <w:tcPr>
            <w:tcW w:w="908" w:type="dxa"/>
            <w:tcBorders>
              <w:tl2br w:val="nil"/>
              <w:tr2bl w:val="nil"/>
            </w:tcBorders>
            <w:vAlign w:val="center"/>
          </w:tcPr>
          <w:p>
            <w:pPr>
              <w:spacing w:line="24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过</w:t>
            </w:r>
          </w:p>
          <w:p>
            <w:pPr>
              <w:spacing w:line="240" w:lineRule="exact"/>
              <w:jc w:val="center"/>
              <w:rPr>
                <w:rFonts w:hint="eastAsia" w:asciiTheme="minorEastAsia" w:hAnsiTheme="minorEastAsia" w:eastAsiaTheme="minorEastAsia" w:cstheme="minorEastAsia"/>
                <w:kern w:val="0"/>
                <w:sz w:val="18"/>
                <w:szCs w:val="18"/>
              </w:rPr>
            </w:pPr>
          </w:p>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程</w:t>
            </w:r>
          </w:p>
        </w:tc>
        <w:tc>
          <w:tcPr>
            <w:tcW w:w="503" w:type="dxa"/>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60</w:t>
            </w:r>
          </w:p>
        </w:tc>
        <w:tc>
          <w:tcPr>
            <w:tcW w:w="503" w:type="dxa"/>
            <w:gridSpan w:val="2"/>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预算执行</w:t>
            </w:r>
          </w:p>
        </w:tc>
        <w:tc>
          <w:tcPr>
            <w:tcW w:w="503" w:type="dxa"/>
            <w:gridSpan w:val="2"/>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20</w:t>
            </w: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预算完成率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998" w:type="dxa"/>
            <w:gridSpan w:val="5"/>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100%计满分，每低于5%扣2分，扣完为止。</w:t>
            </w:r>
          </w:p>
        </w:tc>
        <w:tc>
          <w:tcPr>
            <w:tcW w:w="1845" w:type="dxa"/>
            <w:gridSpan w:val="2"/>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预算完成率=（上年结转+年初预算+本年追加预算-年末结余）/（上年结转+年初预算+本年追加预算）×100%。</w:t>
            </w:r>
          </w:p>
        </w:tc>
        <w:tc>
          <w:tcPr>
            <w:tcW w:w="908" w:type="dxa"/>
            <w:tcBorders>
              <w:tl2br w:val="nil"/>
              <w:tr2bl w:val="nil"/>
            </w:tcBorders>
            <w:vAlign w:val="center"/>
          </w:tcPr>
          <w:p>
            <w:pPr>
              <w:spacing w:line="24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080"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预算控制率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998" w:type="dxa"/>
            <w:gridSpan w:val="5"/>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预算控制率=0，计5分；0-10%（含），计4分；10-20%（含），计3分；20-30%（含），计2分；大于30%不得分。</w:t>
            </w:r>
          </w:p>
        </w:tc>
        <w:tc>
          <w:tcPr>
            <w:tcW w:w="1845" w:type="dxa"/>
            <w:gridSpan w:val="2"/>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预算控制率=（本年追加预算/年初预算）×100%。</w:t>
            </w:r>
          </w:p>
        </w:tc>
        <w:tc>
          <w:tcPr>
            <w:tcW w:w="908" w:type="dxa"/>
            <w:tcBorders>
              <w:tl2br w:val="nil"/>
              <w:tr2bl w:val="nil"/>
            </w:tcBorders>
            <w:vAlign w:val="center"/>
          </w:tcPr>
          <w:p>
            <w:pPr>
              <w:spacing w:line="24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新建楼堂馆所面积控制率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998" w:type="dxa"/>
            <w:gridSpan w:val="5"/>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100%以下（含）计满分，每超出5%扣2分，扣完为止。没有楼堂馆所项目的部门按满分计算。</w:t>
            </w:r>
          </w:p>
        </w:tc>
        <w:tc>
          <w:tcPr>
            <w:tcW w:w="1845" w:type="dxa"/>
            <w:gridSpan w:val="2"/>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楼堂馆所面积控制率=实际建设面积/批准建设面积×100% 。</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该指标以当年完工的新建楼堂馆所为评价内容。</w:t>
            </w:r>
          </w:p>
        </w:tc>
        <w:tc>
          <w:tcPr>
            <w:tcW w:w="908" w:type="dxa"/>
            <w:tcBorders>
              <w:tl2br w:val="nil"/>
              <w:tr2bl w:val="nil"/>
            </w:tcBorders>
            <w:vAlign w:val="center"/>
          </w:tcPr>
          <w:p>
            <w:pPr>
              <w:spacing w:line="24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新建楼堂馆所投资概算控制率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998" w:type="dxa"/>
            <w:gridSpan w:val="5"/>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100%以下（含）计满分，每超出5%扣2分，扣完为止。</w:t>
            </w:r>
          </w:p>
        </w:tc>
        <w:tc>
          <w:tcPr>
            <w:tcW w:w="1845" w:type="dxa"/>
            <w:gridSpan w:val="2"/>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楼堂馆所投资预算控制率=实际投资金额/批准投资金额×100% 。</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该指标以当年完工的新建楼堂馆所为评价内容。</w:t>
            </w:r>
          </w:p>
        </w:tc>
        <w:tc>
          <w:tcPr>
            <w:tcW w:w="908" w:type="dxa"/>
            <w:tcBorders>
              <w:tl2br w:val="nil"/>
              <w:tr2bl w:val="nil"/>
            </w:tcBorders>
            <w:vAlign w:val="center"/>
          </w:tcPr>
          <w:p>
            <w:pPr>
              <w:spacing w:line="24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预算管理</w:t>
            </w:r>
          </w:p>
        </w:tc>
        <w:tc>
          <w:tcPr>
            <w:tcW w:w="503" w:type="dxa"/>
            <w:gridSpan w:val="2"/>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40</w:t>
            </w: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公用经费控制率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2998" w:type="dxa"/>
            <w:gridSpan w:val="5"/>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100%以下（含）计满分，每超出1%扣1分，扣完为止。</w:t>
            </w:r>
          </w:p>
        </w:tc>
        <w:tc>
          <w:tcPr>
            <w:tcW w:w="1845" w:type="dxa"/>
            <w:gridSpan w:val="2"/>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公用经费控制率=（实际支出公用经费总额/预算安排公用经费总额）×100%。</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公用经费支出是指部门基本支出中的一般商品和服务支出。</w:t>
            </w:r>
          </w:p>
        </w:tc>
        <w:tc>
          <w:tcPr>
            <w:tcW w:w="908" w:type="dxa"/>
            <w:tcBorders>
              <w:tl2br w:val="nil"/>
              <w:tr2bl w:val="nil"/>
            </w:tcBorders>
            <w:vAlign w:val="center"/>
          </w:tcPr>
          <w:p>
            <w:pPr>
              <w:spacing w:line="24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095"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“三公经费”控制率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7</w:t>
            </w:r>
          </w:p>
        </w:tc>
        <w:tc>
          <w:tcPr>
            <w:tcW w:w="2998" w:type="dxa"/>
            <w:gridSpan w:val="5"/>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100%以下（含）计满分，每超出1%扣1分，扣完为止。</w:t>
            </w:r>
          </w:p>
        </w:tc>
        <w:tc>
          <w:tcPr>
            <w:tcW w:w="1845" w:type="dxa"/>
            <w:gridSpan w:val="2"/>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“三公经费”控制率=（“三公经费”实际支出数/“三公经费”预算安排数）×100%。</w:t>
            </w:r>
          </w:p>
        </w:tc>
        <w:tc>
          <w:tcPr>
            <w:tcW w:w="908" w:type="dxa"/>
            <w:tcBorders>
              <w:tl2br w:val="nil"/>
              <w:tr2bl w:val="nil"/>
            </w:tcBorders>
            <w:vAlign w:val="center"/>
          </w:tcPr>
          <w:p>
            <w:pPr>
              <w:spacing w:line="24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320"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政府采购执行率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998" w:type="dxa"/>
            <w:gridSpan w:val="5"/>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100%计满分，每超过（降低）5%扣2分。扣完为止。</w:t>
            </w:r>
          </w:p>
        </w:tc>
        <w:tc>
          <w:tcPr>
            <w:tcW w:w="1845" w:type="dxa"/>
            <w:gridSpan w:val="2"/>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政府采购执行率=（实际政府采购金额/政府采购预算数）×100%</w:t>
            </w:r>
          </w:p>
        </w:tc>
        <w:tc>
          <w:tcPr>
            <w:tcW w:w="908" w:type="dxa"/>
            <w:tcBorders>
              <w:tl2br w:val="nil"/>
              <w:tr2bl w:val="nil"/>
            </w:tcBorders>
            <w:vAlign w:val="center"/>
          </w:tcPr>
          <w:p>
            <w:pPr>
              <w:spacing w:line="240" w:lineRule="exact"/>
              <w:jc w:val="center"/>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kern w:val="0"/>
                <w:sz w:val="18"/>
                <w:szCs w:val="18"/>
                <w:shd w:val="clear" w:color="auto" w:fill="FFFFFF"/>
                <w:lang w:val="en-US" w:eastAsia="zh-CN"/>
              </w:rPr>
              <w:t>0</w:t>
            </w:r>
            <w:r>
              <w:rPr>
                <w:rFonts w:hint="eastAsia" w:asciiTheme="minorEastAsia" w:hAnsiTheme="minorEastAsia" w:eastAsiaTheme="minorEastAsia" w:cstheme="minorEastAsia"/>
                <w:kern w:val="0"/>
                <w:sz w:val="18"/>
                <w:szCs w:val="18"/>
                <w:shd w:val="clear" w:color="auto" w:fill="FFFFFF"/>
              </w:rPr>
              <w:fldChar w:fldCharType="begin">
                <w:fldData xml:space="preserve">QQAyADgAOAA0ADIANgBBAEUANwBDADYANABEADMARABCADQAQgA1ADEAQgAzAEIAQgBBAEIARAAy
ADcARQAzAA==
</w:fldData>
              </w:fldChar>
            </w:r>
            <w:r>
              <w:rPr>
                <w:rFonts w:hint="eastAsia" w:asciiTheme="minorEastAsia" w:hAnsiTheme="minorEastAsia" w:eastAsiaTheme="minorEastAsia" w:cstheme="minorEastAsia"/>
                <w:kern w:val="0"/>
                <w:sz w:val="18"/>
                <w:szCs w:val="18"/>
                <w:shd w:val="clear" w:color="auto" w:fill="FFFFFF"/>
              </w:rPr>
              <w:instrText xml:space="preserve">Addin PF9</w:instrText>
            </w:r>
            <w:r>
              <w:rPr>
                <w:rFonts w:hint="eastAsia" w:asciiTheme="minorEastAsia" w:hAnsiTheme="minorEastAsia" w:eastAsiaTheme="minorEastAsia" w:cstheme="minorEastAsia"/>
                <w:kern w:val="0"/>
                <w:sz w:val="18"/>
                <w:szCs w:val="18"/>
                <w:shd w:val="clear" w:color="auto" w:fill="FFFFFF"/>
              </w:rPr>
              <w:fldChar w:fldCharType="separate"/>
            </w:r>
            <w:r>
              <w:rPr>
                <w:rFonts w:hint="eastAsia" w:asciiTheme="minorEastAsia" w:hAnsiTheme="minorEastAsia" w:eastAsiaTheme="minorEastAsia" w:cstheme="minorEastAsia"/>
                <w:kern w:val="0"/>
                <w:sz w:val="18"/>
                <w:szCs w:val="18"/>
                <w:shd w:val="clear" w:color="auto" w:fill="FFFFFF"/>
              </w:rPr>
              <w:fldChar w:fldCharType="end"/>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016" w:hRule="atLeast"/>
          <w:jc w:val="center"/>
        </w:trPr>
        <w:tc>
          <w:tcPr>
            <w:tcW w:w="503" w:type="dxa"/>
            <w:vMerge w:val="continue"/>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管理制度健全性</w:t>
            </w:r>
          </w:p>
        </w:tc>
        <w:tc>
          <w:tcPr>
            <w:tcW w:w="517" w:type="dxa"/>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2998" w:type="dxa"/>
            <w:gridSpan w:val="5"/>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①有内部财务管理制度、会计核算制度等管理制度，2分；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②有本部门厉行节约制度,2分；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③相关管理制度合法、合规、完整，2分；④相关管理制度得到有效执行，2分。</w:t>
            </w:r>
          </w:p>
        </w:tc>
        <w:tc>
          <w:tcPr>
            <w:tcW w:w="1845" w:type="dxa"/>
            <w:gridSpan w:val="2"/>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w:t>
            </w:r>
          </w:p>
        </w:tc>
        <w:tc>
          <w:tcPr>
            <w:tcW w:w="908" w:type="dxa"/>
            <w:tcBorders>
              <w:tl2br w:val="nil"/>
              <w:tr2bl w:val="nil"/>
            </w:tcBorders>
            <w:vAlign w:val="center"/>
          </w:tcPr>
          <w:p>
            <w:pPr>
              <w:spacing w:line="28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485" w:hRule="atLeast"/>
          <w:jc w:val="center"/>
        </w:trPr>
        <w:tc>
          <w:tcPr>
            <w:tcW w:w="503" w:type="dxa"/>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过</w:t>
            </w:r>
          </w:p>
          <w:p>
            <w:pPr>
              <w:spacing w:line="240" w:lineRule="exact"/>
              <w:jc w:val="center"/>
              <w:rPr>
                <w:rFonts w:hint="eastAsia" w:asciiTheme="minorEastAsia" w:hAnsiTheme="minorEastAsia" w:eastAsiaTheme="minorEastAsia" w:cstheme="minorEastAsia"/>
                <w:kern w:val="0"/>
                <w:sz w:val="18"/>
                <w:szCs w:val="18"/>
              </w:rPr>
            </w:pPr>
          </w:p>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程</w:t>
            </w:r>
          </w:p>
        </w:tc>
        <w:tc>
          <w:tcPr>
            <w:tcW w:w="503" w:type="dxa"/>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lang w:val="en-US" w:eastAsia="zh-CN"/>
              </w:rPr>
            </w:pPr>
            <w:r>
              <w:rPr>
                <w:rFonts w:hint="eastAsia" w:asciiTheme="minorEastAsia" w:hAnsiTheme="minorEastAsia" w:eastAsiaTheme="minorEastAsia" w:cstheme="minorEastAsia"/>
                <w:kern w:val="0"/>
                <w:sz w:val="18"/>
                <w:szCs w:val="18"/>
                <w:lang w:val="en-US" w:eastAsia="zh-CN"/>
              </w:rPr>
              <w:t>60</w:t>
            </w:r>
          </w:p>
        </w:tc>
        <w:tc>
          <w:tcPr>
            <w:tcW w:w="503" w:type="dxa"/>
            <w:gridSpan w:val="2"/>
            <w:vMerge w:val="restart"/>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预算管理</w:t>
            </w:r>
          </w:p>
        </w:tc>
        <w:tc>
          <w:tcPr>
            <w:tcW w:w="503" w:type="dxa"/>
            <w:gridSpan w:val="2"/>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lang w:val="en-US" w:eastAsia="zh-CN"/>
              </w:rPr>
            </w:pPr>
            <w:r>
              <w:rPr>
                <w:rFonts w:hint="eastAsia" w:asciiTheme="minorEastAsia" w:hAnsiTheme="minorEastAsia" w:eastAsiaTheme="minorEastAsia" w:cstheme="minorEastAsia"/>
                <w:kern w:val="0"/>
                <w:sz w:val="18"/>
                <w:szCs w:val="18"/>
                <w:lang w:val="en-US" w:eastAsia="zh-CN"/>
              </w:rPr>
              <w:t>40</w:t>
            </w: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资金使用合规性</w:t>
            </w:r>
          </w:p>
        </w:tc>
        <w:tc>
          <w:tcPr>
            <w:tcW w:w="517" w:type="dxa"/>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998" w:type="dxa"/>
            <w:gridSpan w:val="5"/>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①支出符合国家财经法规和财务管理制度规定以及有关专项资金管理办法的规定；②资金拨付有完整的审批程序和手续；③项目支出按规定经过评估论证；④支出符合部门预算批复的用途；⑤资金使用无截留、挤占、挪用、虚列支出等情况。</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以上情况每出现一例不符合要求的扣1分，扣完为止。</w:t>
            </w:r>
          </w:p>
        </w:tc>
        <w:tc>
          <w:tcPr>
            <w:tcW w:w="1845" w:type="dxa"/>
            <w:gridSpan w:val="2"/>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w:t>
            </w:r>
          </w:p>
        </w:tc>
        <w:tc>
          <w:tcPr>
            <w:tcW w:w="908" w:type="dxa"/>
            <w:tcBorders>
              <w:tl2br w:val="nil"/>
              <w:tr2bl w:val="nil"/>
            </w:tcBorders>
            <w:vAlign w:val="center"/>
          </w:tcPr>
          <w:p>
            <w:pPr>
              <w:spacing w:line="28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865" w:hRule="atLeast"/>
          <w:jc w:val="center"/>
        </w:trPr>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预决算信息公开性</w:t>
            </w:r>
          </w:p>
        </w:tc>
        <w:tc>
          <w:tcPr>
            <w:tcW w:w="517" w:type="dxa"/>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998" w:type="dxa"/>
            <w:gridSpan w:val="5"/>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xml:space="preserve">①按规定内容公开预决算信息，1分；②按规定时限公开预决算信息，1分；③基础数据信息和会计信息资料真实，1分；④基础数据信息和会计信息资料完整，1分；⑤基础数据信息和汇集信息资料准确，1分。  </w:t>
            </w:r>
          </w:p>
        </w:tc>
        <w:tc>
          <w:tcPr>
            <w:tcW w:w="1845" w:type="dxa"/>
            <w:gridSpan w:val="2"/>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预决算信息是指与部门预算、执行、决算、监督、绩效等管理相关的信息。</w:t>
            </w:r>
          </w:p>
        </w:tc>
        <w:tc>
          <w:tcPr>
            <w:tcW w:w="908" w:type="dxa"/>
            <w:tcBorders>
              <w:tl2br w:val="nil"/>
              <w:tr2bl w:val="nil"/>
            </w:tcBorders>
            <w:vAlign w:val="center"/>
          </w:tcPr>
          <w:p>
            <w:pPr>
              <w:spacing w:line="28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735" w:hRule="atLeast"/>
          <w:jc w:val="center"/>
        </w:trPr>
        <w:tc>
          <w:tcPr>
            <w:tcW w:w="503" w:type="dxa"/>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产出及效率</w:t>
            </w:r>
          </w:p>
        </w:tc>
        <w:tc>
          <w:tcPr>
            <w:tcW w:w="503" w:type="dxa"/>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30</w:t>
            </w:r>
          </w:p>
        </w:tc>
        <w:tc>
          <w:tcPr>
            <w:tcW w:w="50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职责履行</w:t>
            </w:r>
          </w:p>
        </w:tc>
        <w:tc>
          <w:tcPr>
            <w:tcW w:w="50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重点工作实际完成率</w:t>
            </w:r>
          </w:p>
        </w:tc>
        <w:tc>
          <w:tcPr>
            <w:tcW w:w="517" w:type="dxa"/>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2998" w:type="dxa"/>
            <w:gridSpan w:val="5"/>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lang w:val="en-US" w:eastAsia="zh-CN"/>
              </w:rPr>
            </w:pPr>
            <w:r>
              <w:rPr>
                <w:rFonts w:hint="eastAsia" w:asciiTheme="minorEastAsia" w:hAnsiTheme="minorEastAsia" w:eastAsiaTheme="minorEastAsia" w:cstheme="minorEastAsia"/>
                <w:kern w:val="0"/>
                <w:sz w:val="18"/>
                <w:szCs w:val="18"/>
                <w:lang w:eastAsia="zh-CN"/>
              </w:rPr>
              <w:t>根据履职情况，结合绩效目标和项目性质，对重点工作计划完成、产出质量、产出时效和有关成本控制情况评价，实现</w:t>
            </w:r>
            <w:r>
              <w:rPr>
                <w:rFonts w:hint="eastAsia" w:asciiTheme="minorEastAsia" w:hAnsiTheme="minorEastAsia" w:eastAsiaTheme="minorEastAsia" w:cstheme="minorEastAsia"/>
                <w:kern w:val="0"/>
                <w:sz w:val="18"/>
                <w:szCs w:val="18"/>
                <w:lang w:val="en-US" w:eastAsia="zh-CN"/>
              </w:rPr>
              <w:t>70%以上得4分，70%以下不得分。</w:t>
            </w:r>
          </w:p>
        </w:tc>
        <w:tc>
          <w:tcPr>
            <w:tcW w:w="1845" w:type="dxa"/>
            <w:gridSpan w:val="2"/>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w:t>
            </w:r>
          </w:p>
        </w:tc>
        <w:tc>
          <w:tcPr>
            <w:tcW w:w="908" w:type="dxa"/>
            <w:tcBorders>
              <w:tl2br w:val="nil"/>
              <w:tr2bl w:val="nil"/>
            </w:tcBorders>
            <w:vAlign w:val="center"/>
          </w:tcPr>
          <w:p>
            <w:pPr>
              <w:spacing w:line="28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54" w:hRule="atLeast"/>
          <w:jc w:val="center"/>
        </w:trPr>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履职 效益</w:t>
            </w:r>
          </w:p>
        </w:tc>
        <w:tc>
          <w:tcPr>
            <w:tcW w:w="503" w:type="dxa"/>
            <w:gridSpan w:val="2"/>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经济</w:t>
            </w:r>
          </w:p>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效益</w:t>
            </w:r>
          </w:p>
        </w:tc>
        <w:tc>
          <w:tcPr>
            <w:tcW w:w="517" w:type="dxa"/>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2998" w:type="dxa"/>
            <w:gridSpan w:val="5"/>
            <w:vMerge w:val="restart"/>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color w:val="000000"/>
                <w:sz w:val="18"/>
                <w:szCs w:val="18"/>
              </w:rPr>
              <w:t>指导和监督全县粮食经营者依法从事收购、储存、运输活动和政策性用粮的购销活动，以及执行国家粮食流通统计制度的情况；做好全县社会粮食流通统计和信息工作；管理系统内国有资产的安全和处置；热情接待各级来访领导和群众，做好国有粮食企业改革改制的后续工作。全年完成省市粮食局和区市场</w:t>
            </w:r>
            <w:r>
              <w:rPr>
                <w:rFonts w:hint="eastAsia" w:asciiTheme="minorEastAsia" w:hAnsiTheme="minorEastAsia" w:eastAsiaTheme="minorEastAsia" w:cstheme="minorEastAsia"/>
                <w:color w:val="000000"/>
                <w:sz w:val="18"/>
                <w:szCs w:val="18"/>
                <w:lang w:eastAsia="zh-CN"/>
              </w:rPr>
              <w:t>监督</w:t>
            </w:r>
            <w:bookmarkStart w:id="0" w:name="_GoBack"/>
            <w:bookmarkEnd w:id="0"/>
            <w:r>
              <w:rPr>
                <w:rFonts w:hint="eastAsia" w:asciiTheme="minorEastAsia" w:hAnsiTheme="minorEastAsia" w:eastAsiaTheme="minorEastAsia" w:cstheme="minorEastAsia"/>
                <w:color w:val="000000"/>
                <w:sz w:val="18"/>
                <w:szCs w:val="18"/>
              </w:rPr>
              <w:t>管理局下达的粮油检验检测批次，区域内粮食企业实现粮食收购 3万吨以上，销售3万吨以上，粮食行业固定资产投资达</w:t>
            </w:r>
            <w:r>
              <w:rPr>
                <w:rFonts w:hint="eastAsia" w:asciiTheme="minorEastAsia" w:hAnsiTheme="minorEastAsia" w:eastAsiaTheme="minorEastAsia" w:cstheme="minorEastAsia"/>
                <w:color w:val="000000"/>
                <w:sz w:val="18"/>
                <w:szCs w:val="18"/>
                <w:lang w:val="en-US" w:eastAsia="zh-CN"/>
              </w:rPr>
              <w:t>5</w:t>
            </w:r>
            <w:r>
              <w:rPr>
                <w:rFonts w:hint="eastAsia" w:asciiTheme="minorEastAsia" w:hAnsiTheme="minorEastAsia" w:eastAsiaTheme="minorEastAsia" w:cstheme="minorEastAsia"/>
                <w:color w:val="000000"/>
                <w:sz w:val="18"/>
                <w:szCs w:val="18"/>
              </w:rPr>
              <w:t>00万元以上，区内应急粮油供应网点达15个，实现区域内所有乡镇全覆盖，扶持12家粮食产业化龙头企业，仓储设施和物流体系建设不断加强，慰问改制企业退休人员及困难职工等600多人，确保全系统安全稳定，定期开展国有资产安全生产检查和安全储粮检查，确保各级储备粮数量真实，质量良好，全年无任何安全事故，促进区域内粮食经济健康、协调、可持续发展。　</w:t>
            </w:r>
          </w:p>
        </w:tc>
        <w:tc>
          <w:tcPr>
            <w:tcW w:w="1845" w:type="dxa"/>
            <w:gridSpan w:val="2"/>
            <w:vMerge w:val="restart"/>
            <w:tcBorders>
              <w:tl2br w:val="nil"/>
              <w:tr2bl w:val="nil"/>
            </w:tcBorders>
            <w:vAlign w:val="center"/>
          </w:tcPr>
          <w:p>
            <w:pPr>
              <w:spacing w:line="280" w:lineRule="exact"/>
              <w:jc w:val="left"/>
              <w:rPr>
                <w:rFonts w:hint="eastAsia" w:asciiTheme="minorEastAsia" w:hAnsiTheme="minorEastAsia" w:eastAsiaTheme="minorEastAsia" w:cstheme="minorEastAsia"/>
                <w:color w:val="000000"/>
                <w:kern w:val="0"/>
                <w:sz w:val="18"/>
                <w:szCs w:val="18"/>
              </w:rPr>
            </w:pPr>
          </w:p>
        </w:tc>
        <w:tc>
          <w:tcPr>
            <w:tcW w:w="908" w:type="dxa"/>
            <w:vMerge w:val="restart"/>
            <w:tcBorders>
              <w:tl2br w:val="nil"/>
              <w:tr2bl w:val="nil"/>
            </w:tcBorders>
            <w:vAlign w:val="center"/>
          </w:tcPr>
          <w:p>
            <w:pPr>
              <w:spacing w:line="280" w:lineRule="exact"/>
              <w:jc w:val="center"/>
              <w:rPr>
                <w:rFonts w:hint="default"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10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69" w:hRule="atLeast"/>
          <w:jc w:val="center"/>
        </w:trPr>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社会</w:t>
            </w:r>
          </w:p>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效益</w:t>
            </w:r>
          </w:p>
        </w:tc>
        <w:tc>
          <w:tcPr>
            <w:tcW w:w="517"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2998" w:type="dxa"/>
            <w:gridSpan w:val="5"/>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1845"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908" w:type="dxa"/>
            <w:vMerge w:val="continue"/>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84" w:hRule="atLeast"/>
          <w:jc w:val="center"/>
        </w:trPr>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12</w:t>
            </w: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行政</w:t>
            </w:r>
          </w:p>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效能</w:t>
            </w:r>
          </w:p>
        </w:tc>
        <w:tc>
          <w:tcPr>
            <w:tcW w:w="517" w:type="dxa"/>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998" w:type="dxa"/>
            <w:gridSpan w:val="5"/>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促进部门改进文风会风，加强经费及资产管理，推动网上办事，提高行政效率，降低行政成本效果较好的计6分；一般3分；无效果或者效果不明显0分。</w:t>
            </w:r>
          </w:p>
        </w:tc>
        <w:tc>
          <w:tcPr>
            <w:tcW w:w="1845" w:type="dxa"/>
            <w:gridSpan w:val="2"/>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根据部门自评材料评定。</w:t>
            </w:r>
          </w:p>
        </w:tc>
        <w:tc>
          <w:tcPr>
            <w:tcW w:w="908" w:type="dxa"/>
            <w:tcBorders>
              <w:tl2br w:val="nil"/>
              <w:tr2bl w:val="nil"/>
            </w:tcBorders>
            <w:vAlign w:val="center"/>
          </w:tcPr>
          <w:p>
            <w:pPr>
              <w:spacing w:line="28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84" w:hRule="atLeast"/>
          <w:jc w:val="center"/>
        </w:trPr>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社会公众或服务对象满意度</w:t>
            </w:r>
          </w:p>
        </w:tc>
        <w:tc>
          <w:tcPr>
            <w:tcW w:w="517" w:type="dxa"/>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998" w:type="dxa"/>
            <w:gridSpan w:val="5"/>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90%（含）以上计6分；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80%（含）-90%，计4分；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70%（含）-80%，计2分；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低于70%计0分。</w:t>
            </w:r>
          </w:p>
        </w:tc>
        <w:tc>
          <w:tcPr>
            <w:tcW w:w="1845" w:type="dxa"/>
            <w:gridSpan w:val="2"/>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社会公众或服务对象是指部门（单位）履行职责而影响到的部门、群体或个人，一般采取社会调查的方式。</w:t>
            </w:r>
          </w:p>
        </w:tc>
        <w:tc>
          <w:tcPr>
            <w:tcW w:w="908" w:type="dxa"/>
            <w:tcBorders>
              <w:tl2br w:val="nil"/>
              <w:tr2bl w:val="nil"/>
            </w:tcBorders>
            <w:vAlign w:val="center"/>
          </w:tcPr>
          <w:p>
            <w:pPr>
              <w:spacing w:line="280" w:lineRule="exact"/>
              <w:jc w:val="center"/>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kern w:val="0"/>
                <w:sz w:val="18"/>
                <w:szCs w:val="18"/>
                <w:shd w:val="clear" w:color="auto" w:fill="FFFFFF"/>
                <w:lang w:val="en-US" w:eastAsia="zh-CN"/>
              </w:rPr>
              <w:t>6</w:t>
            </w:r>
            <w:r>
              <w:rPr>
                <w:rFonts w:hint="eastAsia" w:asciiTheme="minorEastAsia" w:hAnsiTheme="minorEastAsia" w:eastAsiaTheme="minorEastAsia" w:cstheme="minorEastAsia"/>
                <w:kern w:val="0"/>
                <w:sz w:val="18"/>
                <w:szCs w:val="18"/>
                <w:shd w:val="clear" w:color="auto" w:fill="FFFFFF"/>
              </w:rPr>
              <w:fldChar w:fldCharType="begin">
                <w:fldData xml:space="preserve">QgAzADUAMgBGADUAMgBDADkAMAAzADAANAA1ADMAOABCADAARgA0ADAANAA5AEEAOQA0AEUAMgA0
ADQARQAxAA==
</w:fldData>
              </w:fldChar>
            </w:r>
            <w:r>
              <w:rPr>
                <w:rFonts w:hint="eastAsia" w:asciiTheme="minorEastAsia" w:hAnsiTheme="minorEastAsia" w:eastAsiaTheme="minorEastAsia" w:cstheme="minorEastAsia"/>
                <w:kern w:val="0"/>
                <w:sz w:val="18"/>
                <w:szCs w:val="18"/>
                <w:shd w:val="clear" w:color="auto" w:fill="FFFFFF"/>
              </w:rPr>
              <w:instrText xml:space="preserve">Addin PF16</w:instrText>
            </w:r>
            <w:r>
              <w:rPr>
                <w:rFonts w:hint="eastAsia" w:asciiTheme="minorEastAsia" w:hAnsiTheme="minorEastAsia" w:eastAsiaTheme="minorEastAsia" w:cstheme="minorEastAsia"/>
                <w:kern w:val="0"/>
                <w:sz w:val="18"/>
                <w:szCs w:val="18"/>
                <w:shd w:val="clear" w:color="auto" w:fill="FFFFFF"/>
              </w:rPr>
              <w:fldChar w:fldCharType="separate"/>
            </w:r>
            <w:r>
              <w:rPr>
                <w:rFonts w:hint="eastAsia" w:asciiTheme="minorEastAsia" w:hAnsiTheme="minorEastAsia" w:eastAsiaTheme="minorEastAsia" w:cstheme="minorEastAsia"/>
                <w:kern w:val="0"/>
                <w:sz w:val="18"/>
                <w:szCs w:val="18"/>
                <w:shd w:val="clear" w:color="auto" w:fill="FFFFFF"/>
              </w:rPr>
              <w:fldChar w:fldCharType="end"/>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79" w:hRule="atLeast"/>
          <w:jc w:val="center"/>
        </w:trPr>
        <w:tc>
          <w:tcPr>
            <w:tcW w:w="2795" w:type="dxa"/>
            <w:gridSpan w:val="8"/>
            <w:tcBorders>
              <w:tl2br w:val="nil"/>
              <w:tr2bl w:val="nil"/>
            </w:tcBorders>
            <w:vAlign w:val="center"/>
          </w:tcPr>
          <w:p>
            <w:pPr>
              <w:spacing w:line="280" w:lineRule="exact"/>
              <w:jc w:val="center"/>
              <w:rPr>
                <w:rFonts w:hint="eastAsia" w:asciiTheme="minorEastAsia" w:hAnsiTheme="minorEastAsia" w:eastAsiaTheme="minorEastAsia" w:cstheme="minorEastAsia"/>
                <w:b/>
                <w:bCs/>
                <w:kern w:val="0"/>
                <w:sz w:val="18"/>
                <w:szCs w:val="18"/>
                <w:lang w:val="en-US" w:eastAsia="zh-CN"/>
              </w:rPr>
            </w:pPr>
            <w:r>
              <w:rPr>
                <w:rFonts w:hint="eastAsia" w:asciiTheme="minorEastAsia" w:hAnsiTheme="minorEastAsia" w:eastAsiaTheme="minorEastAsia" w:cstheme="minorEastAsia"/>
                <w:b/>
                <w:bCs/>
                <w:kern w:val="0"/>
                <w:sz w:val="18"/>
                <w:szCs w:val="18"/>
                <w:lang w:val="en-US" w:eastAsia="zh-CN"/>
              </w:rPr>
              <w:t>合计</w:t>
            </w:r>
          </w:p>
        </w:tc>
        <w:tc>
          <w:tcPr>
            <w:tcW w:w="517" w:type="dxa"/>
            <w:tcBorders>
              <w:tl2br w:val="nil"/>
              <w:tr2bl w:val="nil"/>
            </w:tcBorders>
            <w:vAlign w:val="center"/>
          </w:tcPr>
          <w:p>
            <w:pPr>
              <w:spacing w:line="280" w:lineRule="exact"/>
              <w:jc w:val="center"/>
              <w:rPr>
                <w:rFonts w:hint="default" w:asciiTheme="minorEastAsia" w:hAnsiTheme="minorEastAsia" w:eastAsiaTheme="minorEastAsia" w:cstheme="minorEastAsia"/>
                <w:b/>
                <w:bCs/>
                <w:kern w:val="0"/>
                <w:sz w:val="18"/>
                <w:szCs w:val="18"/>
                <w:lang w:val="en-US" w:eastAsia="zh-CN"/>
              </w:rPr>
            </w:pPr>
            <w:r>
              <w:rPr>
                <w:rFonts w:hint="eastAsia" w:asciiTheme="minorEastAsia" w:hAnsiTheme="minorEastAsia" w:eastAsiaTheme="minorEastAsia" w:cstheme="minorEastAsia"/>
                <w:b/>
                <w:bCs/>
                <w:kern w:val="0"/>
                <w:sz w:val="18"/>
                <w:szCs w:val="18"/>
                <w:lang w:val="en-US" w:eastAsia="zh-CN"/>
              </w:rPr>
              <w:t>100</w:t>
            </w:r>
          </w:p>
        </w:tc>
        <w:tc>
          <w:tcPr>
            <w:tcW w:w="2998" w:type="dxa"/>
            <w:gridSpan w:val="5"/>
            <w:tcBorders>
              <w:tl2br w:val="nil"/>
              <w:tr2bl w:val="nil"/>
            </w:tcBorders>
            <w:vAlign w:val="center"/>
          </w:tcPr>
          <w:p>
            <w:pPr>
              <w:spacing w:line="280" w:lineRule="exact"/>
              <w:jc w:val="left"/>
              <w:rPr>
                <w:rFonts w:hint="eastAsia" w:asciiTheme="minorEastAsia" w:hAnsiTheme="minorEastAsia" w:eastAsiaTheme="minorEastAsia" w:cstheme="minorEastAsia"/>
                <w:b/>
                <w:bCs/>
                <w:kern w:val="0"/>
                <w:sz w:val="18"/>
                <w:szCs w:val="18"/>
              </w:rPr>
            </w:pPr>
          </w:p>
        </w:tc>
        <w:tc>
          <w:tcPr>
            <w:tcW w:w="1845" w:type="dxa"/>
            <w:gridSpan w:val="2"/>
            <w:tcBorders>
              <w:tl2br w:val="nil"/>
              <w:tr2bl w:val="nil"/>
            </w:tcBorders>
            <w:vAlign w:val="center"/>
          </w:tcPr>
          <w:p>
            <w:pPr>
              <w:spacing w:line="280" w:lineRule="exact"/>
              <w:jc w:val="left"/>
              <w:rPr>
                <w:rFonts w:hint="eastAsia" w:asciiTheme="minorEastAsia" w:hAnsiTheme="minorEastAsia" w:eastAsiaTheme="minorEastAsia" w:cstheme="minorEastAsia"/>
                <w:b/>
                <w:bCs/>
                <w:kern w:val="0"/>
                <w:sz w:val="18"/>
                <w:szCs w:val="18"/>
              </w:rPr>
            </w:pPr>
          </w:p>
        </w:tc>
        <w:tc>
          <w:tcPr>
            <w:tcW w:w="908" w:type="dxa"/>
            <w:tcBorders>
              <w:tl2br w:val="nil"/>
              <w:tr2bl w:val="nil"/>
            </w:tcBorders>
            <w:vAlign w:val="center"/>
          </w:tcPr>
          <w:p>
            <w:pPr>
              <w:spacing w:line="280" w:lineRule="exact"/>
              <w:jc w:val="center"/>
              <w:rPr>
                <w:rFonts w:hint="default" w:asciiTheme="minorEastAsia" w:hAnsiTheme="minorEastAsia" w:eastAsiaTheme="minorEastAsia" w:cstheme="minorEastAsia"/>
                <w:b/>
                <w:bCs/>
                <w:kern w:val="0"/>
                <w:sz w:val="18"/>
                <w:szCs w:val="18"/>
                <w:shd w:val="clear" w:color="auto" w:fill="FFFFFF"/>
                <w:lang w:val="en-US" w:eastAsia="zh-CN"/>
              </w:rPr>
            </w:pPr>
            <w:r>
              <w:rPr>
                <w:rFonts w:hint="eastAsia" w:asciiTheme="minorEastAsia" w:hAnsiTheme="minorEastAsia" w:eastAsiaTheme="minorEastAsia" w:cstheme="minorEastAsia"/>
                <w:b/>
                <w:bCs/>
                <w:kern w:val="0"/>
                <w:sz w:val="18"/>
                <w:szCs w:val="18"/>
                <w:shd w:val="clear" w:color="auto" w:fill="FFFFFF"/>
                <w:lang w:val="en-US" w:eastAsia="zh-CN"/>
              </w:rPr>
              <w:t>91</w:t>
            </w:r>
          </w:p>
        </w:tc>
      </w:tr>
    </w:tbl>
    <w:p>
      <w:pPr>
        <w:rPr>
          <w:rFonts w:hint="eastAsia" w:ascii="仿宋_GB2312" w:hAnsi="仿宋_GB2312" w:eastAsia="仿宋_GB2312" w:cs="仿宋_GB2312"/>
          <w:sz w:val="32"/>
          <w:szCs w:val="32"/>
          <w:lang w:val="en-US" w:eastAsia="zh-CN"/>
        </w:rPr>
      </w:pP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仿宋_GB2312"/>
                              <w:lang w:eastAsia="zh-CN"/>
                            </w:rPr>
                          </w:pPr>
                          <w:r>
                            <w:rPr>
                              <w:rFonts w:hint="eastAsia"/>
                              <w:sz w:val="22"/>
                              <w:szCs w:val="44"/>
                              <w:lang w:eastAsia="zh-CN"/>
                            </w:rPr>
                            <w:fldChar w:fldCharType="begin"/>
                          </w:r>
                          <w:r>
                            <w:rPr>
                              <w:rFonts w:hint="eastAsia"/>
                              <w:sz w:val="22"/>
                              <w:szCs w:val="44"/>
                              <w:lang w:eastAsia="zh-CN"/>
                            </w:rPr>
                            <w:instrText xml:space="preserve"> PAGE  \* MERGEFORMAT </w:instrText>
                          </w:r>
                          <w:r>
                            <w:rPr>
                              <w:rFonts w:hint="eastAsia"/>
                              <w:sz w:val="22"/>
                              <w:szCs w:val="44"/>
                              <w:lang w:eastAsia="zh-CN"/>
                            </w:rPr>
                            <w:fldChar w:fldCharType="separate"/>
                          </w:r>
                          <w:r>
                            <w:rPr>
                              <w:rFonts w:hint="eastAsia"/>
                              <w:sz w:val="22"/>
                              <w:szCs w:val="44"/>
                              <w:lang w:eastAsia="zh-CN"/>
                            </w:rPr>
                            <w:t>1</w:t>
                          </w:r>
                          <w:r>
                            <w:rPr>
                              <w:rFonts w:hint="eastAsia"/>
                              <w:sz w:val="22"/>
                              <w:szCs w:val="44"/>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rPr>
                        <w:rFonts w:hint="eastAsia" w:eastAsia="仿宋_GB2312"/>
                        <w:lang w:eastAsia="zh-CN"/>
                      </w:rPr>
                    </w:pPr>
                    <w:r>
                      <w:rPr>
                        <w:rFonts w:hint="eastAsia"/>
                        <w:sz w:val="22"/>
                        <w:szCs w:val="44"/>
                        <w:lang w:eastAsia="zh-CN"/>
                      </w:rPr>
                      <w:fldChar w:fldCharType="begin"/>
                    </w:r>
                    <w:r>
                      <w:rPr>
                        <w:rFonts w:hint="eastAsia"/>
                        <w:sz w:val="22"/>
                        <w:szCs w:val="44"/>
                        <w:lang w:eastAsia="zh-CN"/>
                      </w:rPr>
                      <w:instrText xml:space="preserve"> PAGE  \* MERGEFORMAT </w:instrText>
                    </w:r>
                    <w:r>
                      <w:rPr>
                        <w:rFonts w:hint="eastAsia"/>
                        <w:sz w:val="22"/>
                        <w:szCs w:val="44"/>
                        <w:lang w:eastAsia="zh-CN"/>
                      </w:rPr>
                      <w:fldChar w:fldCharType="separate"/>
                    </w:r>
                    <w:r>
                      <w:rPr>
                        <w:rFonts w:hint="eastAsia"/>
                        <w:sz w:val="22"/>
                        <w:szCs w:val="44"/>
                        <w:lang w:eastAsia="zh-CN"/>
                      </w:rPr>
                      <w:t>1</w:t>
                    </w:r>
                    <w:r>
                      <w:rPr>
                        <w:rFonts w:hint="eastAsia"/>
                        <w:sz w:val="22"/>
                        <w:szCs w:val="44"/>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07E247"/>
    <w:multiLevelType w:val="singleLevel"/>
    <w:tmpl w:val="0207E247"/>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E1E266A"/>
    <w:rsid w:val="00CC708C"/>
    <w:rsid w:val="032E7049"/>
    <w:rsid w:val="0EC42A94"/>
    <w:rsid w:val="18E01687"/>
    <w:rsid w:val="2AB17030"/>
    <w:rsid w:val="2BA6325A"/>
    <w:rsid w:val="373506D9"/>
    <w:rsid w:val="384D209F"/>
    <w:rsid w:val="45000951"/>
    <w:rsid w:val="580015EB"/>
    <w:rsid w:val="5E1E266A"/>
    <w:rsid w:val="7A7B1A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80" w:lineRule="exact"/>
      <w:jc w:val="both"/>
    </w:pPr>
    <w:rPr>
      <w:rFonts w:ascii="仿宋_GB2312" w:hAnsi="Calibri" w:eastAsia="仿宋_GB2312" w:cs="Times New Roman"/>
      <w:kern w:val="2"/>
      <w:sz w:val="32"/>
      <w:szCs w:val="32"/>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spacing w:before="100" w:beforeAutospacing="1" w:after="0"/>
      <w:ind w:left="0" w:firstLine="420" w:firstLineChars="200"/>
    </w:pPr>
    <w:rPr>
      <w:rFonts w:ascii="Calibri" w:hAnsi="Calibri" w:eastAsia="宋体" w:cs="Times New Roman"/>
    </w:rPr>
  </w:style>
  <w:style w:type="paragraph" w:styleId="3">
    <w:name w:val="Body Text Indent"/>
    <w:basedOn w:val="1"/>
    <w:qFormat/>
    <w:uiPriority w:val="0"/>
    <w:pPr>
      <w:spacing w:after="120"/>
      <w:ind w:left="420" w:leftChars="200"/>
    </w:pPr>
    <w:rPr>
      <w:rFonts w:ascii="Times New Roman" w:hAnsi="Times New Roman" w:eastAsia="宋体" w:cs="Times New Roman"/>
    </w:rPr>
  </w:style>
  <w:style w:type="paragraph" w:styleId="4">
    <w:name w:val="Body Text"/>
    <w:basedOn w:val="1"/>
    <w:unhideWhenUsed/>
    <w:qFormat/>
    <w:uiPriority w:val="99"/>
    <w:pPr>
      <w:spacing w:after="120"/>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2020-03-27T07:18:00Z</dcterms:created>
  <dc:creator>谭佳茂MUA</dc:creator>
  <cp:lastModifiedBy>柯柯妈</cp:lastModifiedBy>
  <dcterms:modified xsi:type="dcterms:W3CDTF">2021-05-28T07:55:02Z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2052-11.1.0.10214</vt:lpwstr>
  </property>
</Properties>
</file>