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2</w:t>
      </w:r>
    </w:p>
    <w:p>
      <w:pPr>
        <w:spacing w:line="560" w:lineRule="exact"/>
        <w:jc w:val="center"/>
        <w:rPr>
          <w:rFonts w:eastAsia="方正小标宋简体"/>
          <w:kern w:val="0"/>
          <w:sz w:val="40"/>
          <w:szCs w:val="40"/>
        </w:rPr>
      </w:pPr>
    </w:p>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tbl>
      <w:tblPr>
        <w:tblStyle w:val="6"/>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长沙市望城区医疗保障局</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27951.28万元</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473.60万元</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27477.68万元</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top"/>
          </w:tcPr>
          <w:p>
            <w:pPr>
              <w:spacing w:line="250" w:lineRule="exact"/>
              <w:jc w:val="left"/>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w:t>
            </w:r>
          </w:p>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 xml:space="preserve">    2019年3月机构改革新组建单位，无年初目标、无年初预算数。</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eastAsia="zh-CN"/>
              </w:rPr>
              <w:t>全面完成各项工作。</w:t>
            </w:r>
            <w:r>
              <w:rPr>
                <w:rFonts w:hint="eastAsia" w:asciiTheme="minorEastAsia" w:hAnsiTheme="minorEastAsia" w:eastAsiaTheme="minorEastAsia" w:cstheme="minorEastAsia"/>
                <w:color w:val="000000"/>
                <w:sz w:val="18"/>
                <w:szCs w:val="18"/>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3</w:t>
      </w:r>
    </w:p>
    <w:p>
      <w:pPr>
        <w:spacing w:line="600" w:lineRule="exact"/>
        <w:jc w:val="center"/>
        <w:rPr>
          <w:rFonts w:hint="default" w:ascii="Times New Roman" w:hAnsi="Times New Roman" w:eastAsia="方正小标宋简体" w:cs="Times New Roman"/>
          <w:sz w:val="36"/>
          <w:szCs w:val="36"/>
        </w:rPr>
      </w:pPr>
    </w:p>
    <w:p>
      <w:pPr>
        <w:spacing w:line="600" w:lineRule="exact"/>
        <w:jc w:val="center"/>
        <w:rPr>
          <w:rFonts w:hint="eastAsia" w:ascii="方正小标宋_GBK" w:hAnsi="方正小标宋_GBK" w:eastAsia="方正小标宋_GBK" w:cs="方正小标宋_GBK"/>
          <w:sz w:val="36"/>
          <w:szCs w:val="36"/>
          <w:lang w:val="en-US" w:eastAsia="zh-CN"/>
        </w:rPr>
      </w:pPr>
      <w:r>
        <w:rPr>
          <w:rFonts w:hint="eastAsia" w:ascii="仿宋" w:hAnsi="仿宋" w:eastAsia="仿宋" w:cs="仿宋"/>
          <w:sz w:val="36"/>
          <w:szCs w:val="36"/>
          <w:lang w:val="en-US" w:eastAsia="zh-CN"/>
        </w:rPr>
        <w:t>2019</w:t>
      </w:r>
      <w:r>
        <w:rPr>
          <w:rFonts w:hint="eastAsia" w:ascii="方正小标宋_GBK" w:hAnsi="方正小标宋_GBK" w:eastAsia="方正小标宋_GBK" w:cs="方正小标宋_GBK"/>
          <w:sz w:val="36"/>
          <w:szCs w:val="36"/>
        </w:rPr>
        <w:t>年度</w:t>
      </w:r>
      <w:r>
        <w:rPr>
          <w:rFonts w:hint="eastAsia" w:ascii="方正小标宋_GBK" w:hAnsi="方正小标宋_GBK" w:eastAsia="方正小标宋_GBK" w:cs="方正小标宋_GBK"/>
          <w:sz w:val="36"/>
          <w:szCs w:val="36"/>
          <w:lang w:eastAsia="zh-CN"/>
        </w:rPr>
        <w:t>望城区医保局</w:t>
      </w:r>
      <w:r>
        <w:rPr>
          <w:rFonts w:hint="eastAsia" w:ascii="方正小标宋_GBK" w:hAnsi="方正小标宋_GBK" w:eastAsia="方正小标宋_GBK" w:cs="方正小标宋_GBK"/>
          <w:sz w:val="36"/>
          <w:szCs w:val="36"/>
        </w:rPr>
        <w:t>部门整体支出预算绩效</w:t>
      </w:r>
      <w:r>
        <w:rPr>
          <w:rFonts w:hint="eastAsia" w:ascii="方正小标宋_GBK" w:hAnsi="方正小标宋_GBK" w:eastAsia="方正小标宋_GBK" w:cs="方正小标宋_GBK"/>
          <w:sz w:val="36"/>
          <w:szCs w:val="36"/>
          <w:lang w:val="en-US" w:eastAsia="zh-CN"/>
        </w:rPr>
        <w:t xml:space="preserve"> </w:t>
      </w:r>
    </w:p>
    <w:p>
      <w:pPr>
        <w:spacing w:line="600" w:lineRule="exact"/>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自评报告</w:t>
      </w:r>
    </w:p>
    <w:p>
      <w:pPr>
        <w:spacing w:line="600" w:lineRule="exact"/>
        <w:jc w:val="center"/>
        <w:rPr>
          <w:rFonts w:hint="default" w:ascii="Times New Roman" w:hAnsi="Times New Roman" w:eastAsia="仿宋_GB2312" w:cs="Times New Roman"/>
          <w:sz w:val="32"/>
          <w:szCs w:val="32"/>
        </w:rPr>
      </w:pPr>
    </w:p>
    <w:p>
      <w:pPr>
        <w:numPr>
          <w:ilvl w:val="0"/>
          <w:numId w:val="1"/>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部门（单位）基本情况</w:t>
      </w:r>
    </w:p>
    <w:p>
      <w:pPr>
        <w:ind w:firstLine="640" w:firstLineChars="200"/>
        <w:rPr>
          <w:rFonts w:hint="default" w:ascii="Times New Roman" w:hAnsi="Times New Roman" w:eastAsia="黑体" w:cs="Times New Roman"/>
          <w:sz w:val="30"/>
        </w:rPr>
      </w:pPr>
      <w:r>
        <w:rPr>
          <w:rFonts w:hint="eastAsia" w:eastAsia="仿宋_GB2312"/>
          <w:sz w:val="32"/>
          <w:szCs w:val="32"/>
          <w:lang w:val="en-US" w:eastAsia="zh-CN"/>
        </w:rPr>
        <w:t xml:space="preserve"> 我局为全额拨款的正科级单位，内设</w:t>
      </w:r>
      <w:r>
        <w:rPr>
          <w:rFonts w:hint="eastAsia"/>
          <w:sz w:val="32"/>
          <w:szCs w:val="32"/>
          <w:lang w:val="en-US" w:eastAsia="zh-CN"/>
        </w:rPr>
        <w:t>三</w:t>
      </w:r>
      <w:r>
        <w:rPr>
          <w:rFonts w:hint="eastAsia" w:eastAsia="仿宋_GB2312"/>
          <w:sz w:val="32"/>
          <w:szCs w:val="32"/>
          <w:lang w:val="en-US" w:eastAsia="zh-CN"/>
        </w:rPr>
        <w:t>个科室和一个二级机构。“</w:t>
      </w:r>
      <w:r>
        <w:rPr>
          <w:rFonts w:hint="eastAsia"/>
          <w:sz w:val="32"/>
          <w:szCs w:val="32"/>
          <w:lang w:val="en-US" w:eastAsia="zh-CN"/>
        </w:rPr>
        <w:t>三</w:t>
      </w:r>
      <w:r>
        <w:rPr>
          <w:rFonts w:hint="eastAsia" w:eastAsia="仿宋_GB2312"/>
          <w:sz w:val="32"/>
          <w:szCs w:val="32"/>
          <w:lang w:val="en-US" w:eastAsia="zh-CN"/>
        </w:rPr>
        <w:t>个科室”：办公室、业务指导科、综合监督科</w:t>
      </w:r>
      <w:bookmarkStart w:id="0" w:name="_GoBack"/>
      <w:bookmarkEnd w:id="0"/>
      <w:r>
        <w:rPr>
          <w:rFonts w:hint="eastAsia" w:eastAsia="仿宋_GB2312"/>
          <w:sz w:val="32"/>
          <w:szCs w:val="32"/>
          <w:lang w:val="en-US" w:eastAsia="zh-CN"/>
        </w:rPr>
        <w:t>；“一个二级机构”：医疗保障事务中心。现有正式干部职工36人，聘用人员6人。</w:t>
      </w:r>
    </w:p>
    <w:p>
      <w:pPr>
        <w:numPr>
          <w:ilvl w:val="0"/>
          <w:numId w:val="1"/>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部门（单位）预算管理及执行情况</w:t>
      </w:r>
    </w:p>
    <w:p>
      <w:pPr>
        <w:numPr>
          <w:ilvl w:val="0"/>
          <w:numId w:val="0"/>
        </w:numPr>
        <w:spacing w:line="600" w:lineRule="exact"/>
        <w:rPr>
          <w:rFonts w:hint="eastAsia" w:eastAsia="仿宋_GB2312"/>
          <w:sz w:val="32"/>
          <w:szCs w:val="32"/>
          <w:lang w:val="en-US" w:eastAsia="zh-CN"/>
        </w:rPr>
      </w:pPr>
      <w:r>
        <w:rPr>
          <w:rFonts w:hint="eastAsia" w:ascii="Times New Roman" w:hAnsi="Times New Roman" w:eastAsia="黑体" w:cs="Times New Roman"/>
          <w:sz w:val="30"/>
          <w:lang w:val="en-US" w:eastAsia="zh-CN"/>
        </w:rPr>
        <w:t xml:space="preserve"> </w:t>
      </w:r>
      <w:r>
        <w:rPr>
          <w:rFonts w:hint="eastAsia" w:eastAsia="仿宋_GB2312"/>
          <w:sz w:val="32"/>
          <w:szCs w:val="32"/>
          <w:lang w:val="en-US" w:eastAsia="zh-CN"/>
        </w:rPr>
        <w:t xml:space="preserve">   因我局为2019年3月新组建单位，无年初预算数。2019年支出27951.28万元，其中基本支出473.60万元，项目支出27477.68万元。</w:t>
      </w:r>
    </w:p>
    <w:p>
      <w:pPr>
        <w:numPr>
          <w:ilvl w:val="0"/>
          <w:numId w:val="1"/>
        </w:numPr>
        <w:spacing w:line="600" w:lineRule="exact"/>
        <w:ind w:firstLine="600" w:firstLineChars="200"/>
        <w:rPr>
          <w:rFonts w:hint="eastAsia" w:ascii="Times New Roman" w:hAnsi="Times New Roman" w:eastAsia="黑体" w:cs="Times New Roman"/>
          <w:sz w:val="30"/>
          <w:lang w:eastAsia="zh-CN"/>
        </w:rPr>
      </w:pPr>
      <w:r>
        <w:rPr>
          <w:rFonts w:hint="default" w:ascii="Times New Roman" w:hAnsi="Times New Roman" w:eastAsia="黑体" w:cs="Times New Roman"/>
          <w:sz w:val="30"/>
        </w:rPr>
        <w:t>部门（单位）</w:t>
      </w:r>
      <w:r>
        <w:rPr>
          <w:rFonts w:hint="eastAsia" w:ascii="Times New Roman" w:hAnsi="Times New Roman" w:eastAsia="黑体" w:cs="Times New Roman"/>
          <w:sz w:val="30"/>
          <w:lang w:eastAsia="zh-CN"/>
        </w:rPr>
        <w:t>资产管理情况</w:t>
      </w:r>
    </w:p>
    <w:p>
      <w:pPr>
        <w:numPr>
          <w:ilvl w:val="0"/>
          <w:numId w:val="0"/>
        </w:numPr>
        <w:spacing w:line="600" w:lineRule="exact"/>
        <w:rPr>
          <w:rFonts w:hint="eastAsia" w:eastAsia="仿宋_GB2312"/>
          <w:sz w:val="32"/>
          <w:szCs w:val="32"/>
          <w:lang w:val="en-US" w:eastAsia="zh-CN"/>
        </w:rPr>
      </w:pPr>
      <w:r>
        <w:rPr>
          <w:rFonts w:hint="eastAsia" w:ascii="Times New Roman" w:hAnsi="Times New Roman" w:eastAsia="黑体" w:cs="Times New Roman"/>
          <w:sz w:val="30"/>
          <w:lang w:val="en-US" w:eastAsia="zh-CN"/>
        </w:rPr>
        <w:t xml:space="preserve">   </w:t>
      </w:r>
      <w:r>
        <w:rPr>
          <w:rFonts w:hint="eastAsia" w:eastAsia="仿宋_GB2312"/>
          <w:sz w:val="32"/>
          <w:szCs w:val="32"/>
          <w:lang w:val="en-US" w:eastAsia="zh-CN"/>
        </w:rPr>
        <w:t xml:space="preserve"> 我局建立健全了相关资产管理制度，加强固定资产管理，及时登记、更新台账，加强资产卡片管理，年终前对各类实物资产进行全面盘点，确保账账、账实相符。2019年末固定资产为21.71万元，无流动资产、无形资产和在建工程等，固定资产主要为办公家具、电脑、复印机等电子办公设备。</w:t>
      </w:r>
    </w:p>
    <w:p>
      <w:pPr>
        <w:numPr>
          <w:ilvl w:val="0"/>
          <w:numId w:val="1"/>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部门（单位）整体支出绩效目标及开展情况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eastAsia="仿宋_GB2312"/>
          <w:sz w:val="32"/>
          <w:szCs w:val="32"/>
          <w:lang w:val="en-US" w:eastAsia="zh-CN"/>
        </w:rPr>
      </w:pPr>
      <w:r>
        <w:rPr>
          <w:rFonts w:hint="eastAsia" w:eastAsia="仿宋_GB2312"/>
          <w:sz w:val="32"/>
          <w:szCs w:val="32"/>
          <w:lang w:val="en-US" w:eastAsia="zh-CN"/>
        </w:rPr>
        <w:t>因我局为2019年3月新组建单位，无年初绩效目标。</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、部门（单位）整体支出绩效实现情况</w:t>
      </w:r>
    </w:p>
    <w:p>
      <w:pPr>
        <w:ind w:firstLine="640" w:firstLineChars="200"/>
        <w:rPr>
          <w:rFonts w:hint="default" w:eastAsia="仿宋_GB2312"/>
          <w:sz w:val="32"/>
          <w:szCs w:val="32"/>
          <w:lang w:val="en-US" w:eastAsia="zh-CN"/>
        </w:rPr>
      </w:pPr>
      <w:r>
        <w:rPr>
          <w:rFonts w:hint="default" w:eastAsia="仿宋_GB2312"/>
          <w:sz w:val="32"/>
          <w:szCs w:val="32"/>
          <w:lang w:val="en-US" w:eastAsia="zh-CN"/>
        </w:rPr>
        <w:t>（一）履职完成情况：从数量、质量、时效和成本等方面归纳反映年度主要计划任务完成情况。</w:t>
      </w:r>
    </w:p>
    <w:p>
      <w:pPr>
        <w:ind w:firstLine="640" w:firstLineChars="200"/>
        <w:rPr>
          <w:rFonts w:hint="eastAsia" w:eastAsia="仿宋_GB2312"/>
          <w:sz w:val="32"/>
          <w:szCs w:val="32"/>
          <w:lang w:val="en-US" w:eastAsia="zh-CN"/>
        </w:rPr>
      </w:pPr>
      <w:r>
        <w:rPr>
          <w:rFonts w:hint="eastAsia" w:eastAsia="仿宋_GB2312"/>
          <w:sz w:val="32"/>
          <w:szCs w:val="32"/>
          <w:lang w:val="en-US" w:eastAsia="zh-CN"/>
        </w:rPr>
        <w:t>1.抓参保缴费，提升保障覆盖面。我局加大对医疗保险政策的宣传，努力提高群众参保的积极性和主动性，确保实现“应参尽参”。截至11月底，我区城镇职工基本医疗保险参保人数103461人，基金收入58746万元；城乡居民医保参保420495人，基金财务收入24472.1万元。2019年度社会保险年审工作基本结束，保障了参保对象合法利益。</w:t>
      </w:r>
    </w:p>
    <w:p>
      <w:pPr>
        <w:ind w:firstLine="640" w:firstLineChars="200"/>
        <w:rPr>
          <w:rFonts w:hint="eastAsia" w:eastAsia="仿宋_GB2312"/>
          <w:sz w:val="32"/>
          <w:szCs w:val="32"/>
          <w:lang w:val="en-US" w:eastAsia="zh-CN"/>
        </w:rPr>
      </w:pPr>
      <w:r>
        <w:rPr>
          <w:rFonts w:hint="eastAsia" w:eastAsia="仿宋_GB2312"/>
          <w:sz w:val="32"/>
          <w:szCs w:val="32"/>
          <w:lang w:val="en-US" w:eastAsia="zh-CN"/>
        </w:rPr>
        <w:t>2.抓基金监管，保障基金安全。扎实开展打击欺诈骗取医疗保障基金专项行动，通过召开会议、专项检查、日常巡查、畅通举报投诉渠道等方式，营造打击欺诈骗保的高压态势。截</w:t>
      </w:r>
      <w:r>
        <w:rPr>
          <w:rFonts w:hint="eastAsia"/>
          <w:sz w:val="32"/>
          <w:szCs w:val="32"/>
          <w:lang w:val="en-US" w:eastAsia="zh-CN"/>
        </w:rPr>
        <w:t>至</w:t>
      </w:r>
      <w:r>
        <w:rPr>
          <w:rFonts w:hint="eastAsia" w:eastAsia="仿宋_GB2312"/>
          <w:sz w:val="32"/>
          <w:szCs w:val="32"/>
          <w:lang w:val="en-US" w:eastAsia="zh-CN"/>
        </w:rPr>
        <w:t>目前，共对辖区内定点医药机构进行集中检查350余次，根据协议及相关法律法规规定暂停1家医疗机构服务协议，下发整改通知20次，拒付医疗费用92万元，向公安机关移交1起欺诈案件，各定点医药机构经自查自纠主动退还医保基金79万元。</w:t>
      </w:r>
    </w:p>
    <w:p>
      <w:pPr>
        <w:ind w:firstLine="640" w:firstLineChars="200"/>
        <w:rPr>
          <w:rFonts w:hint="default" w:eastAsia="仿宋_GB2312"/>
          <w:sz w:val="32"/>
          <w:szCs w:val="32"/>
          <w:lang w:val="en-US" w:eastAsia="zh-CN"/>
        </w:rPr>
      </w:pPr>
      <w:r>
        <w:rPr>
          <w:rFonts w:hint="eastAsia" w:eastAsia="仿宋_GB2312"/>
          <w:sz w:val="32"/>
          <w:szCs w:val="32"/>
          <w:lang w:val="en-US" w:eastAsia="zh-CN"/>
        </w:rPr>
        <w:t>3.抓政策落实，提高保障水平。严格执行国家、省、市医疗保障相关政策，确保各项医保待遇及时落实到位。1-11月，我区城镇职工基本医疗保险待遇支出39513万元，城乡居民基本医疗保险待遇支出30002.33万元，受理初审通过特殊门诊申报1517人，办理异地就医备案336人次。落实贫困人口大病保险起付线降低50%、城乡居民医保报销比例提高10%、建档立卡贫困户住院救助比例提高至70%，实施健康扶贫“一站式”结算，1-11月共结算15399人次，综合保障待遇支出6191.87万元，综合保障待遇比例达89%。加强与区民政等部门的沟通联系，积极做好医疗救助工作，1-11月共办理医疗救助审批2113人次，发放医疗救助金1203.69万元。</w:t>
      </w:r>
    </w:p>
    <w:p>
      <w:pPr>
        <w:ind w:firstLine="640" w:firstLineChars="200"/>
        <w:rPr>
          <w:rFonts w:hint="default" w:eastAsia="仿宋_GB2312"/>
          <w:sz w:val="32"/>
          <w:szCs w:val="32"/>
          <w:lang w:val="en-US" w:eastAsia="zh-CN"/>
        </w:rPr>
      </w:pPr>
      <w:r>
        <w:rPr>
          <w:rFonts w:hint="default" w:eastAsia="仿宋_GB2312"/>
          <w:sz w:val="32"/>
          <w:szCs w:val="32"/>
          <w:lang w:val="en-US" w:eastAsia="zh-CN"/>
        </w:rPr>
        <w:t>（二）履职效果情况：</w:t>
      </w:r>
    </w:p>
    <w:p>
      <w:pPr>
        <w:ind w:firstLine="640" w:firstLineChars="200"/>
        <w:rPr>
          <w:rFonts w:hint="default" w:eastAsia="仿宋_GB2312"/>
          <w:sz w:val="32"/>
          <w:szCs w:val="32"/>
          <w:lang w:val="en-US" w:eastAsia="zh-CN"/>
        </w:rPr>
      </w:pPr>
      <w:r>
        <w:rPr>
          <w:rFonts w:hint="eastAsia" w:eastAsia="仿宋_GB2312"/>
          <w:sz w:val="32"/>
          <w:szCs w:val="32"/>
          <w:lang w:val="en-US" w:eastAsia="zh-CN"/>
        </w:rPr>
        <w:t>我局成立八个多月以来，紧紧围绕以人民为中心主线，广泛宣传应保尽保，严格监管保障安全，落实政策提高保障水平，优化流程利企便民。实现了职责平稳过渡，工作无缝对接，达到了“一开局就是高标准，一起步就是高水平”的目标。相关工作得到市、区领导的高度好评，2019年11月27日中共长沙市委办公厅《长沙要情》（第226期）以《望城区紧扣民生实事持续提升医疗保障服务水平》为题推介了我区医疗保障工作好的做法，《新湖南》（湖南日报融媒体平台）及《掌上长沙》（长沙晚报融媒体平台）及区级媒体多次正面报道我区医疗保障工作。</w:t>
      </w:r>
    </w:p>
    <w:p>
      <w:pPr>
        <w:ind w:firstLine="640" w:firstLineChars="200"/>
        <w:rPr>
          <w:rFonts w:hint="default" w:eastAsia="仿宋_GB2312"/>
          <w:sz w:val="32"/>
          <w:szCs w:val="32"/>
          <w:lang w:val="en-US" w:eastAsia="zh-CN"/>
        </w:rPr>
      </w:pPr>
      <w:r>
        <w:rPr>
          <w:rFonts w:hint="default" w:eastAsia="仿宋_GB2312"/>
          <w:sz w:val="32"/>
          <w:szCs w:val="32"/>
          <w:lang w:val="en-US" w:eastAsia="zh-CN"/>
        </w:rPr>
        <w:t>（三）社会满意度情况</w:t>
      </w:r>
      <w:r>
        <w:rPr>
          <w:rFonts w:hint="eastAsia" w:eastAsia="仿宋_GB2312"/>
          <w:sz w:val="32"/>
          <w:szCs w:val="32"/>
          <w:lang w:val="en-US" w:eastAsia="zh-CN"/>
        </w:rPr>
        <w:t>：社会公众和服务对象对我局履行职责满意度达到90%以上。</w:t>
      </w:r>
    </w:p>
    <w:p>
      <w:pPr>
        <w:ind w:firstLine="640" w:firstLineChars="200"/>
        <w:rPr>
          <w:rFonts w:hint="default" w:eastAsia="仿宋_GB2312"/>
          <w:sz w:val="32"/>
          <w:szCs w:val="32"/>
          <w:lang w:val="en-US" w:eastAsia="zh-CN"/>
        </w:rPr>
      </w:pPr>
      <w:r>
        <w:rPr>
          <w:rFonts w:hint="eastAsia" w:eastAsia="仿宋_GB2312"/>
          <w:sz w:val="32"/>
          <w:szCs w:val="32"/>
          <w:lang w:val="en-US" w:eastAsia="zh-CN"/>
        </w:rPr>
        <w:t>六</w:t>
      </w:r>
      <w:r>
        <w:rPr>
          <w:rFonts w:hint="default" w:eastAsia="仿宋_GB2312"/>
          <w:sz w:val="32"/>
          <w:szCs w:val="32"/>
          <w:lang w:val="en-US" w:eastAsia="zh-CN"/>
        </w:rPr>
        <w:t>、部门（单位）整体支出绩效中存在问题及改进措施</w:t>
      </w:r>
    </w:p>
    <w:p>
      <w:pPr>
        <w:ind w:firstLine="640" w:firstLineChars="200"/>
        <w:rPr>
          <w:rFonts w:hint="default" w:eastAsia="仿宋_GB2312"/>
          <w:sz w:val="32"/>
          <w:szCs w:val="32"/>
          <w:lang w:val="en-US" w:eastAsia="zh-CN"/>
        </w:rPr>
      </w:pPr>
      <w:r>
        <w:rPr>
          <w:rFonts w:hint="default" w:eastAsia="仿宋_GB2312"/>
          <w:sz w:val="32"/>
          <w:szCs w:val="32"/>
          <w:lang w:val="en-US" w:eastAsia="zh-CN"/>
        </w:rPr>
        <w:t>（一）主要问题及原因分析</w:t>
      </w:r>
    </w:p>
    <w:p>
      <w:pPr>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1、我局为新成立单位，无年初预算数，对预算安排是否足额还没把握，执行情况也无法掌握。</w:t>
      </w:r>
    </w:p>
    <w:p>
      <w:pPr>
        <w:ind w:firstLine="640" w:firstLineChars="200"/>
        <w:rPr>
          <w:rFonts w:hint="eastAsia" w:eastAsia="仿宋_GB2312"/>
          <w:sz w:val="32"/>
          <w:szCs w:val="32"/>
          <w:lang w:val="en-US" w:eastAsia="zh-CN"/>
        </w:rPr>
      </w:pPr>
      <w:r>
        <w:rPr>
          <w:rFonts w:hint="eastAsia" w:eastAsia="仿宋_GB2312"/>
          <w:sz w:val="32"/>
          <w:szCs w:val="32"/>
          <w:lang w:val="en-US" w:eastAsia="zh-CN"/>
        </w:rPr>
        <w:t>城乡医疗救助业务为民政局移交我局新职能，对于绩效评价还有待摸索。</w:t>
      </w:r>
    </w:p>
    <w:p>
      <w:pPr>
        <w:ind w:firstLine="640" w:firstLineChars="200"/>
        <w:rPr>
          <w:rFonts w:hint="default" w:eastAsia="仿宋_GB2312"/>
          <w:sz w:val="32"/>
          <w:szCs w:val="32"/>
          <w:lang w:val="en-US" w:eastAsia="zh-CN"/>
        </w:rPr>
      </w:pPr>
      <w:r>
        <w:rPr>
          <w:rFonts w:hint="eastAsia" w:eastAsia="仿宋_GB2312"/>
          <w:sz w:val="32"/>
          <w:szCs w:val="32"/>
          <w:lang w:val="en-US" w:eastAsia="zh-CN"/>
        </w:rPr>
        <w:t xml:space="preserve"> </w:t>
      </w:r>
      <w:r>
        <w:rPr>
          <w:rFonts w:hint="default" w:eastAsia="仿宋_GB2312"/>
          <w:sz w:val="32"/>
          <w:szCs w:val="32"/>
          <w:lang w:val="en-US" w:eastAsia="zh-CN"/>
        </w:rPr>
        <w:t>（二）改进的方向和具体措施</w:t>
      </w:r>
    </w:p>
    <w:p>
      <w:pPr>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1、学合理编制预算并严格执行预算。</w:t>
      </w:r>
    </w:p>
    <w:p>
      <w:pPr>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2、规范账务处理，提高财务信息质量</w:t>
      </w:r>
    </w:p>
    <w:p>
      <w:pPr>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3、完善管理制度，加强资产管理。</w:t>
      </w:r>
    </w:p>
    <w:p>
      <w:pPr>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4、加强与业务部门的衔接，更好的做好绩效评价工作。</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黑体" w:cs="Times New Roman"/>
          <w:sz w:val="30"/>
        </w:rPr>
        <w:t>七、其它需要说明的情况</w:t>
      </w:r>
    </w:p>
    <w:p>
      <w:pPr>
        <w:adjustRightInd w:val="0"/>
        <w:snapToGrid w:val="0"/>
        <w:spacing w:line="600" w:lineRule="exact"/>
        <w:jc w:val="left"/>
        <w:rPr>
          <w:rFonts w:hint="eastAsia" w:ascii="黑体" w:hAnsi="黑体" w:eastAsia="黑体"/>
        </w:rPr>
      </w:pPr>
    </w:p>
    <w:sectPr>
      <w:footerReference r:id="rId5" w:type="default"/>
      <w:footerReference r:id="rId6" w:type="even"/>
      <w:pgSz w:w="11906" w:h="16838"/>
      <w:pgMar w:top="1701" w:right="1587" w:bottom="1417" w:left="1701" w:header="851" w:footer="850"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14 -</w:t>
        </w:r>
        <w:r>
          <w:rPr>
            <w:rFonts w:hint="eastAsia" w:ascii="仿宋" w:hAnsi="仿宋" w:eastAsia="仿宋" w:cs="仿宋"/>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B4B43A"/>
    <w:multiLevelType w:val="singleLevel"/>
    <w:tmpl w:val="5EB4B43A"/>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1994AC7"/>
    <w:rsid w:val="024B7610"/>
    <w:rsid w:val="02904630"/>
    <w:rsid w:val="02DF2789"/>
    <w:rsid w:val="02ED0A04"/>
    <w:rsid w:val="03044238"/>
    <w:rsid w:val="032E23EC"/>
    <w:rsid w:val="03465690"/>
    <w:rsid w:val="03905C46"/>
    <w:rsid w:val="042F6008"/>
    <w:rsid w:val="047E57B2"/>
    <w:rsid w:val="052B6FA6"/>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1D6A2D"/>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A90915"/>
    <w:rsid w:val="19DB4F8D"/>
    <w:rsid w:val="1A485342"/>
    <w:rsid w:val="1A923EFD"/>
    <w:rsid w:val="1B6C03A2"/>
    <w:rsid w:val="1B786A66"/>
    <w:rsid w:val="1BF53D8E"/>
    <w:rsid w:val="1BF819CE"/>
    <w:rsid w:val="1C7601C5"/>
    <w:rsid w:val="1CA97AF2"/>
    <w:rsid w:val="1CB25BED"/>
    <w:rsid w:val="1CB41B1A"/>
    <w:rsid w:val="1CE90C78"/>
    <w:rsid w:val="1CEA21B3"/>
    <w:rsid w:val="1D3905C6"/>
    <w:rsid w:val="1D7A3BAE"/>
    <w:rsid w:val="1E107C25"/>
    <w:rsid w:val="1E4A7FBF"/>
    <w:rsid w:val="1E5C00D9"/>
    <w:rsid w:val="1E9D466A"/>
    <w:rsid w:val="1EFC20F3"/>
    <w:rsid w:val="1FEC1CBA"/>
    <w:rsid w:val="200B1359"/>
    <w:rsid w:val="215A56A0"/>
    <w:rsid w:val="21B43BB0"/>
    <w:rsid w:val="21F96A6E"/>
    <w:rsid w:val="22496209"/>
    <w:rsid w:val="22DF060E"/>
    <w:rsid w:val="23721411"/>
    <w:rsid w:val="23EA355D"/>
    <w:rsid w:val="240259F0"/>
    <w:rsid w:val="2404542C"/>
    <w:rsid w:val="24C92EFB"/>
    <w:rsid w:val="25057336"/>
    <w:rsid w:val="26AC1738"/>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74C2C25"/>
    <w:rsid w:val="382D255F"/>
    <w:rsid w:val="38E13268"/>
    <w:rsid w:val="398A2C9E"/>
    <w:rsid w:val="399455E7"/>
    <w:rsid w:val="3A254190"/>
    <w:rsid w:val="3A352FBB"/>
    <w:rsid w:val="3A5178B3"/>
    <w:rsid w:val="3A806E2F"/>
    <w:rsid w:val="3AA05DA1"/>
    <w:rsid w:val="3B572E86"/>
    <w:rsid w:val="3BA61585"/>
    <w:rsid w:val="3BF84B8E"/>
    <w:rsid w:val="3D182DAB"/>
    <w:rsid w:val="3E1F5C22"/>
    <w:rsid w:val="3E830F89"/>
    <w:rsid w:val="3F0F71F9"/>
    <w:rsid w:val="3F4D44A2"/>
    <w:rsid w:val="401A4AC8"/>
    <w:rsid w:val="413A1A82"/>
    <w:rsid w:val="41645C9E"/>
    <w:rsid w:val="41D40AF0"/>
    <w:rsid w:val="422E642A"/>
    <w:rsid w:val="42AA4376"/>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71230A4"/>
    <w:rsid w:val="488D2675"/>
    <w:rsid w:val="49272AA2"/>
    <w:rsid w:val="49291172"/>
    <w:rsid w:val="49607176"/>
    <w:rsid w:val="49A95F2D"/>
    <w:rsid w:val="4A814816"/>
    <w:rsid w:val="4B8511B1"/>
    <w:rsid w:val="4BB6088A"/>
    <w:rsid w:val="4BB827F5"/>
    <w:rsid w:val="4C187A31"/>
    <w:rsid w:val="4C76314B"/>
    <w:rsid w:val="4DBD75E9"/>
    <w:rsid w:val="4DD06F9E"/>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B22F83"/>
    <w:rsid w:val="53FA2113"/>
    <w:rsid w:val="540D038A"/>
    <w:rsid w:val="5436759C"/>
    <w:rsid w:val="54ED5A51"/>
    <w:rsid w:val="550263DC"/>
    <w:rsid w:val="55BC1EC4"/>
    <w:rsid w:val="55C142CB"/>
    <w:rsid w:val="56582F22"/>
    <w:rsid w:val="56752DE7"/>
    <w:rsid w:val="568561B4"/>
    <w:rsid w:val="56892492"/>
    <w:rsid w:val="56A528B0"/>
    <w:rsid w:val="56C12B9A"/>
    <w:rsid w:val="57207F2B"/>
    <w:rsid w:val="575E3CF1"/>
    <w:rsid w:val="57CD2AF8"/>
    <w:rsid w:val="58624883"/>
    <w:rsid w:val="5876656F"/>
    <w:rsid w:val="587C7EE0"/>
    <w:rsid w:val="589F323B"/>
    <w:rsid w:val="5AEC7300"/>
    <w:rsid w:val="5B1D3134"/>
    <w:rsid w:val="5BF52CEA"/>
    <w:rsid w:val="5BFD230E"/>
    <w:rsid w:val="5C5F7FEA"/>
    <w:rsid w:val="5DB57C4A"/>
    <w:rsid w:val="5E897730"/>
    <w:rsid w:val="5F7A40DF"/>
    <w:rsid w:val="600568D2"/>
    <w:rsid w:val="602F3DB0"/>
    <w:rsid w:val="603170D9"/>
    <w:rsid w:val="6070571A"/>
    <w:rsid w:val="60CB750C"/>
    <w:rsid w:val="61407584"/>
    <w:rsid w:val="616F3B21"/>
    <w:rsid w:val="61F50E1D"/>
    <w:rsid w:val="631F6053"/>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9276DD"/>
    <w:rsid w:val="71AA6732"/>
    <w:rsid w:val="72731832"/>
    <w:rsid w:val="729B682C"/>
    <w:rsid w:val="72EC1F71"/>
    <w:rsid w:val="73397D9F"/>
    <w:rsid w:val="743A1952"/>
    <w:rsid w:val="743E5A3B"/>
    <w:rsid w:val="74450323"/>
    <w:rsid w:val="74A34CB4"/>
    <w:rsid w:val="74BD6245"/>
    <w:rsid w:val="763B471A"/>
    <w:rsid w:val="76CB3BBF"/>
    <w:rsid w:val="77B33392"/>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uiPriority="99" w:name="HTML Preformatted"/>
    <w:lsdException w:uiPriority="99" w:name="HTML Sample"/>
    <w:lsdException w:uiPriority="99" w:name="HTML Typewriter"/>
    <w:lsdException w:qFormat="1" w:uiPriority="99" w:semiHidden="0"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Date"/>
    <w:basedOn w:val="1"/>
    <w:next w:val="1"/>
    <w:link w:val="21"/>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20"/>
    <w:unhideWhenUsed/>
    <w:qFormat/>
    <w:uiPriority w:val="99"/>
    <w:pPr>
      <w:spacing w:line="240" w:lineRule="auto"/>
    </w:pPr>
    <w:rPr>
      <w:sz w:val="18"/>
      <w:szCs w:val="18"/>
    </w:rPr>
  </w:style>
  <w:style w:type="paragraph" w:styleId="4">
    <w:name w:val="footer"/>
    <w:basedOn w:val="1"/>
    <w:link w:val="19"/>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8"/>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qFormat/>
    <w:uiPriority w:val="0"/>
  </w:style>
  <w:style w:type="character" w:styleId="9">
    <w:name w:val="FollowedHyperlink"/>
    <w:basedOn w:val="7"/>
    <w:unhideWhenUsed/>
    <w:qFormat/>
    <w:uiPriority w:val="99"/>
    <w:rPr>
      <w:color w:val="4C4C4C"/>
      <w:u w:val="none"/>
    </w:rPr>
  </w:style>
  <w:style w:type="character" w:styleId="10">
    <w:name w:val="Emphasis"/>
    <w:basedOn w:val="7"/>
    <w:qFormat/>
    <w:locked/>
    <w:uiPriority w:val="0"/>
  </w:style>
  <w:style w:type="character" w:styleId="11">
    <w:name w:val="HTML Definition"/>
    <w:basedOn w:val="7"/>
    <w:unhideWhenUsed/>
    <w:qFormat/>
    <w:uiPriority w:val="99"/>
  </w:style>
  <w:style w:type="character" w:styleId="12">
    <w:name w:val="HTML Acronym"/>
    <w:basedOn w:val="7"/>
    <w:unhideWhenUsed/>
    <w:qFormat/>
    <w:uiPriority w:val="99"/>
  </w:style>
  <w:style w:type="character" w:styleId="13">
    <w:name w:val="HTML Variable"/>
    <w:basedOn w:val="7"/>
    <w:unhideWhenUsed/>
    <w:qFormat/>
    <w:uiPriority w:val="99"/>
  </w:style>
  <w:style w:type="character" w:styleId="14">
    <w:name w:val="Hyperlink"/>
    <w:basedOn w:val="7"/>
    <w:unhideWhenUsed/>
    <w:qFormat/>
    <w:uiPriority w:val="99"/>
    <w:rPr>
      <w:color w:val="4C4C4C"/>
      <w:u w:val="none"/>
    </w:rPr>
  </w:style>
  <w:style w:type="character" w:styleId="15">
    <w:name w:val="HTML Code"/>
    <w:basedOn w:val="7"/>
    <w:unhideWhenUsed/>
    <w:qFormat/>
    <w:uiPriority w:val="99"/>
    <w:rPr>
      <w:rFonts w:ascii="微软雅黑" w:hAnsi="微软雅黑" w:eastAsia="微软雅黑" w:cs="微软雅黑"/>
      <w:color w:val="4C4C4C"/>
      <w:sz w:val="16"/>
      <w:szCs w:val="16"/>
    </w:rPr>
  </w:style>
  <w:style w:type="character" w:styleId="16">
    <w:name w:val="HTML Cite"/>
    <w:basedOn w:val="7"/>
    <w:unhideWhenUsed/>
    <w:qFormat/>
    <w:uiPriority w:val="99"/>
  </w:style>
  <w:style w:type="paragraph" w:customStyle="1" w:styleId="17">
    <w:name w:val="Char"/>
    <w:basedOn w:val="1"/>
    <w:qFormat/>
    <w:uiPriority w:val="99"/>
    <w:pPr>
      <w:spacing w:line="240" w:lineRule="auto"/>
    </w:pPr>
    <w:rPr>
      <w:rFonts w:ascii="Times New Roman" w:hAnsi="Times New Roman" w:eastAsia="宋体"/>
      <w:sz w:val="21"/>
      <w:szCs w:val="20"/>
    </w:rPr>
  </w:style>
  <w:style w:type="character" w:customStyle="1" w:styleId="18">
    <w:name w:val="页眉 Char"/>
    <w:link w:val="5"/>
    <w:qFormat/>
    <w:locked/>
    <w:uiPriority w:val="99"/>
    <w:rPr>
      <w:rFonts w:ascii="仿宋_GB2312" w:hAnsi="Calibri" w:eastAsia="仿宋_GB2312" w:cs="Times New Roman"/>
      <w:sz w:val="18"/>
      <w:szCs w:val="18"/>
    </w:rPr>
  </w:style>
  <w:style w:type="character" w:customStyle="1" w:styleId="19">
    <w:name w:val="页脚 Char"/>
    <w:link w:val="4"/>
    <w:qFormat/>
    <w:locked/>
    <w:uiPriority w:val="99"/>
    <w:rPr>
      <w:rFonts w:ascii="仿宋_GB2312" w:hAnsi="Calibri" w:eastAsia="仿宋_GB2312" w:cs="Times New Roman"/>
      <w:sz w:val="18"/>
      <w:szCs w:val="18"/>
    </w:rPr>
  </w:style>
  <w:style w:type="character" w:customStyle="1" w:styleId="20">
    <w:name w:val="批注框文本 Char"/>
    <w:link w:val="3"/>
    <w:semiHidden/>
    <w:qFormat/>
    <w:uiPriority w:val="99"/>
    <w:rPr>
      <w:rFonts w:ascii="仿宋_GB2312" w:eastAsia="仿宋_GB2312"/>
      <w:kern w:val="2"/>
      <w:sz w:val="18"/>
      <w:szCs w:val="18"/>
    </w:rPr>
  </w:style>
  <w:style w:type="character" w:customStyle="1" w:styleId="21">
    <w:name w:val="日期 Char"/>
    <w:link w:val="2"/>
    <w:semiHidden/>
    <w:qFormat/>
    <w:locked/>
    <w:uiPriority w:val="99"/>
    <w:rPr>
      <w:rFonts w:ascii="Times New Roman" w:hAnsi="Times New Roman"/>
      <w:sz w:val="24"/>
      <w:szCs w:val="24"/>
    </w:rPr>
  </w:style>
  <w:style w:type="character" w:customStyle="1" w:styleId="22">
    <w:name w:val="日期 Char1"/>
    <w:basedOn w:val="7"/>
    <w:semiHidden/>
    <w:qFormat/>
    <w:uiPriority w:val="99"/>
    <w:rPr>
      <w:rFonts w:ascii="仿宋_GB2312" w:eastAsia="仿宋_GB2312"/>
      <w:kern w:val="2"/>
      <w:sz w:val="32"/>
      <w:szCs w:val="32"/>
    </w:rPr>
  </w:style>
  <w:style w:type="character" w:customStyle="1" w:styleId="23">
    <w:name w:val="dropselect_box"/>
    <w:basedOn w:val="7"/>
    <w:qFormat/>
    <w:uiPriority w:val="0"/>
    <w:rPr>
      <w:bdr w:val="single" w:color="D1D1D1" w:sz="4" w:space="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1</TotalTime>
  <ScaleCrop>false</ScaleCrop>
  <LinksUpToDate>false</LinksUpToDate>
  <CharactersWithSpaces>9497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YY</cp:lastModifiedBy>
  <cp:lastPrinted>2020-05-13T07:09:00Z</cp:lastPrinted>
  <dcterms:modified xsi:type="dcterms:W3CDTF">2021-05-17T01:43:38Z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769CA2085E7B44789698BC34AA4F9619</vt:lpwstr>
  </property>
</Properties>
</file>