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rPr>
          <w:rFonts w:ascii="Times New Roman" w:hAnsi="Times New Roman"/>
          <w:kern w:val="0"/>
        </w:rPr>
      </w:pPr>
    </w:p>
    <w:p>
      <w:pPr>
        <w:jc w:val="center"/>
        <w:rPr>
          <w:rFonts w:ascii="宋体" w:hAnsi="宋体" w:eastAsia="宋体" w:cs="Arial"/>
          <w:b/>
          <w:bCs/>
          <w:sz w:val="36"/>
          <w:szCs w:val="36"/>
        </w:rPr>
      </w:pPr>
    </w:p>
    <w:p>
      <w:pPr>
        <w:jc w:val="center"/>
        <w:rPr>
          <w:rFonts w:ascii="黑体" w:hAnsi="黑体" w:eastAsia="黑体" w:cs="黑体"/>
          <w:sz w:val="44"/>
          <w:szCs w:val="44"/>
        </w:rPr>
      </w:pPr>
      <w:r>
        <w:rPr>
          <w:rFonts w:hint="eastAsia" w:ascii="黑体" w:hAnsi="黑体" w:eastAsia="黑体" w:cs="黑体"/>
          <w:sz w:val="44"/>
          <w:szCs w:val="44"/>
        </w:rPr>
        <w:t>长沙市望城区城乡居民医疗支出绩效报告</w:t>
      </w:r>
    </w:p>
    <w:p>
      <w:pPr>
        <w:spacing w:line="540" w:lineRule="exact"/>
        <w:ind w:firstLine="600" w:firstLineChars="200"/>
        <w:rPr>
          <w:rFonts w:ascii="黑体" w:hAnsi="黑体" w:eastAsia="黑体"/>
          <w:sz w:val="30"/>
          <w:szCs w:val="30"/>
        </w:rPr>
      </w:pPr>
    </w:p>
    <w:p>
      <w:pPr>
        <w:spacing w:line="540" w:lineRule="exact"/>
        <w:rPr>
          <w:rFonts w:ascii="黑体" w:hAnsi="黑体" w:eastAsia="黑体"/>
          <w:sz w:val="30"/>
          <w:szCs w:val="30"/>
        </w:rPr>
      </w:pPr>
      <w:r>
        <w:rPr>
          <w:rFonts w:hint="eastAsia" w:ascii="黑体" w:hAnsi="黑体" w:eastAsia="黑体"/>
          <w:sz w:val="30"/>
          <w:szCs w:val="30"/>
        </w:rPr>
        <w:t>一、基本情况</w:t>
      </w:r>
    </w:p>
    <w:p>
      <w:pPr>
        <w:ind w:firstLine="640" w:firstLineChars="200"/>
      </w:pPr>
      <w:r>
        <w:rPr>
          <w:rFonts w:hint="eastAsia"/>
        </w:rPr>
        <w:t>根据相关政策要求，我局依据绩效自评指标计分表</w:t>
      </w:r>
      <w:r>
        <w:t>,</w:t>
      </w:r>
      <w:r>
        <w:rPr>
          <w:rFonts w:hint="eastAsia"/>
        </w:rPr>
        <w:t>逐条逐项对照自查自评，并进行综合评价</w:t>
      </w:r>
      <w:r>
        <w:t>,</w:t>
      </w:r>
      <w:r>
        <w:rPr>
          <w:rFonts w:hint="eastAsia"/>
          <w:lang w:eastAsia="zh-CN"/>
        </w:rPr>
        <w:t>梳理</w:t>
      </w:r>
      <w:bookmarkStart w:id="0" w:name="_GoBack"/>
      <w:bookmarkEnd w:id="0"/>
      <w:r>
        <w:rPr>
          <w:rFonts w:hint="eastAsia"/>
        </w:rPr>
        <w:t>问题，明确方向，以进一步规范财政资金管理，发挥城乡居民医疗保险补助资金使用效益，更加扎实有效地做好医疗保险工作。现将我局城乡居民医疗保险财政补助资金项目绩效评价情况报告如下：</w:t>
      </w:r>
    </w:p>
    <w:p>
      <w:pPr>
        <w:rPr>
          <w:b/>
        </w:rPr>
      </w:pPr>
      <w:r>
        <w:rPr>
          <w:b/>
        </w:rPr>
        <w:t>二、绩效目标完成情况</w:t>
      </w:r>
      <w:r>
        <w:rPr>
          <w:rFonts w:hint="eastAsia"/>
          <w:b/>
        </w:rPr>
        <w:t>分析</w:t>
      </w:r>
    </w:p>
    <w:p>
      <w:pPr>
        <w:ind w:firstLine="640" w:firstLineChars="200"/>
        <w:outlineLvl w:val="0"/>
      </w:pPr>
      <w:r>
        <w:rPr>
          <w:rFonts w:hint="eastAsia"/>
        </w:rPr>
        <w:t>（一）资金投入情况</w:t>
      </w:r>
    </w:p>
    <w:p>
      <w:pPr>
        <w:ind w:firstLine="640" w:firstLineChars="200"/>
        <w:outlineLvl w:val="0"/>
      </w:pPr>
      <w:r>
        <w:t>1</w:t>
      </w:r>
      <w:r>
        <w:rPr>
          <w:rFonts w:hint="eastAsia"/>
        </w:rPr>
        <w:t>、资金到位情况</w:t>
      </w:r>
    </w:p>
    <w:p>
      <w:pPr>
        <w:ind w:firstLine="640" w:firstLineChars="200"/>
        <w:outlineLvl w:val="0"/>
      </w:pPr>
      <w:r>
        <w:rPr>
          <w:rFonts w:hint="eastAsia"/>
        </w:rPr>
        <w:t>2019年</w:t>
      </w:r>
      <w:r>
        <w:rPr>
          <w:rFonts w:hint="eastAsia"/>
          <w:bCs/>
        </w:rPr>
        <w:t>望城区</w:t>
      </w:r>
      <w:r>
        <w:rPr>
          <w:rFonts w:hint="eastAsia" w:hAnsi="华文中宋"/>
          <w:bCs/>
        </w:rPr>
        <w:t>城乡居民医疗保险区级财政补助项目</w:t>
      </w:r>
      <w:r>
        <w:rPr>
          <w:rFonts w:hint="eastAsia"/>
        </w:rPr>
        <w:t>到位</w:t>
      </w:r>
      <w:r>
        <w:t>合计</w:t>
      </w:r>
      <w:r>
        <w:rPr>
          <w:rFonts w:hint="eastAsia" w:hAnsi="华文中宋"/>
          <w:bCs/>
        </w:rPr>
        <w:t>4115万元</w:t>
      </w:r>
      <w:r>
        <w:t>。资金到位情况如下：</w:t>
      </w:r>
    </w:p>
    <w:p>
      <w:pPr>
        <w:ind w:firstLine="640" w:firstLineChars="200"/>
      </w:pPr>
      <w:r>
        <w:t>201</w:t>
      </w:r>
      <w:r>
        <w:rPr>
          <w:rFonts w:hint="eastAsia"/>
        </w:rPr>
        <w:t>9年区</w:t>
      </w:r>
      <w:r>
        <w:rPr>
          <w:rFonts w:hint="eastAsia"/>
          <w:bCs/>
        </w:rPr>
        <w:t>级</w:t>
      </w:r>
      <w:r>
        <w:rPr>
          <w:rFonts w:hint="eastAsia"/>
        </w:rPr>
        <w:t>财政补助城乡居民基本医疗保险财政资金为</w:t>
      </w:r>
      <w:r>
        <w:rPr>
          <w:rFonts w:hint="eastAsia" w:asciiTheme="minorEastAsia" w:hAnsiTheme="minorEastAsia" w:eastAsiaTheme="minorEastAsia" w:cstheme="minorEastAsia"/>
        </w:rPr>
        <w:t>4115</w:t>
      </w:r>
      <w:r>
        <w:rPr>
          <w:rFonts w:hint="eastAsia"/>
        </w:rPr>
        <w:t>万元，均已足额划入社保基金财政专户。</w:t>
      </w:r>
    </w:p>
    <w:p>
      <w:pPr>
        <w:ind w:firstLine="640" w:firstLineChars="200"/>
        <w:outlineLvl w:val="0"/>
      </w:pPr>
      <w:r>
        <w:t>2</w:t>
      </w:r>
      <w:r>
        <w:rPr>
          <w:rFonts w:hint="eastAsia"/>
        </w:rPr>
        <w:t>、资金执行情况</w:t>
      </w:r>
    </w:p>
    <w:p>
      <w:pPr>
        <w:ind w:firstLine="640" w:firstLineChars="200"/>
        <w:outlineLvl w:val="0"/>
      </w:pPr>
      <w:r>
        <w:rPr>
          <w:rFonts w:hint="eastAsia"/>
        </w:rPr>
        <w:t>项目</w:t>
      </w:r>
      <w:r>
        <w:t>201</w:t>
      </w:r>
      <w:r>
        <w:rPr>
          <w:rFonts w:hint="eastAsia"/>
        </w:rPr>
        <w:t>9年累计使用资金4115万元，资金用途为支付城乡居民医保住院、门诊、大病医疗等报销费用。</w:t>
      </w:r>
    </w:p>
    <w:p>
      <w:pPr>
        <w:ind w:firstLine="642"/>
        <w:rPr>
          <w:bCs/>
        </w:rPr>
      </w:pPr>
      <w:r>
        <w:rPr>
          <w:rFonts w:hint="eastAsia"/>
          <w:bCs/>
        </w:rPr>
        <w:t>3、资金管理情况</w:t>
      </w:r>
    </w:p>
    <w:p>
      <w:pPr>
        <w:ind w:firstLine="640" w:firstLineChars="200"/>
      </w:pPr>
      <w:r>
        <w:rPr>
          <w:rFonts w:hint="eastAsia"/>
        </w:rPr>
        <w:t>严格财务管理制度。对城乡居民医保基金严格按照财务制度实行收支两条线管理，基金纳入社会保障基金财政专户，单独列账，分别核算，坚决杜绝挤占截留挪用资金情况的发生；及时准确地编制财务报表和统计报表，积极推进业务系统与财务系统的无缝对接</w:t>
      </w:r>
      <w:r>
        <w:t>,</w:t>
      </w:r>
      <w:r>
        <w:rPr>
          <w:rFonts w:hint="eastAsia"/>
        </w:rPr>
        <w:t>有效的提高数据的准确性，确保基金安全。</w:t>
      </w:r>
    </w:p>
    <w:p>
      <w:pPr>
        <w:ind w:firstLine="640" w:firstLineChars="200"/>
      </w:pPr>
      <w:r>
        <w:rPr>
          <w:rFonts w:hint="eastAsia"/>
        </w:rPr>
        <w:t>强化日常审核。在医疗费用审核支付过程中，严格实行“两岗两审制度”，定点医疗机构及异地就医参保人员上报的每一笔医疗费用，都必须经过业务初审和审核、财务初审和审核、主管领导审核等</w:t>
      </w:r>
      <w:r>
        <w:t>5</w:t>
      </w:r>
      <w:r>
        <w:rPr>
          <w:rFonts w:hint="eastAsia"/>
        </w:rPr>
        <w:t>道审核程序，对异常问题进行分析，提交监管部门进行现场检查核对，避免项目资金不合理流失。一是严格把好各项费用报账审核关，凡不符合医保规定的费用，坚决不予审批报销。二是严格把好特殊门诊审批关，从源头上减少和避免医保基金的浪费与流失。三是加强异地审核，完善和提高日常医疗监管能力。</w:t>
      </w:r>
    </w:p>
    <w:p>
      <w:pPr>
        <w:ind w:firstLine="640" w:firstLineChars="200"/>
      </w:pPr>
      <w:r>
        <w:rPr>
          <w:rFonts w:hint="eastAsia"/>
        </w:rPr>
        <w:t>加大医疗监管力度。</w:t>
      </w:r>
      <w:r>
        <w:rPr>
          <w:rFonts w:hint="eastAsia" w:hAnsi="仿宋_GB2312" w:cs="仿宋_GB2312"/>
        </w:rPr>
        <w:t>健全医疗监管联动机制，区县（市）医保和市医保经办管理机构实现上下联动，协同监管；创新监管方式，与商保公司建立联合监管机制，委托商保公司对我市协议医疗机构进行日常监管，通过每天巡查的方式，进一步规范协议医疗机构医疗服务行为。</w:t>
      </w:r>
    </w:p>
    <w:p>
      <w:pPr>
        <w:ind w:firstLine="642"/>
        <w:rPr>
          <w:bCs/>
        </w:rPr>
      </w:pPr>
      <w:r>
        <w:rPr>
          <w:rFonts w:hint="eastAsia"/>
          <w:bCs/>
        </w:rPr>
        <w:t>（二）总体绩效目标完成情况分析</w:t>
      </w:r>
    </w:p>
    <w:p>
      <w:pPr>
        <w:ind w:firstLine="640" w:firstLineChars="200"/>
        <w:outlineLvl w:val="0"/>
      </w:pPr>
      <w:r>
        <w:rPr>
          <w:bCs/>
        </w:rPr>
        <w:t>严格按照《社会保险法》、《预算法》及绩效管理工作有关规定，客观评价资金使用绩效，规范财政资金管理，加强财政资金使用监督，提高资金使用社会效益，防止财经违纪问题发生，让城乡居民医保基金得到充分利用</w:t>
      </w:r>
      <w:r>
        <w:rPr>
          <w:rFonts w:hint="eastAsia"/>
          <w:bCs/>
        </w:rPr>
        <w:t>。</w:t>
      </w:r>
      <w:r>
        <w:rPr>
          <w:rFonts w:hint="eastAsia"/>
        </w:rPr>
        <w:t>2019年全区城乡居民享受各类待遇合计201905人次，医疗待遇享受面达47.86%（享受人次/参保人数），次均基金支付1770元；其中普通住院88795人次，次均基金支付3525元，</w:t>
      </w:r>
      <w:r>
        <w:rPr>
          <w:bCs/>
        </w:rPr>
        <w:t>有效地缓解我</w:t>
      </w:r>
      <w:r>
        <w:rPr>
          <w:rFonts w:hint="eastAsia"/>
          <w:bCs/>
        </w:rPr>
        <w:t>区</w:t>
      </w:r>
      <w:r>
        <w:rPr>
          <w:bCs/>
        </w:rPr>
        <w:t>城乡居民“看病难，看病贵”的问题，切实减轻城乡居民医疗负担。</w:t>
      </w:r>
    </w:p>
    <w:p>
      <w:pPr>
        <w:ind w:firstLine="642"/>
        <w:rPr>
          <w:bCs/>
        </w:rPr>
      </w:pPr>
      <w:r>
        <w:rPr>
          <w:rFonts w:hint="eastAsia"/>
          <w:bCs/>
        </w:rPr>
        <w:t>（三）</w:t>
      </w:r>
      <w:r>
        <w:rPr>
          <w:bCs/>
        </w:rPr>
        <w:t>绩效指标完成情况分析</w:t>
      </w:r>
    </w:p>
    <w:p>
      <w:pPr>
        <w:ind w:firstLine="640" w:firstLineChars="200"/>
      </w:pPr>
      <w:r>
        <w:t>1.</w:t>
      </w:r>
      <w:r>
        <w:rPr>
          <w:rFonts w:hint="eastAsia"/>
        </w:rPr>
        <w:t>项目经济性分析</w:t>
      </w:r>
      <w:r>
        <w:tab/>
      </w:r>
      <w:r>
        <w:tab/>
      </w:r>
    </w:p>
    <w:p>
      <w:pPr>
        <w:ind w:firstLine="640" w:firstLineChars="200"/>
      </w:pPr>
      <w:r>
        <w:rPr>
          <w:rFonts w:hint="eastAsia"/>
        </w:rPr>
        <w:t>项目</w:t>
      </w:r>
      <w:r>
        <w:t>201</w:t>
      </w:r>
      <w:r>
        <w:rPr>
          <w:rFonts w:hint="eastAsia"/>
        </w:rPr>
        <w:t>9年财政</w:t>
      </w:r>
      <w:r>
        <w:t>补助</w:t>
      </w:r>
      <w:r>
        <w:rPr>
          <w:rFonts w:hint="eastAsia"/>
        </w:rPr>
        <w:t>资金到位4115万元（其中城居医疗财政配套个人补助资金为3818万元、80周岁配套个人补助资金297万元），支出4115万元，实现收支平衡。</w:t>
      </w:r>
    </w:p>
    <w:p>
      <w:pPr>
        <w:ind w:firstLine="640" w:firstLineChars="200"/>
      </w:pPr>
      <w:r>
        <w:t>2.</w:t>
      </w:r>
      <w:r>
        <w:rPr>
          <w:rFonts w:hint="eastAsia"/>
        </w:rPr>
        <w:t>项目的效率性分析</w:t>
      </w:r>
    </w:p>
    <w:p>
      <w:pPr>
        <w:ind w:firstLine="640" w:firstLineChars="200"/>
      </w:pPr>
      <w:r>
        <w:rPr>
          <w:rFonts w:hint="eastAsia"/>
        </w:rPr>
        <w:t>本项目按实施方案要求完成任务，各级资金拨付及时到位，资金管理严谨有序，保证了年度内项目良好进行。</w:t>
      </w:r>
    </w:p>
    <w:p>
      <w:pPr>
        <w:ind w:firstLine="640" w:firstLineChars="200"/>
      </w:pPr>
      <w:r>
        <w:t>3.</w:t>
      </w:r>
      <w:r>
        <w:rPr>
          <w:rFonts w:hint="eastAsia"/>
        </w:rPr>
        <w:t>项目的效益性分析</w:t>
      </w:r>
    </w:p>
    <w:p>
      <w:pPr>
        <w:ind w:firstLine="640" w:firstLineChars="200"/>
      </w:pPr>
      <w:r>
        <w:t>201</w:t>
      </w:r>
      <w:r>
        <w:rPr>
          <w:rFonts w:hint="eastAsia"/>
        </w:rPr>
        <w:t>9年城乡居民医疗保险参保缴费人员共42.18万人，参保率达</w:t>
      </w:r>
      <w:r>
        <w:t>9</w:t>
      </w:r>
      <w:r>
        <w:rPr>
          <w:rFonts w:hint="eastAsia"/>
        </w:rPr>
        <w:t>5</w:t>
      </w:r>
      <w:r>
        <w:t>%</w:t>
      </w:r>
      <w:r>
        <w:rPr>
          <w:rFonts w:hint="eastAsia"/>
        </w:rPr>
        <w:t>以上，其中6月底前参保缴费人员共41.71万人。</w:t>
      </w:r>
    </w:p>
    <w:p>
      <w:pPr>
        <w:ind w:firstLine="640" w:firstLineChars="200"/>
      </w:pPr>
      <w:r>
        <w:t>201</w:t>
      </w:r>
      <w:r>
        <w:rPr>
          <w:rFonts w:hint="eastAsia"/>
        </w:rPr>
        <w:t>9年城乡居民财政补助标准从每人每年490元提高到每人每年520元。</w:t>
      </w:r>
    </w:p>
    <w:p>
      <w:pPr>
        <w:ind w:firstLine="640" w:firstLineChars="200"/>
      </w:pPr>
      <w:r>
        <w:rPr>
          <w:rFonts w:hint="eastAsia"/>
        </w:rPr>
        <w:t>全年住院（含单病种）共补偿104102人次，享受门诊统筹74661人次，享受特殊门诊待遇18901人次。</w:t>
      </w:r>
    </w:p>
    <w:p>
      <w:pPr>
        <w:ind w:firstLine="640" w:firstLineChars="200"/>
      </w:pPr>
      <w:r>
        <w:rPr>
          <w:rFonts w:hint="eastAsia"/>
        </w:rPr>
        <w:t>各统筹区城乡居民住院医疗费用报销比例同当地政策保持一致。全年普通住院政策内报销比例达62.21</w:t>
      </w:r>
      <w:r>
        <w:t>%</w:t>
      </w:r>
      <w:r>
        <w:rPr>
          <w:rFonts w:hint="eastAsia"/>
        </w:rPr>
        <w:t>。</w:t>
      </w:r>
    </w:p>
    <w:p>
      <w:pPr>
        <w:ind w:firstLine="640" w:firstLineChars="200"/>
      </w:pPr>
      <w:r>
        <w:rPr>
          <w:rFonts w:hint="eastAsia"/>
        </w:rPr>
        <w:t>项目的良好运行发挥了良好的社会效益，切实减轻了城乡居民医疗费用负担，有效解决了</w:t>
      </w:r>
      <w:r>
        <w:t xml:space="preserve"> </w:t>
      </w:r>
      <w:r>
        <w:rPr>
          <w:rFonts w:hint="eastAsia"/>
        </w:rPr>
        <w:t>“因病致贫，因病返贫”的后顾之忧，使城乡居民充分享受到改革开放发展成果，促进社会公平、和谐稳定。</w:t>
      </w:r>
    </w:p>
    <w:p>
      <w:pPr>
        <w:rPr>
          <w:b/>
        </w:rPr>
      </w:pPr>
      <w:r>
        <w:rPr>
          <w:rFonts w:hint="eastAsia"/>
          <w:b/>
        </w:rPr>
        <w:t>三、</w:t>
      </w:r>
      <w:r>
        <w:rPr>
          <w:b/>
        </w:rPr>
        <w:t>偏离绩效目标的原因和下一步改进措施</w:t>
      </w:r>
    </w:p>
    <w:p>
      <w:pPr>
        <w:ind w:firstLine="642"/>
        <w:rPr>
          <w:bCs/>
        </w:rPr>
      </w:pPr>
      <w:r>
        <w:rPr>
          <w:rFonts w:hint="eastAsia"/>
          <w:bCs/>
        </w:rPr>
        <w:t>无</w:t>
      </w:r>
    </w:p>
    <w:p>
      <w:pPr>
        <w:rPr>
          <w:b/>
        </w:rPr>
      </w:pPr>
      <w:r>
        <w:rPr>
          <w:rFonts w:hint="eastAsia"/>
          <w:b/>
        </w:rPr>
        <w:t>四、绩效自评结果</w:t>
      </w:r>
    </w:p>
    <w:p>
      <w:pPr>
        <w:ind w:firstLine="642"/>
        <w:rPr>
          <w:bCs/>
        </w:rPr>
      </w:pPr>
      <w:r>
        <w:rPr>
          <w:bCs/>
        </w:rPr>
        <w:t>2019年度项目整体运行优秀</w:t>
      </w:r>
      <w:r>
        <w:rPr>
          <w:rFonts w:hint="eastAsia"/>
          <w:bCs/>
        </w:rPr>
        <w:t>。</w:t>
      </w:r>
    </w:p>
    <w:p>
      <w:pPr>
        <w:ind w:firstLine="640" w:firstLineChars="200"/>
      </w:pPr>
    </w:p>
    <w:p>
      <w:pPr>
        <w:spacing w:line="20" w:lineRule="exact"/>
        <w:rPr>
          <w:rFonts w:ascii="黑体" w:hAnsi="黑体" w:eastAsia="黑体"/>
        </w:rPr>
      </w:pPr>
      <w:r>
        <w:rPr>
          <w:rFonts w:hint="eastAsia"/>
        </w:rPr>
        <w:t xml:space="preserve">                         </w:t>
      </w: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tbl>
      <w:tblPr>
        <w:tblStyle w:val="6"/>
        <w:tblW w:w="892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0"/>
        <w:gridCol w:w="700"/>
        <w:gridCol w:w="794"/>
        <w:gridCol w:w="521"/>
        <w:gridCol w:w="810"/>
        <w:gridCol w:w="203"/>
        <w:gridCol w:w="981"/>
        <w:gridCol w:w="1017"/>
        <w:gridCol w:w="594"/>
        <w:gridCol w:w="465"/>
        <w:gridCol w:w="171"/>
        <w:gridCol w:w="405"/>
        <w:gridCol w:w="18"/>
        <w:gridCol w:w="842"/>
        <w:gridCol w:w="18"/>
        <w:gridCol w:w="946"/>
        <w:gridCol w:w="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699" w:hRule="exact"/>
          <w:jc w:val="center"/>
        </w:trPr>
        <w:tc>
          <w:tcPr>
            <w:tcW w:w="7081" w:type="dxa"/>
            <w:gridSpan w:val="12"/>
            <w:tcBorders>
              <w:top w:val="nil"/>
              <w:left w:val="nil"/>
              <w:bottom w:val="nil"/>
              <w:right w:val="nil"/>
              <w:tl2br w:val="nil"/>
              <w:tr2bl w:val="nil"/>
            </w:tcBorders>
            <w:vAlign w:val="center"/>
          </w:tcPr>
          <w:p>
            <w:pPr>
              <w:spacing w:beforeLines="0" w:afterLines="0"/>
              <w:jc w:val="center"/>
              <w:rPr>
                <w:rFonts w:hint="eastAsia"/>
                <w:b/>
                <w:kern w:val="0"/>
                <w:sz w:val="32"/>
              </w:rPr>
            </w:pPr>
            <w:r>
              <w:rPr>
                <w:rFonts w:hint="eastAsia" w:ascii="仿宋" w:hAnsi="仿宋" w:eastAsia="仿宋"/>
                <w:kern w:val="0"/>
                <w:sz w:val="36"/>
              </w:rPr>
              <w:t>2019</w:t>
            </w:r>
            <w:r>
              <w:rPr>
                <w:rFonts w:hint="eastAsia" w:ascii="方正小标宋_GBK" w:hAnsi="方正小标宋_GBK" w:eastAsia="方正小标宋_GBK"/>
                <w:kern w:val="0"/>
                <w:sz w:val="36"/>
              </w:rPr>
              <w:t>年度专项资金绩效评价自评表</w:t>
            </w:r>
          </w:p>
        </w:tc>
        <w:tc>
          <w:tcPr>
            <w:tcW w:w="860" w:type="dxa"/>
            <w:gridSpan w:val="2"/>
            <w:tcBorders>
              <w:top w:val="nil"/>
              <w:left w:val="nil"/>
              <w:bottom w:val="nil"/>
              <w:right w:val="nil"/>
              <w:tl2br w:val="nil"/>
              <w:tr2bl w:val="nil"/>
            </w:tcBorders>
            <w:vAlign w:val="center"/>
          </w:tcPr>
          <w:p>
            <w:pPr>
              <w:spacing w:beforeLines="0" w:afterLines="0"/>
              <w:jc w:val="center"/>
              <w:rPr>
                <w:rFonts w:hint="eastAsia" w:ascii="仿宋" w:hAnsi="仿宋" w:eastAsia="仿宋"/>
                <w:kern w:val="0"/>
                <w:sz w:val="36"/>
              </w:rPr>
            </w:pPr>
          </w:p>
        </w:tc>
        <w:tc>
          <w:tcPr>
            <w:tcW w:w="964" w:type="dxa"/>
            <w:gridSpan w:val="2"/>
            <w:tcBorders>
              <w:top w:val="nil"/>
              <w:left w:val="nil"/>
              <w:bottom w:val="nil"/>
              <w:right w:val="nil"/>
              <w:tl2br w:val="nil"/>
              <w:tr2bl w:val="nil"/>
            </w:tcBorders>
            <w:vAlign w:val="center"/>
          </w:tcPr>
          <w:p>
            <w:pPr>
              <w:spacing w:beforeLines="0" w:afterLines="0"/>
              <w:jc w:val="center"/>
              <w:rPr>
                <w:rFonts w:hint="eastAsia" w:ascii="仿宋" w:hAnsi="仿宋" w:eastAsia="仿宋"/>
                <w:kern w:val="0"/>
                <w:sz w:val="3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300" w:hRule="exact"/>
          <w:jc w:val="center"/>
        </w:trPr>
        <w:tc>
          <w:tcPr>
            <w:tcW w:w="1120"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项目名称</w:t>
            </w:r>
          </w:p>
        </w:tc>
        <w:tc>
          <w:tcPr>
            <w:tcW w:w="5961" w:type="dxa"/>
            <w:gridSpan w:val="10"/>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eastAsia="仿宋_GB2312"/>
                <w:kern w:val="0"/>
                <w:sz w:val="22"/>
              </w:rPr>
              <w:t>城乡居民医疗保险配套</w:t>
            </w: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default" w:eastAsia="仿宋_GB2312"/>
                <w:kern w:val="0"/>
                <w:sz w:val="22"/>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default" w:eastAsia="仿宋_GB2312"/>
                <w:kern w:val="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555" w:hRule="exact"/>
          <w:jc w:val="center"/>
        </w:trPr>
        <w:tc>
          <w:tcPr>
            <w:tcW w:w="1120" w:type="dxa"/>
            <w:gridSpan w:val="2"/>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主管部门</w:t>
            </w:r>
          </w:p>
        </w:tc>
        <w:tc>
          <w:tcPr>
            <w:tcW w:w="3309" w:type="dxa"/>
            <w:gridSpan w:val="5"/>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长沙市望城区医疗保障局</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实施单位</w:t>
            </w:r>
          </w:p>
        </w:tc>
        <w:tc>
          <w:tcPr>
            <w:tcW w:w="1635" w:type="dxa"/>
            <w:gridSpan w:val="4"/>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长沙市望城区医疗保障事务中心</w:t>
            </w: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exact"/>
          <w:jc w:val="center"/>
        </w:trPr>
        <w:tc>
          <w:tcPr>
            <w:tcW w:w="1120" w:type="dxa"/>
            <w:gridSpan w:val="2"/>
            <w:vMerge w:val="restart"/>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eastAsia="仿宋_GB2312"/>
                <w:kern w:val="0"/>
                <w:sz w:val="18"/>
                <w:lang w:eastAsia="zh-CN"/>
              </w:rPr>
            </w:pPr>
            <w:r>
              <w:rPr>
                <w:rFonts w:hint="eastAsia" w:ascii="宋体" w:hAnsi="宋体"/>
                <w:kern w:val="0"/>
                <w:sz w:val="18"/>
              </w:rPr>
              <w:t>项目资金</w:t>
            </w:r>
          </w:p>
          <w:p>
            <w:pPr>
              <w:spacing w:beforeLines="0" w:afterLines="0" w:line="240" w:lineRule="exact"/>
              <w:jc w:val="center"/>
              <w:rPr>
                <w:rFonts w:hint="eastAsia"/>
                <w:kern w:val="0"/>
                <w:sz w:val="18"/>
              </w:rPr>
            </w:pPr>
            <w:r>
              <w:rPr>
                <w:rFonts w:hint="eastAsia" w:ascii="宋体" w:hAnsi="宋体"/>
                <w:kern w:val="0"/>
                <w:sz w:val="18"/>
              </w:rPr>
              <w:t>（万元）</w:t>
            </w:r>
          </w:p>
        </w:tc>
        <w:tc>
          <w:tcPr>
            <w:tcW w:w="1315"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810"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年初预算数</w:t>
            </w:r>
          </w:p>
        </w:tc>
        <w:tc>
          <w:tcPr>
            <w:tcW w:w="118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全年预算数</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全年执行数</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分值</w:t>
            </w:r>
          </w:p>
        </w:tc>
        <w:tc>
          <w:tcPr>
            <w:tcW w:w="465"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执行率</w:t>
            </w:r>
          </w:p>
        </w:tc>
        <w:tc>
          <w:tcPr>
            <w:tcW w:w="594" w:type="dxa"/>
            <w:gridSpan w:val="3"/>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得分</w:t>
            </w:r>
          </w:p>
        </w:tc>
        <w:tc>
          <w:tcPr>
            <w:tcW w:w="86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120"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315"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rPr>
                <w:rFonts w:hint="eastAsia"/>
                <w:kern w:val="0"/>
                <w:sz w:val="18"/>
              </w:rPr>
            </w:pPr>
            <w:r>
              <w:rPr>
                <w:rFonts w:hint="eastAsia" w:ascii="宋体" w:hAnsi="宋体"/>
                <w:kern w:val="0"/>
                <w:sz w:val="18"/>
              </w:rPr>
              <w:t>年度资金总额</w:t>
            </w:r>
          </w:p>
        </w:tc>
        <w:tc>
          <w:tcPr>
            <w:tcW w:w="810"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5900</w:t>
            </w:r>
          </w:p>
        </w:tc>
        <w:tc>
          <w:tcPr>
            <w:tcW w:w="118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5900</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5900</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465"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594" w:type="dxa"/>
            <w:gridSpan w:val="3"/>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86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120"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315"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其中：当年财政拨款</w:t>
            </w:r>
          </w:p>
        </w:tc>
        <w:tc>
          <w:tcPr>
            <w:tcW w:w="810"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18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465"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594" w:type="dxa"/>
            <w:gridSpan w:val="3"/>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w:t>
            </w:r>
          </w:p>
        </w:tc>
        <w:tc>
          <w:tcPr>
            <w:tcW w:w="86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120"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315"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 xml:space="preserve">      上年结转资金</w:t>
            </w:r>
          </w:p>
        </w:tc>
        <w:tc>
          <w:tcPr>
            <w:tcW w:w="810"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18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w:t>
            </w:r>
          </w:p>
        </w:tc>
        <w:tc>
          <w:tcPr>
            <w:tcW w:w="465"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594" w:type="dxa"/>
            <w:gridSpan w:val="3"/>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w:t>
            </w:r>
          </w:p>
        </w:tc>
        <w:tc>
          <w:tcPr>
            <w:tcW w:w="86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1120"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315"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 xml:space="preserve">  其他资金</w:t>
            </w:r>
          </w:p>
        </w:tc>
        <w:tc>
          <w:tcPr>
            <w:tcW w:w="810"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18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w:t>
            </w:r>
          </w:p>
        </w:tc>
        <w:tc>
          <w:tcPr>
            <w:tcW w:w="465" w:type="dxa"/>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594" w:type="dxa"/>
            <w:gridSpan w:val="3"/>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w:t>
            </w:r>
          </w:p>
        </w:tc>
        <w:tc>
          <w:tcPr>
            <w:tcW w:w="860"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300" w:hRule="exact"/>
          <w:jc w:val="center"/>
        </w:trPr>
        <w:tc>
          <w:tcPr>
            <w:tcW w:w="420" w:type="dxa"/>
            <w:vMerge w:val="restart"/>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年度总体目标</w:t>
            </w:r>
          </w:p>
        </w:tc>
        <w:tc>
          <w:tcPr>
            <w:tcW w:w="4009" w:type="dxa"/>
            <w:gridSpan w:val="6"/>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预期目标</w:t>
            </w:r>
          </w:p>
        </w:tc>
        <w:tc>
          <w:tcPr>
            <w:tcW w:w="2652" w:type="dxa"/>
            <w:gridSpan w:val="5"/>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实际完成情况</w:t>
            </w: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8" w:type="dxa"/>
          <w:trHeight w:val="382" w:hRule="exact"/>
          <w:jc w:val="center"/>
        </w:trPr>
        <w:tc>
          <w:tcPr>
            <w:tcW w:w="42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4009" w:type="dxa"/>
            <w:gridSpan w:val="6"/>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2652" w:type="dxa"/>
            <w:gridSpan w:val="5"/>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exact"/>
          <w:jc w:val="center"/>
        </w:trPr>
        <w:tc>
          <w:tcPr>
            <w:tcW w:w="420" w:type="dxa"/>
            <w:vMerge w:val="restart"/>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ascii="宋体" w:hAnsi="宋体" w:eastAsia="仿宋_GB2312"/>
                <w:kern w:val="0"/>
                <w:sz w:val="18"/>
                <w:lang w:eastAsia="zh-CN"/>
              </w:rPr>
            </w:pPr>
            <w:r>
              <w:rPr>
                <w:rFonts w:hint="eastAsia" w:ascii="宋体" w:hAnsi="宋体"/>
                <w:kern w:val="0"/>
                <w:sz w:val="18"/>
              </w:rPr>
              <w:t>绩</w:t>
            </w:r>
          </w:p>
          <w:p>
            <w:pPr>
              <w:spacing w:beforeLines="0" w:afterLines="0" w:line="240" w:lineRule="exact"/>
              <w:jc w:val="center"/>
              <w:rPr>
                <w:rFonts w:hint="eastAsia" w:ascii="宋体" w:hAnsi="宋体" w:eastAsia="仿宋_GB2312"/>
                <w:kern w:val="0"/>
                <w:sz w:val="18"/>
                <w:lang w:eastAsia="zh-CN"/>
              </w:rPr>
            </w:pPr>
            <w:r>
              <w:rPr>
                <w:rFonts w:hint="eastAsia" w:ascii="宋体" w:hAnsi="宋体"/>
                <w:kern w:val="0"/>
                <w:sz w:val="18"/>
              </w:rPr>
              <w:t>效</w:t>
            </w:r>
          </w:p>
          <w:p>
            <w:pPr>
              <w:spacing w:beforeLines="0" w:afterLines="0" w:line="240" w:lineRule="exact"/>
              <w:jc w:val="center"/>
              <w:rPr>
                <w:rFonts w:hint="eastAsia" w:ascii="宋体" w:hAnsi="宋体" w:eastAsia="仿宋_GB2312"/>
                <w:kern w:val="0"/>
                <w:sz w:val="18"/>
                <w:lang w:eastAsia="zh-CN"/>
              </w:rPr>
            </w:pPr>
            <w:r>
              <w:rPr>
                <w:rFonts w:hint="eastAsia" w:ascii="宋体" w:hAnsi="宋体"/>
                <w:kern w:val="0"/>
                <w:sz w:val="18"/>
              </w:rPr>
              <w:t>指</w:t>
            </w:r>
          </w:p>
          <w:p>
            <w:pPr>
              <w:spacing w:beforeLines="0" w:afterLines="0" w:line="240" w:lineRule="exact"/>
              <w:jc w:val="center"/>
              <w:rPr>
                <w:rFonts w:hint="eastAsia"/>
                <w:kern w:val="0"/>
                <w:sz w:val="18"/>
              </w:rPr>
            </w:pPr>
            <w:r>
              <w:rPr>
                <w:rFonts w:hint="eastAsia" w:ascii="宋体" w:hAnsi="宋体"/>
                <w:kern w:val="0"/>
                <w:sz w:val="18"/>
              </w:rPr>
              <w:t>标</w:t>
            </w:r>
          </w:p>
        </w:tc>
        <w:tc>
          <w:tcPr>
            <w:tcW w:w="700"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一级指标</w:t>
            </w:r>
          </w:p>
        </w:tc>
        <w:tc>
          <w:tcPr>
            <w:tcW w:w="7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二级指标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三级指标</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年度</w:t>
            </w:r>
          </w:p>
          <w:p>
            <w:pPr>
              <w:spacing w:beforeLines="0" w:afterLines="0" w:line="240" w:lineRule="exact"/>
              <w:jc w:val="center"/>
              <w:rPr>
                <w:rFonts w:hint="eastAsia"/>
                <w:kern w:val="0"/>
                <w:sz w:val="18"/>
              </w:rPr>
            </w:pPr>
            <w:r>
              <w:rPr>
                <w:rFonts w:hint="eastAsia" w:ascii="宋体" w:hAnsi="宋体"/>
                <w:kern w:val="0"/>
                <w:sz w:val="18"/>
              </w:rPr>
              <w:t>指标值</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实际</w:t>
            </w:r>
          </w:p>
          <w:p>
            <w:pPr>
              <w:spacing w:beforeLines="0" w:afterLines="0" w:line="240" w:lineRule="exact"/>
              <w:jc w:val="center"/>
              <w:rPr>
                <w:rFonts w:hint="eastAsia"/>
                <w:kern w:val="0"/>
                <w:sz w:val="18"/>
              </w:rPr>
            </w:pPr>
            <w:r>
              <w:rPr>
                <w:rFonts w:hint="eastAsia" w:ascii="宋体" w:hAnsi="宋体"/>
                <w:kern w:val="0"/>
                <w:sz w:val="18"/>
              </w:rPr>
              <w:t>完成值</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分值</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得分</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偏差原因分析及改进措施</w:t>
            </w: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restart"/>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产出指标</w:t>
            </w:r>
          </w:p>
        </w:tc>
        <w:tc>
          <w:tcPr>
            <w:tcW w:w="794" w:type="dxa"/>
            <w:vMerge w:val="restart"/>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数量指标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参保人数（人）</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417168</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417168</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各级财政实际补助标准（元）</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520</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520</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vMerge w:val="restart"/>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color w:val="000000"/>
                <w:kern w:val="0"/>
                <w:sz w:val="18"/>
              </w:rPr>
            </w:pPr>
            <w:r>
              <w:rPr>
                <w:rFonts w:hint="eastAsia" w:ascii="宋体" w:hAnsi="宋体"/>
                <w:color w:val="000000"/>
                <w:kern w:val="0"/>
                <w:sz w:val="18"/>
              </w:rPr>
              <w:t>质量指标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参保人政策范围内住院费用报销比例</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default"/>
                <w:kern w:val="0"/>
                <w:sz w:val="18"/>
              </w:rPr>
            </w:pPr>
            <w:r>
              <w:rPr>
                <w:rFonts w:hint="default"/>
                <w:kern w:val="0"/>
                <w:sz w:val="18"/>
              </w:rPr>
              <w:t>62.21</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default" w:eastAsia="仿宋_GB2312"/>
                <w:kern w:val="0"/>
                <w:sz w:val="20"/>
              </w:rPr>
            </w:pPr>
            <w:r>
              <w:rPr>
                <w:rFonts w:hint="default" w:eastAsia="仿宋_GB2312"/>
                <w:kern w:val="0"/>
                <w:sz w:val="20"/>
              </w:rPr>
              <w:t>62.21</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color w:val="000000"/>
                <w:kern w:val="0"/>
                <w:sz w:val="18"/>
              </w:rPr>
            </w:pP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参保人住院费用实际报销比例</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default"/>
                <w:kern w:val="0"/>
                <w:sz w:val="18"/>
              </w:rPr>
            </w:pPr>
            <w:r>
              <w:rPr>
                <w:rFonts w:hint="default"/>
                <w:kern w:val="0"/>
                <w:sz w:val="18"/>
              </w:rPr>
              <w:t>51.23</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default" w:eastAsia="仿宋_GB2312"/>
                <w:kern w:val="0"/>
                <w:sz w:val="20"/>
              </w:rPr>
            </w:pPr>
            <w:r>
              <w:rPr>
                <w:rFonts w:hint="default" w:eastAsia="仿宋_GB2312"/>
                <w:kern w:val="0"/>
                <w:sz w:val="20"/>
              </w:rPr>
              <w:t>51.23</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0"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color w:val="000000"/>
                <w:kern w:val="0"/>
                <w:sz w:val="18"/>
              </w:rPr>
            </w:pP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以常住人口为基础计算的基本医保综合参保率</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95%</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95%</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color w:val="000000"/>
                <w:kern w:val="0"/>
                <w:sz w:val="18"/>
              </w:rPr>
            </w:pP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color w:val="000000"/>
                <w:kern w:val="0"/>
                <w:sz w:val="18"/>
              </w:rPr>
              <w:t>基金累计结余可支配月数</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kern w:val="0"/>
                <w:sz w:val="18"/>
              </w:rPr>
              <w:t>6</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kern w:val="0"/>
                <w:sz w:val="18"/>
              </w:rPr>
              <w:t>6</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kern w:val="0"/>
                <w:sz w:val="18"/>
              </w:rPr>
              <w:t>5</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kern w:val="0"/>
                <w:sz w:val="18"/>
              </w:rPr>
              <w:t>5</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时效指标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补助资金发放</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kern w:val="0"/>
                <w:sz w:val="18"/>
              </w:rPr>
              <w:t>及时</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当月待遇当月发放到位</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成本指标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基金收支</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收支平衡</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基金运行平稳</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5</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8"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restart"/>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效益指标</w:t>
            </w:r>
          </w:p>
        </w:tc>
        <w:tc>
          <w:tcPr>
            <w:tcW w:w="794" w:type="dxa"/>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经济效益</w:t>
            </w:r>
          </w:p>
          <w:p>
            <w:pPr>
              <w:spacing w:beforeLines="0" w:afterLines="0" w:line="240" w:lineRule="exact"/>
              <w:jc w:val="center"/>
              <w:rPr>
                <w:rFonts w:hint="eastAsia"/>
                <w:kern w:val="0"/>
                <w:sz w:val="18"/>
              </w:rPr>
            </w:pPr>
            <w:r>
              <w:rPr>
                <w:rFonts w:hint="eastAsia" w:ascii="宋体" w:hAnsi="宋体"/>
                <w:kern w:val="0"/>
                <w:sz w:val="18"/>
              </w:rPr>
              <w:t>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基金保值增值</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基本实现</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收支专户实行优惠利，结余率，结余资金年底结转为</w:t>
            </w:r>
            <w:r>
              <w:rPr>
                <w:rFonts w:hint="eastAsia"/>
                <w:kern w:val="0"/>
                <w:sz w:val="18"/>
              </w:rPr>
              <w:t>0.</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社会效益</w:t>
            </w:r>
          </w:p>
          <w:p>
            <w:pPr>
              <w:spacing w:beforeLines="0" w:afterLines="0" w:line="240" w:lineRule="exact"/>
              <w:jc w:val="center"/>
              <w:rPr>
                <w:rFonts w:hint="eastAsia"/>
                <w:kern w:val="0"/>
                <w:sz w:val="18"/>
              </w:rPr>
            </w:pPr>
            <w:r>
              <w:rPr>
                <w:rFonts w:hint="eastAsia" w:ascii="宋体" w:hAnsi="宋体"/>
                <w:kern w:val="0"/>
                <w:sz w:val="18"/>
              </w:rPr>
              <w:t>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tabs>
                <w:tab w:val="center" w:pos="966"/>
              </w:tabs>
              <w:spacing w:beforeLines="0" w:afterLines="0" w:line="240" w:lineRule="exact"/>
              <w:jc w:val="left"/>
              <w:rPr>
                <w:rFonts w:hint="eastAsia"/>
                <w:kern w:val="0"/>
                <w:sz w:val="18"/>
              </w:rPr>
            </w:pPr>
            <w:r>
              <w:rPr>
                <w:rFonts w:hint="eastAsia" w:ascii="宋体" w:hAnsi="宋体"/>
                <w:kern w:val="0"/>
                <w:sz w:val="18"/>
              </w:rPr>
              <w:t>逐年搞高参保缴费率</w:t>
            </w:r>
            <w:r>
              <w:rPr>
                <w:rFonts w:hint="eastAsia"/>
                <w:kern w:val="0"/>
                <w:sz w:val="18"/>
              </w:rPr>
              <w:tab/>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kern w:val="0"/>
                <w:sz w:val="18"/>
              </w:rPr>
              <w:t>保障参保对象待遇按时足额发放</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待遇按时足额发放到</w:t>
            </w:r>
            <w:r>
              <w:rPr>
                <w:rFonts w:hint="eastAsia" w:eastAsia="仿宋_GB2312"/>
                <w:kern w:val="0"/>
                <w:sz w:val="22"/>
              </w:rPr>
              <w:t>位　</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生态效益</w:t>
            </w:r>
          </w:p>
          <w:p>
            <w:pPr>
              <w:spacing w:beforeLines="0" w:afterLines="0" w:line="240" w:lineRule="exact"/>
              <w:jc w:val="center"/>
              <w:rPr>
                <w:rFonts w:hint="eastAsia"/>
                <w:kern w:val="0"/>
                <w:sz w:val="18"/>
              </w:rPr>
            </w:pPr>
            <w:r>
              <w:rPr>
                <w:rFonts w:hint="eastAsia" w:ascii="宋体" w:hAnsi="宋体"/>
                <w:kern w:val="0"/>
                <w:sz w:val="18"/>
              </w:rPr>
              <w:t>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ascii="宋体" w:hAnsi="宋体"/>
                <w:color w:val="000000"/>
                <w:kern w:val="0"/>
                <w:sz w:val="18"/>
              </w:rPr>
            </w:pPr>
            <w:r>
              <w:rPr>
                <w:rFonts w:hint="eastAsia" w:ascii="宋体" w:hAnsi="宋体"/>
                <w:color w:val="000000"/>
                <w:kern w:val="0"/>
                <w:sz w:val="18"/>
              </w:rPr>
              <w:t xml:space="preserve"> </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无</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无</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vMerge w:val="continue"/>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794" w:type="dxa"/>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可持续影响指标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民生事项</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基本实现</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10</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exact"/>
          <w:jc w:val="center"/>
        </w:trPr>
        <w:tc>
          <w:tcPr>
            <w:tcW w:w="420" w:type="dxa"/>
            <w:vMerge w:val="continue"/>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p>
        </w:tc>
        <w:tc>
          <w:tcPr>
            <w:tcW w:w="700" w:type="dxa"/>
            <w:tcBorders>
              <w:top w:val="nil"/>
              <w:left w:val="single" w:color="auto" w:sz="4" w:space="0"/>
              <w:bottom w:val="nil"/>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满意度</w:t>
            </w:r>
          </w:p>
          <w:p>
            <w:pPr>
              <w:spacing w:beforeLines="0" w:afterLines="0" w:line="240" w:lineRule="exact"/>
              <w:jc w:val="center"/>
              <w:rPr>
                <w:rFonts w:hint="eastAsia"/>
                <w:kern w:val="0"/>
                <w:sz w:val="18"/>
              </w:rPr>
            </w:pPr>
            <w:r>
              <w:rPr>
                <w:rFonts w:hint="eastAsia" w:ascii="宋体" w:hAnsi="宋体"/>
                <w:kern w:val="0"/>
                <w:sz w:val="18"/>
              </w:rPr>
              <w:t>指标</w:t>
            </w:r>
          </w:p>
        </w:tc>
        <w:tc>
          <w:tcPr>
            <w:tcW w:w="794" w:type="dxa"/>
            <w:tcBorders>
              <w:top w:val="nil"/>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服务对象满意度指标</w:t>
            </w:r>
          </w:p>
        </w:tc>
        <w:tc>
          <w:tcPr>
            <w:tcW w:w="1534" w:type="dxa"/>
            <w:gridSpan w:val="3"/>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left"/>
              <w:rPr>
                <w:rFonts w:hint="eastAsia"/>
                <w:color w:val="000000"/>
                <w:kern w:val="0"/>
                <w:sz w:val="18"/>
              </w:rPr>
            </w:pPr>
            <w:r>
              <w:rPr>
                <w:rFonts w:hint="eastAsia" w:ascii="宋体" w:hAnsi="宋体"/>
                <w:color w:val="000000"/>
                <w:kern w:val="0"/>
                <w:sz w:val="18"/>
              </w:rPr>
              <w:t>参保对象</w:t>
            </w:r>
          </w:p>
        </w:tc>
        <w:tc>
          <w:tcPr>
            <w:tcW w:w="981"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r>
              <w:rPr>
                <w:rFonts w:hint="eastAsia" w:ascii="宋体" w:hAnsi="宋体"/>
                <w:kern w:val="0"/>
                <w:sz w:val="18"/>
              </w:rPr>
              <w:t>非常满意</w:t>
            </w:r>
          </w:p>
        </w:tc>
        <w:tc>
          <w:tcPr>
            <w:tcW w:w="1017"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15</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r>
              <w:rPr>
                <w:rFonts w:hint="eastAsia" w:ascii="宋体" w:hAnsi="宋体"/>
                <w:kern w:val="0"/>
                <w:sz w:val="18"/>
              </w:rPr>
              <w:t>15</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kern w:val="0"/>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exact"/>
          <w:jc w:val="center"/>
        </w:trPr>
        <w:tc>
          <w:tcPr>
            <w:tcW w:w="5446" w:type="dxa"/>
            <w:gridSpan w:val="8"/>
            <w:tcBorders>
              <w:top w:val="single" w:color="auto" w:sz="4" w:space="0"/>
              <w:left w:val="single" w:color="auto" w:sz="4" w:space="0"/>
              <w:bottom w:val="single" w:color="auto" w:sz="4" w:space="0"/>
              <w:right w:val="single" w:color="auto" w:sz="4" w:space="0"/>
              <w:tl2br w:val="nil"/>
              <w:tr2bl w:val="nil"/>
            </w:tcBorders>
            <w:vAlign w:val="center"/>
          </w:tcPr>
          <w:p>
            <w:pPr>
              <w:spacing w:beforeLines="0" w:afterLines="0" w:line="240" w:lineRule="exact"/>
              <w:jc w:val="center"/>
              <w:rPr>
                <w:rFonts w:hint="eastAsia"/>
                <w:color w:val="000000"/>
                <w:kern w:val="0"/>
                <w:sz w:val="18"/>
              </w:rPr>
            </w:pPr>
            <w:r>
              <w:rPr>
                <w:rFonts w:hint="eastAsia" w:ascii="宋体" w:hAnsi="宋体"/>
                <w:color w:val="000000"/>
                <w:kern w:val="0"/>
                <w:sz w:val="18"/>
              </w:rPr>
              <w:t>总分</w:t>
            </w:r>
          </w:p>
        </w:tc>
        <w:tc>
          <w:tcPr>
            <w:tcW w:w="594" w:type="dxa"/>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color w:val="000000"/>
                <w:kern w:val="0"/>
                <w:sz w:val="18"/>
              </w:rPr>
            </w:pPr>
            <w:r>
              <w:rPr>
                <w:rFonts w:hint="eastAsia" w:ascii="宋体" w:hAnsi="宋体"/>
                <w:color w:val="000000"/>
                <w:kern w:val="0"/>
                <w:sz w:val="18"/>
              </w:rPr>
              <w:t>100</w:t>
            </w:r>
          </w:p>
        </w:tc>
        <w:tc>
          <w:tcPr>
            <w:tcW w:w="636" w:type="dxa"/>
            <w:gridSpan w:val="2"/>
            <w:tcBorders>
              <w:top w:val="nil"/>
              <w:left w:val="nil"/>
              <w:bottom w:val="single" w:color="auto" w:sz="4" w:space="0"/>
              <w:right w:val="single" w:color="auto" w:sz="4" w:space="0"/>
              <w:tl2br w:val="nil"/>
              <w:tr2bl w:val="nil"/>
            </w:tcBorders>
            <w:vAlign w:val="center"/>
          </w:tcPr>
          <w:p>
            <w:pPr>
              <w:spacing w:beforeLines="0" w:afterLines="0" w:line="240" w:lineRule="exact"/>
              <w:jc w:val="center"/>
              <w:rPr>
                <w:rFonts w:hint="eastAsia" w:ascii="宋体" w:hAnsi="宋体"/>
                <w:color w:val="000000"/>
                <w:kern w:val="0"/>
                <w:sz w:val="18"/>
              </w:rPr>
            </w:pPr>
            <w:r>
              <w:rPr>
                <w:rFonts w:hint="eastAsia" w:ascii="宋体" w:hAnsi="宋体"/>
                <w:color w:val="000000"/>
                <w:kern w:val="0"/>
                <w:sz w:val="18"/>
              </w:rPr>
              <w:t>100</w:t>
            </w:r>
          </w:p>
        </w:tc>
        <w:tc>
          <w:tcPr>
            <w:tcW w:w="423"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860"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c>
          <w:tcPr>
            <w:tcW w:w="964" w:type="dxa"/>
            <w:gridSpan w:val="2"/>
            <w:tcBorders>
              <w:top w:val="single" w:color="auto" w:sz="4" w:space="0"/>
              <w:left w:val="nil"/>
              <w:bottom w:val="single" w:color="auto" w:sz="4" w:space="0"/>
              <w:right w:val="single" w:color="auto" w:sz="4" w:space="0"/>
              <w:tl2br w:val="nil"/>
              <w:tr2bl w:val="nil"/>
            </w:tcBorders>
            <w:vAlign w:val="center"/>
          </w:tcPr>
          <w:p>
            <w:pPr>
              <w:spacing w:beforeLines="0" w:afterLines="0" w:line="240" w:lineRule="exact"/>
              <w:jc w:val="center"/>
              <w:rPr>
                <w:rFonts w:hint="eastAsia"/>
                <w:kern w:val="0"/>
                <w:sz w:val="18"/>
              </w:rPr>
            </w:pPr>
          </w:p>
        </w:tc>
      </w:tr>
    </w:tbl>
    <w:p>
      <w:pPr>
        <w:spacing w:beforeLines="0" w:afterLines="0"/>
        <w:jc w:val="left"/>
        <w:rPr>
          <w:rFonts w:hint="default" w:eastAsia="Times New Roman"/>
          <w:sz w:val="21"/>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p>
      <w:pPr>
        <w:spacing w:line="20" w:lineRule="exact"/>
        <w:rPr>
          <w:rFonts w:ascii="黑体" w:hAnsi="黑体" w:eastAsia="黑体"/>
        </w:rPr>
      </w:pPr>
    </w:p>
    <w:sectPr>
      <w:footerReference r:id="rId5" w:type="default"/>
      <w:footerReference r:id="rId6" w:type="even"/>
      <w:pgSz w:w="11906" w:h="16838"/>
      <w:pgMar w:top="1701" w:right="1587" w:bottom="1417" w:left="1701" w:header="851" w:footer="850"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sdtPr>
    <w:sdtEndPr>
      <w:rPr>
        <w:rFonts w:hint="eastAsia" w:ascii="仿宋" w:hAnsi="仿宋" w:eastAsia="仿宋" w:cs="仿宋"/>
        <w:sz w:val="28"/>
        <w:szCs w:val="28"/>
      </w:rPr>
    </w:sdtEndPr>
    <w:sdtContent>
      <w:p>
        <w:pPr>
          <w:pStyle w:val="4"/>
          <w:jc w:val="right"/>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1 -</w:t>
        </w:r>
        <w:r>
          <w:rPr>
            <w:rFonts w:hint="eastAsia" w:ascii="仿宋" w:hAnsi="仿宋" w:eastAsia="仿宋" w:cs="仿宋"/>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 w:hAnsi="仿宋" w:eastAsia="仿宋" w:cs="仿宋"/>
        <w:sz w:val="28"/>
        <w:szCs w:val="28"/>
      </w:rPr>
      <w:id w:val="760954067"/>
    </w:sdtPr>
    <w:sdtEndPr>
      <w:rPr>
        <w:rFonts w:hint="eastAsia" w:ascii="仿宋" w:hAnsi="仿宋" w:eastAsia="仿宋" w:cs="仿宋"/>
        <w:sz w:val="28"/>
        <w:szCs w:val="28"/>
      </w:rPr>
    </w:sdtEndPr>
    <w:sdtContent>
      <w:p>
        <w:pPr>
          <w:pStyle w:val="4"/>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2 -</w:t>
        </w:r>
        <w:r>
          <w:rPr>
            <w:rFonts w:hint="eastAsia" w:ascii="仿宋" w:hAnsi="仿宋" w:eastAsia="仿宋" w:cs="仿宋"/>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YTlhMTkzNTU0OWNmMmJmNDEyMGYxMjBmZjY4ODUifQ=="/>
  </w:docVars>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7689D"/>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A7835"/>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6F7"/>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A23C1"/>
    <w:rsid w:val="00DD0D05"/>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A0898"/>
    <w:rsid w:val="00FE675D"/>
    <w:rsid w:val="024B7610"/>
    <w:rsid w:val="02904630"/>
    <w:rsid w:val="02DF2789"/>
    <w:rsid w:val="02ED0A04"/>
    <w:rsid w:val="03044238"/>
    <w:rsid w:val="032E23EC"/>
    <w:rsid w:val="03465690"/>
    <w:rsid w:val="03905C46"/>
    <w:rsid w:val="042F6008"/>
    <w:rsid w:val="047E57B2"/>
    <w:rsid w:val="059E2C7A"/>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8F0E06"/>
    <w:rsid w:val="0AB25B7A"/>
    <w:rsid w:val="0B574BAB"/>
    <w:rsid w:val="0BC91002"/>
    <w:rsid w:val="0C4D5D6A"/>
    <w:rsid w:val="0CD66D6A"/>
    <w:rsid w:val="0DB07C2D"/>
    <w:rsid w:val="0E3D5C14"/>
    <w:rsid w:val="0E494602"/>
    <w:rsid w:val="0E70774D"/>
    <w:rsid w:val="0E7116F8"/>
    <w:rsid w:val="0F162758"/>
    <w:rsid w:val="0F776F49"/>
    <w:rsid w:val="10174485"/>
    <w:rsid w:val="10F6548A"/>
    <w:rsid w:val="11F44ABD"/>
    <w:rsid w:val="12241950"/>
    <w:rsid w:val="12261667"/>
    <w:rsid w:val="127861E7"/>
    <w:rsid w:val="12826B84"/>
    <w:rsid w:val="13C56F60"/>
    <w:rsid w:val="13D36475"/>
    <w:rsid w:val="14405AAB"/>
    <w:rsid w:val="14B21B34"/>
    <w:rsid w:val="151305EF"/>
    <w:rsid w:val="16044C16"/>
    <w:rsid w:val="16B41DD1"/>
    <w:rsid w:val="170C48FB"/>
    <w:rsid w:val="17513580"/>
    <w:rsid w:val="176D24AC"/>
    <w:rsid w:val="176F0FF1"/>
    <w:rsid w:val="17832D68"/>
    <w:rsid w:val="18514931"/>
    <w:rsid w:val="185F4B56"/>
    <w:rsid w:val="18D5032F"/>
    <w:rsid w:val="19DB4F8D"/>
    <w:rsid w:val="19F87594"/>
    <w:rsid w:val="1A485342"/>
    <w:rsid w:val="1A923EFD"/>
    <w:rsid w:val="1B6C03A2"/>
    <w:rsid w:val="1BF53D8E"/>
    <w:rsid w:val="1BF819CE"/>
    <w:rsid w:val="1C2921BA"/>
    <w:rsid w:val="1C7601C5"/>
    <w:rsid w:val="1CA97AF2"/>
    <w:rsid w:val="1CB25BED"/>
    <w:rsid w:val="1CB41B1A"/>
    <w:rsid w:val="1CE90C78"/>
    <w:rsid w:val="1CEA21B3"/>
    <w:rsid w:val="1D3905C6"/>
    <w:rsid w:val="1D7A3BAE"/>
    <w:rsid w:val="1E107C25"/>
    <w:rsid w:val="1E4A7FBF"/>
    <w:rsid w:val="1E5C00D9"/>
    <w:rsid w:val="1EAE3AFB"/>
    <w:rsid w:val="1EFC20F3"/>
    <w:rsid w:val="1FEC1CBA"/>
    <w:rsid w:val="200B1359"/>
    <w:rsid w:val="215A56A0"/>
    <w:rsid w:val="21B43BB0"/>
    <w:rsid w:val="21F96A6E"/>
    <w:rsid w:val="22496209"/>
    <w:rsid w:val="22DF060E"/>
    <w:rsid w:val="23721411"/>
    <w:rsid w:val="23A333C7"/>
    <w:rsid w:val="23EA355D"/>
    <w:rsid w:val="240259F0"/>
    <w:rsid w:val="2404542C"/>
    <w:rsid w:val="24C92EFB"/>
    <w:rsid w:val="25057336"/>
    <w:rsid w:val="26FF47D2"/>
    <w:rsid w:val="27213B35"/>
    <w:rsid w:val="2776089C"/>
    <w:rsid w:val="27BF0D76"/>
    <w:rsid w:val="27E00EE0"/>
    <w:rsid w:val="28142779"/>
    <w:rsid w:val="2A5127EE"/>
    <w:rsid w:val="2A515B4F"/>
    <w:rsid w:val="2B0D7EF5"/>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2F4399"/>
    <w:rsid w:val="3A352FBB"/>
    <w:rsid w:val="3A5178B3"/>
    <w:rsid w:val="3A806E2F"/>
    <w:rsid w:val="3AA05DA1"/>
    <w:rsid w:val="3AC34D84"/>
    <w:rsid w:val="3AD062C2"/>
    <w:rsid w:val="3B572E86"/>
    <w:rsid w:val="3B9127E3"/>
    <w:rsid w:val="3BA61585"/>
    <w:rsid w:val="3BF84B8E"/>
    <w:rsid w:val="3E1F5C22"/>
    <w:rsid w:val="3E830F89"/>
    <w:rsid w:val="3F0F71F9"/>
    <w:rsid w:val="3F4D44A2"/>
    <w:rsid w:val="401A4AC8"/>
    <w:rsid w:val="413A1A82"/>
    <w:rsid w:val="41610F79"/>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6C567C"/>
    <w:rsid w:val="44DE5E1B"/>
    <w:rsid w:val="45A06CC5"/>
    <w:rsid w:val="45B346C6"/>
    <w:rsid w:val="46B01F06"/>
    <w:rsid w:val="46CB52FC"/>
    <w:rsid w:val="46F0533D"/>
    <w:rsid w:val="473A49CA"/>
    <w:rsid w:val="47823261"/>
    <w:rsid w:val="48202A25"/>
    <w:rsid w:val="488D2675"/>
    <w:rsid w:val="489D6282"/>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7C42F8"/>
    <w:rsid w:val="4F9831FB"/>
    <w:rsid w:val="4FC263E1"/>
    <w:rsid w:val="4FCE68B0"/>
    <w:rsid w:val="50BE71A8"/>
    <w:rsid w:val="51C91180"/>
    <w:rsid w:val="52280F5E"/>
    <w:rsid w:val="52AE5D1F"/>
    <w:rsid w:val="52B92F0B"/>
    <w:rsid w:val="531A3FDA"/>
    <w:rsid w:val="5381244C"/>
    <w:rsid w:val="53FA2113"/>
    <w:rsid w:val="540D038A"/>
    <w:rsid w:val="542C4F99"/>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4A4E20"/>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9270D5A"/>
    <w:rsid w:val="6A1243D0"/>
    <w:rsid w:val="6AE42C47"/>
    <w:rsid w:val="6B9F75F2"/>
    <w:rsid w:val="6C0747F6"/>
    <w:rsid w:val="6C1B5CDE"/>
    <w:rsid w:val="6C366899"/>
    <w:rsid w:val="6C8D7596"/>
    <w:rsid w:val="6D1557FB"/>
    <w:rsid w:val="6D327FD5"/>
    <w:rsid w:val="6D7C6692"/>
    <w:rsid w:val="6D9E7845"/>
    <w:rsid w:val="6E4659E5"/>
    <w:rsid w:val="6EA3155B"/>
    <w:rsid w:val="6EEE0A70"/>
    <w:rsid w:val="6F230AE6"/>
    <w:rsid w:val="6F330E57"/>
    <w:rsid w:val="6F371C22"/>
    <w:rsid w:val="6F516FDD"/>
    <w:rsid w:val="6F6A0191"/>
    <w:rsid w:val="6F6A0FF6"/>
    <w:rsid w:val="6FF127E6"/>
    <w:rsid w:val="703219C2"/>
    <w:rsid w:val="70456C7B"/>
    <w:rsid w:val="709062C3"/>
    <w:rsid w:val="718309B8"/>
    <w:rsid w:val="71AA6732"/>
    <w:rsid w:val="72731832"/>
    <w:rsid w:val="729B682C"/>
    <w:rsid w:val="72C959C7"/>
    <w:rsid w:val="72EC1F71"/>
    <w:rsid w:val="73397D9F"/>
    <w:rsid w:val="743A1952"/>
    <w:rsid w:val="74A34CB4"/>
    <w:rsid w:val="74BD6245"/>
    <w:rsid w:val="754367A8"/>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page number"/>
    <w:basedOn w:val="7"/>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7"/>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5</Pages>
  <Words>1942</Words>
  <Characters>2109</Characters>
  <Lines>11</Lines>
  <Paragraphs>3</Paragraphs>
  <TotalTime>25</TotalTime>
  <ScaleCrop>false</ScaleCrop>
  <LinksUpToDate>false</LinksUpToDate>
  <CharactersWithSpaces>2150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姣^o^</cp:lastModifiedBy>
  <cp:lastPrinted>2020-09-03T08:22:00Z</cp:lastPrinted>
  <dcterms:modified xsi:type="dcterms:W3CDTF">2022-08-03T08:32:11Z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AD60834130D04C84A83896D640F66320</vt:lpwstr>
  </property>
</Properties>
</file>