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jc w:val="center"/>
        <w:rPr>
          <w:rFonts w:ascii="黑体" w:hAnsi="黑体" w:eastAsia="黑体"/>
          <w:b/>
          <w:sz w:val="36"/>
          <w:szCs w:val="36"/>
        </w:rPr>
      </w:pPr>
      <w:bookmarkStart w:id="1" w:name="_GoBack"/>
      <w:bookmarkEnd w:id="1"/>
      <w:r>
        <w:rPr>
          <w:rFonts w:hint="eastAsia" w:ascii="黑体" w:hAnsi="黑体" w:eastAsia="黑体"/>
          <w:b/>
          <w:sz w:val="36"/>
          <w:szCs w:val="36"/>
        </w:rPr>
        <w:t>望城区残疾人联合会</w:t>
      </w:r>
    </w:p>
    <w:tbl>
      <w:tblPr>
        <w:tblStyle w:val="11"/>
        <w:tblpPr w:leftFromText="180" w:rightFromText="180" w:vertAnchor="text" w:horzAnchor="margin" w:tblpXSpec="center" w:tblpY="1426"/>
        <w:tblOverlap w:val="never"/>
        <w:tblW w:w="9838" w:type="dxa"/>
        <w:tblInd w:w="0" w:type="dxa"/>
        <w:tblLayout w:type="fixed"/>
        <w:tblCellMar>
          <w:top w:w="0" w:type="dxa"/>
          <w:left w:w="108" w:type="dxa"/>
          <w:bottom w:w="0" w:type="dxa"/>
          <w:right w:w="108" w:type="dxa"/>
        </w:tblCellMar>
      </w:tblPr>
      <w:tblGrid>
        <w:gridCol w:w="783"/>
        <w:gridCol w:w="1116"/>
        <w:gridCol w:w="1500"/>
        <w:gridCol w:w="2543"/>
        <w:gridCol w:w="71"/>
        <w:gridCol w:w="1479"/>
        <w:gridCol w:w="2346"/>
      </w:tblGrid>
      <w:tr>
        <w:tblPrEx>
          <w:tblCellMar>
            <w:top w:w="0" w:type="dxa"/>
            <w:left w:w="108" w:type="dxa"/>
            <w:bottom w:w="0" w:type="dxa"/>
            <w:right w:w="108" w:type="dxa"/>
          </w:tblCellMar>
        </w:tblPrEx>
        <w:trPr>
          <w:trHeight w:val="480" w:hRule="atLeast"/>
        </w:trPr>
        <w:tc>
          <w:tcPr>
            <w:tcW w:w="783" w:type="dxa"/>
            <w:vMerge w:val="restart"/>
            <w:tcBorders>
              <w:top w:val="single" w:color="auto" w:sz="4" w:space="0"/>
              <w:left w:val="single" w:color="auto" w:sz="4" w:space="0"/>
              <w:bottom w:val="single" w:color="auto" w:sz="4" w:space="0"/>
              <w:right w:val="single" w:color="auto" w:sz="4" w:space="0"/>
            </w:tcBorders>
            <w:textDirection w:val="tbRlV"/>
            <w:vAlign w:val="center"/>
          </w:tcPr>
          <w:p>
            <w:pPr>
              <w:widowControl/>
              <w:jc w:val="center"/>
              <w:rPr>
                <w:rFonts w:ascii="宋体" w:hAnsi="宋体" w:cs="宋体"/>
                <w:kern w:val="0"/>
                <w:sz w:val="20"/>
                <w:szCs w:val="20"/>
              </w:rPr>
            </w:pPr>
            <w:bookmarkStart w:id="0" w:name="RANGE!A3"/>
            <w:r>
              <w:rPr>
                <w:rFonts w:hint="eastAsia" w:ascii="宋体" w:hAnsi="宋体" w:cs="宋体"/>
                <w:kern w:val="0"/>
                <w:sz w:val="20"/>
                <w:szCs w:val="20"/>
              </w:rPr>
              <w:t>单位基本情况</w:t>
            </w:r>
            <w:bookmarkEnd w:id="0"/>
          </w:p>
        </w:tc>
        <w:tc>
          <w:tcPr>
            <w:tcW w:w="1116"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单位名称</w:t>
            </w:r>
          </w:p>
        </w:tc>
        <w:tc>
          <w:tcPr>
            <w:tcW w:w="7939"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长沙市望城区残疾人联合会</w:t>
            </w:r>
          </w:p>
        </w:tc>
      </w:tr>
      <w:tr>
        <w:tblPrEx>
          <w:tblCellMar>
            <w:top w:w="0" w:type="dxa"/>
            <w:left w:w="108" w:type="dxa"/>
            <w:bottom w:w="0" w:type="dxa"/>
            <w:right w:w="108" w:type="dxa"/>
          </w:tblCellMar>
        </w:tblPrEx>
        <w:trPr>
          <w:trHeight w:val="480" w:hRule="atLeast"/>
        </w:trPr>
        <w:tc>
          <w:tcPr>
            <w:tcW w:w="7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11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单位性质</w:t>
            </w:r>
          </w:p>
        </w:tc>
        <w:tc>
          <w:tcPr>
            <w:tcW w:w="7939"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望城区委领导下的群团组织</w:t>
            </w:r>
          </w:p>
        </w:tc>
      </w:tr>
      <w:tr>
        <w:tblPrEx>
          <w:tblCellMar>
            <w:top w:w="0" w:type="dxa"/>
            <w:left w:w="108" w:type="dxa"/>
            <w:bottom w:w="0" w:type="dxa"/>
            <w:right w:w="108" w:type="dxa"/>
          </w:tblCellMar>
        </w:tblPrEx>
        <w:trPr>
          <w:trHeight w:val="810" w:hRule="atLeast"/>
        </w:trPr>
        <w:tc>
          <w:tcPr>
            <w:tcW w:w="7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11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编制人数</w:t>
            </w:r>
          </w:p>
        </w:tc>
        <w:tc>
          <w:tcPr>
            <w:tcW w:w="4043" w:type="dxa"/>
            <w:gridSpan w:val="2"/>
            <w:tcBorders>
              <w:top w:val="single" w:color="auto" w:sz="4" w:space="0"/>
              <w:left w:val="nil"/>
              <w:bottom w:val="single" w:color="auto" w:sz="4" w:space="0"/>
              <w:right w:val="single" w:color="000000"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机关编制5名（其中行政编制4名，机关后勤事业编制1名</w:t>
            </w:r>
          </w:p>
        </w:tc>
        <w:tc>
          <w:tcPr>
            <w:tcW w:w="1550" w:type="dxa"/>
            <w:gridSpan w:val="2"/>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在职在岗人数</w:t>
            </w:r>
          </w:p>
        </w:tc>
        <w:tc>
          <w:tcPr>
            <w:tcW w:w="2346" w:type="dxa"/>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2018年末在职14人</w:t>
            </w:r>
          </w:p>
        </w:tc>
      </w:tr>
      <w:tr>
        <w:tblPrEx>
          <w:tblCellMar>
            <w:top w:w="0" w:type="dxa"/>
            <w:left w:w="108" w:type="dxa"/>
            <w:bottom w:w="0" w:type="dxa"/>
            <w:right w:w="108" w:type="dxa"/>
          </w:tblCellMar>
        </w:tblPrEx>
        <w:trPr>
          <w:trHeight w:val="1726" w:hRule="atLeast"/>
        </w:trPr>
        <w:tc>
          <w:tcPr>
            <w:tcW w:w="7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11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职责职能</w:t>
            </w:r>
          </w:p>
        </w:tc>
        <w:tc>
          <w:tcPr>
            <w:tcW w:w="7939" w:type="dxa"/>
            <w:gridSpan w:val="5"/>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贯彻执行国家、省、市关于残疾人的法律法规，听取残疾人意见，反映残疾人要求，维护残疾人合法权益；拟订全区残疾人事业发展的政策、规划和计划，并组织实施，对全区残疾人工作进行指导和管理；开展残疾人康复救助服务，做好残疾预防、残疾人用具用品发放等工作，指导和协调残疾人康复机构工作；开展残疾人教育、劳动就业工作，指导扶持残疾人创业、就业；完成区委、区政府交办的其他任务。</w:t>
            </w:r>
          </w:p>
        </w:tc>
      </w:tr>
      <w:tr>
        <w:tblPrEx>
          <w:tblCellMar>
            <w:top w:w="0" w:type="dxa"/>
            <w:left w:w="108" w:type="dxa"/>
            <w:bottom w:w="0" w:type="dxa"/>
            <w:right w:w="108" w:type="dxa"/>
          </w:tblCellMar>
        </w:tblPrEx>
        <w:trPr>
          <w:trHeight w:val="480" w:hRule="atLeast"/>
        </w:trPr>
        <w:tc>
          <w:tcPr>
            <w:tcW w:w="7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11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部门预算</w:t>
            </w:r>
          </w:p>
        </w:tc>
        <w:tc>
          <w:tcPr>
            <w:tcW w:w="150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1526.26万元</w:t>
            </w:r>
          </w:p>
        </w:tc>
        <w:tc>
          <w:tcPr>
            <w:tcW w:w="2614"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其中：项目支出预算</w:t>
            </w:r>
          </w:p>
        </w:tc>
        <w:tc>
          <w:tcPr>
            <w:tcW w:w="382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1311.50万元</w:t>
            </w:r>
          </w:p>
        </w:tc>
      </w:tr>
      <w:tr>
        <w:tblPrEx>
          <w:tblCellMar>
            <w:top w:w="0" w:type="dxa"/>
            <w:left w:w="108" w:type="dxa"/>
            <w:bottom w:w="0" w:type="dxa"/>
            <w:right w:w="108" w:type="dxa"/>
          </w:tblCellMar>
        </w:tblPrEx>
        <w:trPr>
          <w:trHeight w:val="480" w:hRule="atLeast"/>
        </w:trPr>
        <w:tc>
          <w:tcPr>
            <w:tcW w:w="7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11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决算情况</w:t>
            </w:r>
          </w:p>
        </w:tc>
        <w:tc>
          <w:tcPr>
            <w:tcW w:w="150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1530.88万元</w:t>
            </w:r>
          </w:p>
        </w:tc>
        <w:tc>
          <w:tcPr>
            <w:tcW w:w="2614" w:type="dxa"/>
            <w:gridSpan w:val="2"/>
            <w:tcBorders>
              <w:top w:val="single" w:color="auto" w:sz="4" w:space="0"/>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其中：项目支出</w:t>
            </w:r>
          </w:p>
        </w:tc>
        <w:tc>
          <w:tcPr>
            <w:tcW w:w="3825"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1242.97万元</w:t>
            </w:r>
          </w:p>
        </w:tc>
      </w:tr>
    </w:tbl>
    <w:p>
      <w:pPr>
        <w:spacing w:afterLines="50"/>
        <w:jc w:val="center"/>
        <w:rPr>
          <w:rFonts w:ascii="黑体" w:hAnsi="黑体" w:eastAsia="黑体" w:cs="微软雅黑"/>
          <w:b/>
          <w:sz w:val="36"/>
          <w:szCs w:val="36"/>
        </w:rPr>
      </w:pPr>
      <w:r>
        <w:rPr>
          <w:rFonts w:ascii="黑体" w:hAnsi="黑体" w:eastAsia="黑体"/>
          <w:b/>
          <w:sz w:val="36"/>
          <w:szCs w:val="36"/>
        </w:rPr>
        <w:t>201</w:t>
      </w:r>
      <w:r>
        <w:rPr>
          <w:rFonts w:hint="eastAsia" w:ascii="黑体" w:hAnsi="黑体" w:eastAsia="黑体"/>
          <w:b/>
          <w:sz w:val="36"/>
          <w:szCs w:val="36"/>
        </w:rPr>
        <w:t>8</w:t>
      </w:r>
      <w:r>
        <w:rPr>
          <w:rFonts w:hint="eastAsia" w:ascii="黑体" w:hAnsi="黑体" w:eastAsia="黑体" w:cs="微软雅黑"/>
          <w:b/>
          <w:sz w:val="36"/>
          <w:szCs w:val="36"/>
        </w:rPr>
        <w:t>年部门整体绩效评价</w:t>
      </w:r>
    </w:p>
    <w:tbl>
      <w:tblPr>
        <w:tblStyle w:val="11"/>
        <w:tblpPr w:leftFromText="180" w:rightFromText="180" w:vertAnchor="text" w:horzAnchor="margin" w:tblpXSpec="center" w:tblpY="4866"/>
        <w:tblOverlap w:val="never"/>
        <w:tblW w:w="9891" w:type="dxa"/>
        <w:tblInd w:w="0" w:type="dxa"/>
        <w:tblLayout w:type="fixed"/>
        <w:tblCellMar>
          <w:top w:w="0" w:type="dxa"/>
          <w:left w:w="0" w:type="dxa"/>
          <w:bottom w:w="0" w:type="dxa"/>
          <w:right w:w="0" w:type="dxa"/>
        </w:tblCellMar>
      </w:tblPr>
      <w:tblGrid>
        <w:gridCol w:w="800"/>
        <w:gridCol w:w="1117"/>
        <w:gridCol w:w="1008"/>
        <w:gridCol w:w="3126"/>
        <w:gridCol w:w="3199"/>
        <w:gridCol w:w="641"/>
      </w:tblGrid>
      <w:tr>
        <w:tblPrEx>
          <w:tblCellMar>
            <w:top w:w="0" w:type="dxa"/>
            <w:left w:w="0" w:type="dxa"/>
            <w:bottom w:w="0" w:type="dxa"/>
            <w:right w:w="0" w:type="dxa"/>
          </w:tblCellMar>
        </w:tblPrEx>
        <w:trPr>
          <w:trHeight w:val="480" w:hRule="atLeast"/>
        </w:trPr>
        <w:tc>
          <w:tcPr>
            <w:tcW w:w="800"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一级指标</w:t>
            </w:r>
          </w:p>
        </w:tc>
        <w:tc>
          <w:tcPr>
            <w:tcW w:w="1117"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二级指标</w:t>
            </w:r>
          </w:p>
        </w:tc>
        <w:tc>
          <w:tcPr>
            <w:tcW w:w="1008"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三级指标</w:t>
            </w:r>
          </w:p>
        </w:tc>
        <w:tc>
          <w:tcPr>
            <w:tcW w:w="3126"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评分标准</w:t>
            </w:r>
          </w:p>
        </w:tc>
        <w:tc>
          <w:tcPr>
            <w:tcW w:w="3199"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评价情况</w:t>
            </w:r>
          </w:p>
        </w:tc>
        <w:tc>
          <w:tcPr>
            <w:tcW w:w="641" w:type="dxa"/>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得分</w:t>
            </w:r>
          </w:p>
        </w:tc>
      </w:tr>
      <w:tr>
        <w:tblPrEx>
          <w:tblCellMar>
            <w:top w:w="0" w:type="dxa"/>
            <w:left w:w="0" w:type="dxa"/>
            <w:bottom w:w="0" w:type="dxa"/>
            <w:right w:w="0" w:type="dxa"/>
          </w:tblCellMar>
        </w:tblPrEx>
        <w:trPr>
          <w:trHeight w:val="840" w:hRule="atLeast"/>
        </w:trPr>
        <w:tc>
          <w:tcPr>
            <w:tcW w:w="800"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投入（16分）</w:t>
            </w:r>
          </w:p>
        </w:tc>
        <w:tc>
          <w:tcPr>
            <w:tcW w:w="1117"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目标设定（10分）</w:t>
            </w:r>
          </w:p>
        </w:tc>
        <w:tc>
          <w:tcPr>
            <w:tcW w:w="1008"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绩效目标的合理性（3分）</w:t>
            </w:r>
          </w:p>
        </w:tc>
        <w:tc>
          <w:tcPr>
            <w:tcW w:w="3126"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整体绩效目标符合国家法律法规、国民经济和社会发展总体规划，符合部门“三定”方案确定的职责，符合部门制定的中长期实施规划。以上均符合计3分，每有1项不符合扣1分，扣完为止。</w:t>
            </w:r>
          </w:p>
        </w:tc>
        <w:tc>
          <w:tcPr>
            <w:tcW w:w="3199"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整体绩效目标符合国家法律法规和部门“三定”方案确定的职责</w:t>
            </w:r>
          </w:p>
        </w:tc>
        <w:tc>
          <w:tcPr>
            <w:tcW w:w="641" w:type="dxa"/>
            <w:vMerge w:val="restart"/>
            <w:tcBorders>
              <w:top w:val="single" w:color="auto" w:sz="4" w:space="0"/>
              <w:left w:val="single" w:color="auto"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1117"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3199"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641"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1496" w:hRule="atLeast"/>
        </w:trPr>
        <w:tc>
          <w:tcPr>
            <w:tcW w:w="800" w:type="dxa"/>
            <w:vMerge w:val="continue"/>
            <w:tcBorders>
              <w:top w:val="single" w:color="auto"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绩效指标的明确性（7分）</w:t>
            </w:r>
          </w:p>
        </w:tc>
        <w:tc>
          <w:tcPr>
            <w:tcW w:w="3126"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绩效目标细化计2分，量化计2分，与市及区绩效办考核任务数相对应计2分，与部门年度的任务数或计划数相对应计1分。否计0分。</w:t>
            </w:r>
          </w:p>
        </w:tc>
        <w:tc>
          <w:tcPr>
            <w:tcW w:w="3199"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年初填报了部门整体绩效目标和3个专项资金绩效目标，绩效指标清晰、细化、可衡量。</w:t>
            </w:r>
          </w:p>
        </w:tc>
        <w:tc>
          <w:tcPr>
            <w:tcW w:w="641" w:type="dxa"/>
            <w:tcBorders>
              <w:top w:val="single" w:color="auto"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r>
      <w:tr>
        <w:tblPrEx>
          <w:tblCellMar>
            <w:top w:w="0" w:type="dxa"/>
            <w:left w:w="0" w:type="dxa"/>
            <w:bottom w:w="0" w:type="dxa"/>
            <w:right w:w="0" w:type="dxa"/>
          </w:tblCellMar>
        </w:tblPrEx>
        <w:trPr>
          <w:trHeight w:val="480" w:hRule="atLeast"/>
        </w:trPr>
        <w:tc>
          <w:tcPr>
            <w:tcW w:w="800"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预算配置   （6分）</w:t>
            </w: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在职人员控制率（3分）</w:t>
            </w:r>
          </w:p>
        </w:tc>
        <w:tc>
          <w:tcPr>
            <w:tcW w:w="31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以100%为标准。在职人员控制率≦100%，计3分；每超过一个百分点扣0.2分，扣完为止。</w:t>
            </w:r>
          </w:p>
        </w:tc>
        <w:tc>
          <w:tcPr>
            <w:tcW w:w="31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2018年行政编制4人，实际6人，超编2人；服务中心事业编制3人，实际4人，超编1人。10/7=142.86%，扣3分</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949" w:hRule="atLeast"/>
        </w:trPr>
        <w:tc>
          <w:tcPr>
            <w:tcW w:w="800"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31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1525" w:hRule="atLeast"/>
        </w:trPr>
        <w:tc>
          <w:tcPr>
            <w:tcW w:w="800"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“三公经费”变动率（3分）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“三公经费”变动率≦0,计3分；“三公经费”＞0，每超过一个百分点扣0.2分，扣完为止。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2018年度“三公经费”预算数7.5万元，与上年持平。</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480" w:hRule="atLeast"/>
        </w:trPr>
        <w:tc>
          <w:tcPr>
            <w:tcW w:w="800"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过                                                                                                                                       程    （44分）</w:t>
            </w:r>
          </w:p>
        </w:tc>
        <w:tc>
          <w:tcPr>
            <w:tcW w:w="111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预算执行  （8分）</w:t>
            </w: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预算完成率（4分）</w:t>
            </w:r>
          </w:p>
        </w:tc>
        <w:tc>
          <w:tcPr>
            <w:tcW w:w="31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100%计满分，每低于5%扣1分，扣完为止。</w:t>
            </w:r>
          </w:p>
        </w:tc>
        <w:tc>
          <w:tcPr>
            <w:tcW w:w="31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2018年下达指标1459.13万元，完成1325.34万元，完成率90.83%。扣1分</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1</w:t>
            </w:r>
          </w:p>
        </w:tc>
      </w:tr>
      <w:tr>
        <w:tblPrEx>
          <w:tblCellMar>
            <w:top w:w="0" w:type="dxa"/>
            <w:left w:w="0" w:type="dxa"/>
            <w:bottom w:w="0" w:type="dxa"/>
            <w:right w:w="0" w:type="dxa"/>
          </w:tblCellMar>
        </w:tblPrEx>
        <w:trPr>
          <w:trHeight w:val="38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31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114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预算控制率（4分）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预算控制率=0，计5分；0-10%（含），计4分；10-20%（含），计3分；20-30%（含），计2分；大于30%不得分。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本年预算无追加调整</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r>
      <w:tr>
        <w:tblPrEx>
          <w:tblCellMar>
            <w:top w:w="0" w:type="dxa"/>
            <w:left w:w="0" w:type="dxa"/>
            <w:bottom w:w="0" w:type="dxa"/>
            <w:right w:w="0" w:type="dxa"/>
          </w:tblCellMar>
        </w:tblPrEx>
        <w:trPr>
          <w:trHeight w:val="48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预算管理（30分）</w:t>
            </w: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公用经费控制率（4分）</w:t>
            </w:r>
          </w:p>
        </w:tc>
        <w:tc>
          <w:tcPr>
            <w:tcW w:w="31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100%以下（含）计满分，每超出1%扣0.5分，扣完为止。</w:t>
            </w:r>
          </w:p>
        </w:tc>
        <w:tc>
          <w:tcPr>
            <w:tcW w:w="31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预算公用经费17.6万元，决算报表42.70万元，调整后公用经费26.18万元，26.18/17.6=148.75%</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w:t>
            </w:r>
          </w:p>
        </w:tc>
      </w:tr>
      <w:tr>
        <w:tblPrEx>
          <w:tblCellMar>
            <w:top w:w="0" w:type="dxa"/>
            <w:left w:w="0" w:type="dxa"/>
            <w:bottom w:w="0" w:type="dxa"/>
            <w:right w:w="0" w:type="dxa"/>
          </w:tblCellMar>
        </w:tblPrEx>
        <w:trPr>
          <w:trHeight w:val="50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31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92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“三公经费”控制率（4分）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100%以下（含）计满分，每超出1%扣0.5分，扣完为止。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公务接待经费预算7.5万元，未核算公务接待费，决算按1万元填报；</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r>
      <w:tr>
        <w:tblPrEx>
          <w:tblCellMar>
            <w:top w:w="0" w:type="dxa"/>
            <w:left w:w="0" w:type="dxa"/>
            <w:bottom w:w="0" w:type="dxa"/>
            <w:right w:w="0" w:type="dxa"/>
          </w:tblCellMar>
        </w:tblPrEx>
        <w:trPr>
          <w:trHeight w:val="880" w:hRule="atLeast"/>
        </w:trPr>
        <w:tc>
          <w:tcPr>
            <w:tcW w:w="80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政府采购执行率（4分）</w:t>
            </w:r>
          </w:p>
        </w:tc>
        <w:tc>
          <w:tcPr>
            <w:tcW w:w="31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100%计满分，每超过（降低）5%扣0.5分。扣完为止。</w:t>
            </w:r>
          </w:p>
        </w:tc>
        <w:tc>
          <w:tcPr>
            <w:tcW w:w="319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政府采购预算批复6项105万元，实际采购3项47.8万元，47.8/105=45.52%</w:t>
            </w:r>
          </w:p>
        </w:tc>
        <w:tc>
          <w:tcPr>
            <w:tcW w:w="64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kern w:val="0"/>
                <w:sz w:val="20"/>
                <w:szCs w:val="20"/>
              </w:rPr>
              <w:t>0</w:t>
            </w:r>
          </w:p>
        </w:tc>
      </w:tr>
      <w:tr>
        <w:tblPrEx>
          <w:tblCellMar>
            <w:top w:w="0" w:type="dxa"/>
            <w:left w:w="0" w:type="dxa"/>
            <w:bottom w:w="0" w:type="dxa"/>
            <w:right w:w="0" w:type="dxa"/>
          </w:tblCellMar>
        </w:tblPrEx>
        <w:trPr>
          <w:trHeight w:val="78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管理制度健全性（5分）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①有预算管理、财务管理、会计核算等内部控制制度，1分；少1项制度扣0.5分，扣完为止；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制订了《内部控制手册》</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r>
      <w:tr>
        <w:tblPrEx>
          <w:tblCellMar>
            <w:top w:w="0" w:type="dxa"/>
            <w:left w:w="0" w:type="dxa"/>
            <w:bottom w:w="0" w:type="dxa"/>
            <w:right w:w="0" w:type="dxa"/>
          </w:tblCellMar>
        </w:tblPrEx>
        <w:trPr>
          <w:trHeight w:val="54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②有本部门厉行节约制度,1分，否计0分。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制订《区残联机关厉行节约制度》</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r>
      <w:tr>
        <w:tblPrEx>
          <w:tblCellMar>
            <w:top w:w="0" w:type="dxa"/>
            <w:left w:w="0" w:type="dxa"/>
            <w:bottom w:w="0" w:type="dxa"/>
            <w:right w:w="0" w:type="dxa"/>
          </w:tblCellMar>
        </w:tblPrEx>
        <w:trPr>
          <w:trHeight w:val="1403"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③相关管理制度合法、合规、完整，1分；出现1例不符合扣0.5分，扣完为止④相关管理制度得到有效执行，2分，出现1例未严格执行扣0.5分，扣完为止。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制订了《长沙市望城区“一户多残”家庭生活补助实施方案》等管理制度，并有效执行</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9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资金使用合规性（5分）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以上情况每出现一例不符合要求的扣1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资金使用基本合规，但个别资金使用不规范，2018年11月8日付铜官街道万星村软弱涣散党组织5万元，与区残联无经费关系和业务关系，不符合预算用途；但因为执行区领导批示，暂不扣分。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5</w:t>
            </w:r>
          </w:p>
        </w:tc>
      </w:tr>
      <w:tr>
        <w:tblPrEx>
          <w:tblCellMar>
            <w:top w:w="0" w:type="dxa"/>
            <w:left w:w="0" w:type="dxa"/>
            <w:bottom w:w="0" w:type="dxa"/>
            <w:right w:w="0" w:type="dxa"/>
          </w:tblCellMar>
        </w:tblPrEx>
        <w:trPr>
          <w:trHeight w:val="166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财务监控有效性（4分）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是否已制定相应的监控机制，机制完善计2分，有机制不完善计1分，无机制计0分；②是否采取了相应的财务检查等必要的监控措施或手段，对已分配的资金，组织了至少1次检查且检查有反馈有整改计2分，有检查无反馈计1分，无检查计0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制定了《区残联权力运行监督机制》、《内部控制手册》等，但辅具、果树发放等项目事后未组织检查、整改。扣1分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196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预决算信息公开性（4分）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①按规定内容、时限公开预决算信息，1分；③基础数据信息和会计信息资料真实，1分；④基础数据信息和会计信息资料完整，1分；⑤基础数据信息和会计信息资料准确，1分。 以上情况每出现一例不符合要求的扣1分，扣完为止。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2018年预算1月30日在区政府网站公开，决算尚未批复，暂未公开。基础数据完整、真实、准确，但会计信息存在不真实、不完整、不准确的现象，扣1.5分。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r>
      <w:tr>
        <w:tblPrEx>
          <w:tblCellMar>
            <w:top w:w="0" w:type="dxa"/>
            <w:left w:w="0" w:type="dxa"/>
            <w:bottom w:w="0" w:type="dxa"/>
            <w:right w:w="0" w:type="dxa"/>
          </w:tblCellMar>
        </w:tblPrEx>
        <w:trPr>
          <w:trHeight w:val="48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  （6分）</w:t>
            </w: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资产管理制度健全性（2分）</w:t>
            </w:r>
          </w:p>
        </w:tc>
        <w:tc>
          <w:tcPr>
            <w:tcW w:w="3126"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制定或具有合法、合规、完整资产管理制度且得到有效执行计2分，有制度但未有效执行扣1分，无制度不计分。</w:t>
            </w:r>
          </w:p>
        </w:tc>
        <w:tc>
          <w:tcPr>
            <w:tcW w:w="319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《内部控制手册》中制定了管理制度，并能有效执行</w:t>
            </w:r>
          </w:p>
        </w:tc>
        <w:tc>
          <w:tcPr>
            <w:tcW w:w="641"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48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319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left"/>
              <w:rPr>
                <w:rFonts w:ascii="宋体" w:hAnsi="宋体" w:cs="宋体"/>
                <w:color w:val="000000"/>
                <w:sz w:val="20"/>
                <w:szCs w:val="20"/>
              </w:rPr>
            </w:pPr>
          </w:p>
        </w:tc>
        <w:tc>
          <w:tcPr>
            <w:tcW w:w="641"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r>
      <w:tr>
        <w:tblPrEx>
          <w:tblCellMar>
            <w:top w:w="0" w:type="dxa"/>
            <w:left w:w="0" w:type="dxa"/>
            <w:bottom w:w="0" w:type="dxa"/>
            <w:right w:w="0" w:type="dxa"/>
          </w:tblCellMar>
        </w:tblPrEx>
        <w:trPr>
          <w:trHeight w:val="940" w:hRule="atLeast"/>
        </w:trPr>
        <w:tc>
          <w:tcPr>
            <w:tcW w:w="800"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资产管理安全性（2分）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部门资产保存完整、使用合规、配置合理、处置规范、收入及时足额上缴计2分，每出现1项不合规情况扣0.5分，扣完为止。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2018年12月进行了全面财务清查，对盘盈盘亏资产、多年挂账往来查明了原因，并提出了调账方案。</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900" w:hRule="atLeast"/>
        </w:trPr>
        <w:tc>
          <w:tcPr>
            <w:tcW w:w="800"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000000"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固定资产利用率（2分）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以100%为标准，固定资产利用率每低1个百分点扣0.1分，扣完为止。</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未见闲置固定资产</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1440" w:hRule="atLeast"/>
        </w:trPr>
        <w:tc>
          <w:tcPr>
            <w:tcW w:w="800" w:type="dxa"/>
            <w:vMerge w:val="restart"/>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产 出   （20分）</w:t>
            </w:r>
          </w:p>
        </w:tc>
        <w:tc>
          <w:tcPr>
            <w:tcW w:w="1117" w:type="dxa"/>
            <w:vMerge w:val="restart"/>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职责      履行     （20分）</w:t>
            </w:r>
          </w:p>
        </w:tc>
        <w:tc>
          <w:tcPr>
            <w:tcW w:w="1008" w:type="dxa"/>
            <w:vMerge w:val="restar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康复项目  （8分）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实施长沙市残疾人精准康复行动2018年残疾儿童康复项目,有需求的残疾儿童和持证残疾人接受基本康复服务覆盖面达70%;完成市重点民生实事项目任务40人。 （4分）覆盖率每低10%扣1分，市重点民生任务每少1人扣0.2分。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筛查残疾儿童211名进行康复训练,参训率100%；其中50人通过市重点民生实事项目验收</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r>
      <w:tr>
        <w:tblPrEx>
          <w:tblCellMar>
            <w:top w:w="0" w:type="dxa"/>
            <w:left w:w="0" w:type="dxa"/>
            <w:bottom w:w="0" w:type="dxa"/>
            <w:right w:w="0" w:type="dxa"/>
          </w:tblCellMar>
        </w:tblPrEx>
        <w:trPr>
          <w:trHeight w:val="96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为有辅助需求的残疾人进行辅具适配,年度任务1025人。3分，按器具质量、利用率等酌情扣分。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全年实际为1215人发放了辅具1434件，超额190人；但大部分器具存在质量或适配性问题，扣1分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102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开展光明关爱工程,为全区110名低弱视力患者和150名白内障患者实施免费治疗，1分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为全区110名低弱视力患者配发助视器，为150名白内障患者在爱尔眼科医院做了白内障手术</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r>
      <w:tr>
        <w:tblPrEx>
          <w:tblCellMar>
            <w:top w:w="0" w:type="dxa"/>
            <w:left w:w="0" w:type="dxa"/>
            <w:bottom w:w="0" w:type="dxa"/>
            <w:right w:w="0" w:type="dxa"/>
          </w:tblCellMar>
        </w:tblPrEx>
        <w:trPr>
          <w:trHeight w:val="74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restart"/>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就业保障项目  （9分）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走访慰问残疾人600人；2分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春节前慰问残疾人和残疾人工作者730户。其中重复4人，扣0.5分。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r>
      <w:tr>
        <w:tblPrEx>
          <w:tblCellMar>
            <w:top w:w="0" w:type="dxa"/>
            <w:left w:w="0" w:type="dxa"/>
            <w:bottom w:w="0" w:type="dxa"/>
            <w:right w:w="0" w:type="dxa"/>
          </w:tblCellMar>
        </w:tblPrEx>
        <w:trPr>
          <w:trHeight w:val="60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扶持残疾人创业15人，1分，每少1人扣0.5分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扶持残疾人创业16人</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r>
      <w:tr>
        <w:tblPrEx>
          <w:tblCellMar>
            <w:top w:w="0" w:type="dxa"/>
            <w:left w:w="0" w:type="dxa"/>
            <w:bottom w:w="0" w:type="dxa"/>
            <w:right w:w="0" w:type="dxa"/>
          </w:tblCellMar>
        </w:tblPrEx>
        <w:trPr>
          <w:trHeight w:val="84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完成1个社区和70户残疾人家庭的无障碍改造，2分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为丁字街道兴城社区和70户残疾人家庭进行了无障碍改造，并验收合格</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84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完成市残联下达居家托养任务80人；机构托养人员按登记需求应托尽托。 2分，居家任务每少1人扣0.2分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2018年残疾人居家托养80人，完成市残联下达任务；机构托养人员72人</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106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auto"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扶持农村残疾人创业-阳光增收果树项目，2分，根据果树成活情况酌情扣分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采购果树苗5200株，发放给茶亭镇、桥驿镇的133位残疾人裁种，但成活率低，扣1.5分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0.5</w:t>
            </w:r>
          </w:p>
        </w:tc>
      </w:tr>
      <w:tr>
        <w:tblPrEx>
          <w:tblCellMar>
            <w:top w:w="0" w:type="dxa"/>
            <w:left w:w="0" w:type="dxa"/>
            <w:bottom w:w="0" w:type="dxa"/>
            <w:right w:w="0" w:type="dxa"/>
          </w:tblCellMar>
        </w:tblPrEx>
        <w:trPr>
          <w:trHeight w:val="840" w:hRule="atLeast"/>
        </w:trPr>
        <w:tc>
          <w:tcPr>
            <w:tcW w:w="800" w:type="dxa"/>
            <w:vMerge w:val="continue"/>
            <w:tcBorders>
              <w:top w:val="single" w:color="auto" w:sz="4" w:space="0"/>
              <w:left w:val="single" w:color="auto"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auto"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tcBorders>
              <w:top w:val="single" w:color="000000" w:sz="4" w:space="0"/>
              <w:left w:val="single" w:color="auto"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区级项目（3分）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为符合条件的“一户多残”贫困残疾人家庭发放生活补助，3分 按是否足额、及时发放等酌情扣分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全年发放1069户，每月每户240元，做到应发放尽发，及时足额发放</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840" w:hRule="atLeast"/>
        </w:trPr>
        <w:tc>
          <w:tcPr>
            <w:tcW w:w="800"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效 率   （20分）</w:t>
            </w:r>
          </w:p>
        </w:tc>
        <w:tc>
          <w:tcPr>
            <w:tcW w:w="1117" w:type="dxa"/>
            <w:vMerge w:val="restart"/>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履职     效益      （20分）</w:t>
            </w: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经济效益  （5分）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扶持残疾人创业、就业项目经济效益良好   3分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扶持的残疾人企业、个体工商户经营正常；但阳光增收果树种植成活率低，效益差，扣0.5分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r>
      <w:tr>
        <w:tblPrEx>
          <w:tblCellMar>
            <w:top w:w="0" w:type="dxa"/>
            <w:left w:w="0" w:type="dxa"/>
            <w:bottom w:w="0" w:type="dxa"/>
            <w:right w:w="0" w:type="dxa"/>
          </w:tblCellMar>
        </w:tblPrEx>
        <w:trPr>
          <w:trHeight w:val="48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采购物资价廉物美，购买服务质优价廉   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残疾人辅具闲置废弃较多，扣0.5分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r>
      <w:tr>
        <w:tblPrEx>
          <w:tblCellMar>
            <w:top w:w="0" w:type="dxa"/>
            <w:left w:w="0" w:type="dxa"/>
            <w:bottom w:w="0" w:type="dxa"/>
            <w:right w:w="0" w:type="dxa"/>
          </w:tblCellMar>
        </w:tblPrEx>
        <w:trPr>
          <w:trHeight w:val="84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社会效益（10分）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改善残疾儿童健康状况，造福儿童个人及家庭 3分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通过市重点民生实事考核，为10名听障儿童购置助听器，康复训练效果较好</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114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改善残疾人出行环境，提高残疾人生活质量 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逐步进行社区和家庭无障碍改造，为19名肢残人员免费装配假肢，免费发放轮椅343座、拐杖等助行工具，为肢残人员提供出行方便</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66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补贴“一户多残”家庭，缓解贫困家庭生活困难 3分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为1069户“一户多残”家庭发放了补助金，做到了应补尽补</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r>
      <w:tr>
        <w:tblPrEx>
          <w:tblCellMar>
            <w:top w:w="0" w:type="dxa"/>
            <w:left w:w="0" w:type="dxa"/>
            <w:bottom w:w="0" w:type="dxa"/>
            <w:right w:w="0" w:type="dxa"/>
          </w:tblCellMar>
        </w:tblPrEx>
        <w:trPr>
          <w:trHeight w:val="48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开展托养服务，解除残疾人家庭的后顾之忧  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为152人参加托养服务</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86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restart"/>
            <w:tcBorders>
              <w:top w:val="nil"/>
              <w:left w:val="single" w:color="000000" w:sz="4" w:space="0"/>
              <w:bottom w:val="nil"/>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服务对象满意度   （5分）</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受助残疾人及家人满意度大于95%  3分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对儿童康复、春节慰问、托养等项目满意度较高，对辅具、果树项目满意度较低，扣0.5分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r>
      <w:tr>
        <w:tblPrEx>
          <w:tblCellMar>
            <w:top w:w="0" w:type="dxa"/>
            <w:left w:w="0" w:type="dxa"/>
            <w:bottom w:w="0" w:type="dxa"/>
            <w:right w:w="0" w:type="dxa"/>
          </w:tblCellMar>
        </w:tblPrEx>
        <w:trPr>
          <w:trHeight w:val="480" w:hRule="atLeast"/>
        </w:trPr>
        <w:tc>
          <w:tcPr>
            <w:tcW w:w="800"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117" w:type="dxa"/>
            <w:vMerge w:val="continue"/>
            <w:tcBorders>
              <w:top w:val="single" w:color="auto" w:sz="4" w:space="0"/>
              <w:left w:val="single" w:color="000000" w:sz="4" w:space="0"/>
              <w:bottom w:val="single" w:color="auto" w:sz="4" w:space="0"/>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1008" w:type="dxa"/>
            <w:vMerge w:val="continue"/>
            <w:tcBorders>
              <w:top w:val="nil"/>
              <w:left w:val="single" w:color="000000" w:sz="4" w:space="0"/>
              <w:bottom w:val="nil"/>
              <w:right w:val="single" w:color="000000" w:sz="4" w:space="0"/>
            </w:tcBorders>
            <w:tcMar>
              <w:top w:w="15" w:type="dxa"/>
              <w:left w:w="15" w:type="dxa"/>
              <w:right w:w="15" w:type="dxa"/>
            </w:tcMar>
            <w:vAlign w:val="center"/>
          </w:tcPr>
          <w:p>
            <w:pPr>
              <w:jc w:val="center"/>
              <w:rPr>
                <w:rFonts w:ascii="宋体" w:hAnsi="宋体" w:cs="宋体"/>
                <w:color w:val="000000"/>
                <w:sz w:val="20"/>
                <w:szCs w:val="20"/>
              </w:rPr>
            </w:pP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基层残疾人工作者满意度大于95%  2分</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随机调查，基本满意</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480" w:hRule="atLeast"/>
        </w:trPr>
        <w:tc>
          <w:tcPr>
            <w:tcW w:w="2925"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合计</w:t>
            </w:r>
          </w:p>
        </w:tc>
        <w:tc>
          <w:tcPr>
            <w:tcW w:w="312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100</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实际得分</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81</w:t>
            </w:r>
          </w:p>
        </w:tc>
      </w:tr>
      <w:tr>
        <w:tblPrEx>
          <w:tblCellMar>
            <w:top w:w="0" w:type="dxa"/>
            <w:left w:w="0" w:type="dxa"/>
            <w:bottom w:w="0" w:type="dxa"/>
            <w:right w:w="0" w:type="dxa"/>
          </w:tblCellMar>
        </w:tblPrEx>
        <w:trPr>
          <w:trHeight w:val="480" w:hRule="atLeast"/>
        </w:trPr>
        <w:tc>
          <w:tcPr>
            <w:tcW w:w="6051"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left"/>
              <w:textAlignment w:val="center"/>
              <w:rPr>
                <w:rFonts w:ascii="宋体" w:hAnsi="宋体" w:cs="宋体"/>
                <w:color w:val="000000"/>
                <w:sz w:val="20"/>
                <w:szCs w:val="20"/>
              </w:rPr>
            </w:pPr>
            <w:r>
              <w:rPr>
                <w:rFonts w:hint="eastAsia" w:ascii="宋体" w:hAnsi="宋体" w:cs="宋体"/>
                <w:color w:val="000000"/>
                <w:kern w:val="0"/>
                <w:sz w:val="20"/>
                <w:szCs w:val="20"/>
              </w:rPr>
              <w:t>优≥90分，90＞良≥80分，80＞中≥70，70＞低≥60，差＜60　</w:t>
            </w:r>
          </w:p>
        </w:tc>
        <w:tc>
          <w:tcPr>
            <w:tcW w:w="319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评价等级</w:t>
            </w:r>
          </w:p>
        </w:tc>
        <w:tc>
          <w:tcPr>
            <w:tcW w:w="641"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良</w:t>
            </w:r>
          </w:p>
        </w:tc>
      </w:tr>
    </w:tbl>
    <w:p>
      <w:pPr>
        <w:spacing w:line="360" w:lineRule="auto"/>
        <w:ind w:firstLine="640"/>
        <w:jc w:val="center"/>
        <w:rPr>
          <w:rFonts w:ascii="宋体" w:hAnsi="宋体" w:cs="仿宋"/>
          <w:b/>
          <w:bCs/>
          <w:kern w:val="0"/>
          <w:sz w:val="44"/>
          <w:szCs w:val="44"/>
        </w:rPr>
      </w:pPr>
    </w:p>
    <w:p/>
    <w:p>
      <w:pPr>
        <w:spacing w:line="360" w:lineRule="auto"/>
        <w:rPr>
          <w:rFonts w:ascii="仿宋_GB2312" w:eastAsia="仿宋_GB2312" w:hAnsiTheme="minorHAnsi"/>
          <w:sz w:val="32"/>
          <w:szCs w:val="32"/>
        </w:rPr>
      </w:pPr>
    </w:p>
    <w:p>
      <w:pPr>
        <w:spacing w:line="360" w:lineRule="auto"/>
        <w:rPr>
          <w:rFonts w:ascii="仿宋_GB2312" w:eastAsia="仿宋_GB2312" w:hAnsiTheme="minorHAnsi"/>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swiss"/>
    <w:pitch w:val="default"/>
    <w:sig w:usb0="00000000" w:usb1="00000000"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Arial Narrow">
    <w:altName w:val="Batang"/>
    <w:panose1 w:val="00000000000000000000"/>
    <w:charset w:val="00"/>
    <w:family w:val="swiss"/>
    <w:pitch w:val="default"/>
    <w:sig w:usb0="00000000" w:usb1="00000000" w:usb2="00000000" w:usb3="00000000" w:csb0="2000009F" w:csb1="DFD7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40864BD"/>
    <w:rsid w:val="00000338"/>
    <w:rsid w:val="00001B99"/>
    <w:rsid w:val="00014DA5"/>
    <w:rsid w:val="00025177"/>
    <w:rsid w:val="00026C0B"/>
    <w:rsid w:val="0002768C"/>
    <w:rsid w:val="0003514E"/>
    <w:rsid w:val="00041F88"/>
    <w:rsid w:val="00046FA5"/>
    <w:rsid w:val="00053D3A"/>
    <w:rsid w:val="000565B5"/>
    <w:rsid w:val="00061FA4"/>
    <w:rsid w:val="000636C1"/>
    <w:rsid w:val="000677EE"/>
    <w:rsid w:val="00074368"/>
    <w:rsid w:val="0007440E"/>
    <w:rsid w:val="000760C1"/>
    <w:rsid w:val="00076E14"/>
    <w:rsid w:val="00077CB3"/>
    <w:rsid w:val="00080F00"/>
    <w:rsid w:val="00091626"/>
    <w:rsid w:val="00092880"/>
    <w:rsid w:val="00094D65"/>
    <w:rsid w:val="000A1009"/>
    <w:rsid w:val="000A17C6"/>
    <w:rsid w:val="000A1A94"/>
    <w:rsid w:val="000A4225"/>
    <w:rsid w:val="000A79ED"/>
    <w:rsid w:val="000C0D65"/>
    <w:rsid w:val="000C4822"/>
    <w:rsid w:val="000D2F70"/>
    <w:rsid w:val="000D3F91"/>
    <w:rsid w:val="000D528D"/>
    <w:rsid w:val="000E48DA"/>
    <w:rsid w:val="000E51CD"/>
    <w:rsid w:val="000F02A9"/>
    <w:rsid w:val="000F5F2F"/>
    <w:rsid w:val="0010011F"/>
    <w:rsid w:val="00110C72"/>
    <w:rsid w:val="001111E0"/>
    <w:rsid w:val="00113540"/>
    <w:rsid w:val="00113610"/>
    <w:rsid w:val="001229B0"/>
    <w:rsid w:val="001304A6"/>
    <w:rsid w:val="00147F2F"/>
    <w:rsid w:val="00167EB5"/>
    <w:rsid w:val="00174E6F"/>
    <w:rsid w:val="001751F4"/>
    <w:rsid w:val="001768C5"/>
    <w:rsid w:val="00182413"/>
    <w:rsid w:val="00183E9F"/>
    <w:rsid w:val="00187A9C"/>
    <w:rsid w:val="00190ED1"/>
    <w:rsid w:val="00192AC9"/>
    <w:rsid w:val="00196E0A"/>
    <w:rsid w:val="001A43B3"/>
    <w:rsid w:val="001B34D7"/>
    <w:rsid w:val="001B3D54"/>
    <w:rsid w:val="001C13D2"/>
    <w:rsid w:val="001D0E9A"/>
    <w:rsid w:val="001D0FDD"/>
    <w:rsid w:val="001D372E"/>
    <w:rsid w:val="001D744D"/>
    <w:rsid w:val="001E2B79"/>
    <w:rsid w:val="001E5240"/>
    <w:rsid w:val="001E71BD"/>
    <w:rsid w:val="001F5CA2"/>
    <w:rsid w:val="00202006"/>
    <w:rsid w:val="0021101F"/>
    <w:rsid w:val="00212AB9"/>
    <w:rsid w:val="00213AC1"/>
    <w:rsid w:val="00214D37"/>
    <w:rsid w:val="0022442D"/>
    <w:rsid w:val="00226229"/>
    <w:rsid w:val="00227B16"/>
    <w:rsid w:val="00231608"/>
    <w:rsid w:val="0023326B"/>
    <w:rsid w:val="00244F2B"/>
    <w:rsid w:val="002558EB"/>
    <w:rsid w:val="0026083C"/>
    <w:rsid w:val="0026447D"/>
    <w:rsid w:val="00271B88"/>
    <w:rsid w:val="00275F97"/>
    <w:rsid w:val="00277363"/>
    <w:rsid w:val="00280287"/>
    <w:rsid w:val="002855A0"/>
    <w:rsid w:val="00293024"/>
    <w:rsid w:val="0029310B"/>
    <w:rsid w:val="002A33D9"/>
    <w:rsid w:val="002B15ED"/>
    <w:rsid w:val="002B549E"/>
    <w:rsid w:val="002C09EB"/>
    <w:rsid w:val="002C0C93"/>
    <w:rsid w:val="002C10AD"/>
    <w:rsid w:val="002C53DF"/>
    <w:rsid w:val="002D08BB"/>
    <w:rsid w:val="002D1449"/>
    <w:rsid w:val="002D46B5"/>
    <w:rsid w:val="002D50D3"/>
    <w:rsid w:val="002F0F69"/>
    <w:rsid w:val="002F105F"/>
    <w:rsid w:val="002F11A3"/>
    <w:rsid w:val="002F2DE3"/>
    <w:rsid w:val="002F4819"/>
    <w:rsid w:val="002F6A3D"/>
    <w:rsid w:val="003043BD"/>
    <w:rsid w:val="00310AFB"/>
    <w:rsid w:val="00310E7C"/>
    <w:rsid w:val="00311E90"/>
    <w:rsid w:val="00314A89"/>
    <w:rsid w:val="00322C39"/>
    <w:rsid w:val="003234E3"/>
    <w:rsid w:val="003239D4"/>
    <w:rsid w:val="003361D4"/>
    <w:rsid w:val="00336FDA"/>
    <w:rsid w:val="00343A41"/>
    <w:rsid w:val="00353E0A"/>
    <w:rsid w:val="003541A8"/>
    <w:rsid w:val="00361C4D"/>
    <w:rsid w:val="003645A0"/>
    <w:rsid w:val="00367C12"/>
    <w:rsid w:val="00370956"/>
    <w:rsid w:val="003775D8"/>
    <w:rsid w:val="00382441"/>
    <w:rsid w:val="003876B8"/>
    <w:rsid w:val="00397CF0"/>
    <w:rsid w:val="003A48C1"/>
    <w:rsid w:val="003B02B9"/>
    <w:rsid w:val="003B47FD"/>
    <w:rsid w:val="003B5130"/>
    <w:rsid w:val="003C64B8"/>
    <w:rsid w:val="003C676E"/>
    <w:rsid w:val="003E2EDE"/>
    <w:rsid w:val="003F5A9C"/>
    <w:rsid w:val="00400B87"/>
    <w:rsid w:val="00401D45"/>
    <w:rsid w:val="00403492"/>
    <w:rsid w:val="0040585D"/>
    <w:rsid w:val="0040720C"/>
    <w:rsid w:val="00407910"/>
    <w:rsid w:val="00414975"/>
    <w:rsid w:val="004208E3"/>
    <w:rsid w:val="00427AF9"/>
    <w:rsid w:val="004326CA"/>
    <w:rsid w:val="004328E1"/>
    <w:rsid w:val="00432AD1"/>
    <w:rsid w:val="00433904"/>
    <w:rsid w:val="00441002"/>
    <w:rsid w:val="004467F8"/>
    <w:rsid w:val="00451B8D"/>
    <w:rsid w:val="004713AF"/>
    <w:rsid w:val="004753D6"/>
    <w:rsid w:val="004833B4"/>
    <w:rsid w:val="00492AAC"/>
    <w:rsid w:val="004949CD"/>
    <w:rsid w:val="004A2B67"/>
    <w:rsid w:val="004A3C9F"/>
    <w:rsid w:val="004B5076"/>
    <w:rsid w:val="004D2C75"/>
    <w:rsid w:val="004D7B00"/>
    <w:rsid w:val="004E2A81"/>
    <w:rsid w:val="004E51E7"/>
    <w:rsid w:val="004E5385"/>
    <w:rsid w:val="004E6DEF"/>
    <w:rsid w:val="004E7F32"/>
    <w:rsid w:val="004F07A1"/>
    <w:rsid w:val="004F58E1"/>
    <w:rsid w:val="00507DBF"/>
    <w:rsid w:val="00512603"/>
    <w:rsid w:val="0051459C"/>
    <w:rsid w:val="00516704"/>
    <w:rsid w:val="00520334"/>
    <w:rsid w:val="00524C2C"/>
    <w:rsid w:val="00532892"/>
    <w:rsid w:val="00536D61"/>
    <w:rsid w:val="005432C6"/>
    <w:rsid w:val="00545C9A"/>
    <w:rsid w:val="00552C27"/>
    <w:rsid w:val="00560892"/>
    <w:rsid w:val="00563112"/>
    <w:rsid w:val="005633A1"/>
    <w:rsid w:val="00563437"/>
    <w:rsid w:val="00566501"/>
    <w:rsid w:val="0057393B"/>
    <w:rsid w:val="00573B9B"/>
    <w:rsid w:val="00575979"/>
    <w:rsid w:val="005762C7"/>
    <w:rsid w:val="00577EC6"/>
    <w:rsid w:val="0058110A"/>
    <w:rsid w:val="00585B97"/>
    <w:rsid w:val="00592401"/>
    <w:rsid w:val="005928B9"/>
    <w:rsid w:val="005934A8"/>
    <w:rsid w:val="005A5882"/>
    <w:rsid w:val="005D1D8C"/>
    <w:rsid w:val="005D210C"/>
    <w:rsid w:val="005D5284"/>
    <w:rsid w:val="005E011D"/>
    <w:rsid w:val="005E2283"/>
    <w:rsid w:val="005E71C0"/>
    <w:rsid w:val="005E7906"/>
    <w:rsid w:val="005F284D"/>
    <w:rsid w:val="005F3E8C"/>
    <w:rsid w:val="005F46B5"/>
    <w:rsid w:val="005F54D3"/>
    <w:rsid w:val="00604168"/>
    <w:rsid w:val="006053CB"/>
    <w:rsid w:val="0061306A"/>
    <w:rsid w:val="006150AE"/>
    <w:rsid w:val="00620300"/>
    <w:rsid w:val="00626CC5"/>
    <w:rsid w:val="006362DB"/>
    <w:rsid w:val="0064072A"/>
    <w:rsid w:val="00643651"/>
    <w:rsid w:val="0066015F"/>
    <w:rsid w:val="0066067E"/>
    <w:rsid w:val="00664A4D"/>
    <w:rsid w:val="00674104"/>
    <w:rsid w:val="00686099"/>
    <w:rsid w:val="00692110"/>
    <w:rsid w:val="00693318"/>
    <w:rsid w:val="006960DE"/>
    <w:rsid w:val="00696EA8"/>
    <w:rsid w:val="006A56CB"/>
    <w:rsid w:val="006A6D80"/>
    <w:rsid w:val="006B42A0"/>
    <w:rsid w:val="006B71EC"/>
    <w:rsid w:val="006D60CE"/>
    <w:rsid w:val="006D714B"/>
    <w:rsid w:val="006E7504"/>
    <w:rsid w:val="006F0C0E"/>
    <w:rsid w:val="006F25C3"/>
    <w:rsid w:val="006F7747"/>
    <w:rsid w:val="00701341"/>
    <w:rsid w:val="007049CC"/>
    <w:rsid w:val="00704C29"/>
    <w:rsid w:val="007055FC"/>
    <w:rsid w:val="00705F61"/>
    <w:rsid w:val="00712639"/>
    <w:rsid w:val="00734C3D"/>
    <w:rsid w:val="00735457"/>
    <w:rsid w:val="00736AE3"/>
    <w:rsid w:val="00737518"/>
    <w:rsid w:val="007412BF"/>
    <w:rsid w:val="0074169B"/>
    <w:rsid w:val="00751C0F"/>
    <w:rsid w:val="007560D0"/>
    <w:rsid w:val="00757E35"/>
    <w:rsid w:val="0076330C"/>
    <w:rsid w:val="00772B64"/>
    <w:rsid w:val="007765E4"/>
    <w:rsid w:val="00776EAE"/>
    <w:rsid w:val="0078732D"/>
    <w:rsid w:val="00793B99"/>
    <w:rsid w:val="007B08C2"/>
    <w:rsid w:val="007B0C6E"/>
    <w:rsid w:val="007B19F2"/>
    <w:rsid w:val="007B209A"/>
    <w:rsid w:val="007C1B20"/>
    <w:rsid w:val="007C3096"/>
    <w:rsid w:val="007C3A10"/>
    <w:rsid w:val="007C5720"/>
    <w:rsid w:val="007C675F"/>
    <w:rsid w:val="007D3295"/>
    <w:rsid w:val="007D7F0F"/>
    <w:rsid w:val="007E0147"/>
    <w:rsid w:val="007F07EE"/>
    <w:rsid w:val="00800F0E"/>
    <w:rsid w:val="00803C53"/>
    <w:rsid w:val="00804B04"/>
    <w:rsid w:val="0081100D"/>
    <w:rsid w:val="008166D6"/>
    <w:rsid w:val="00821DA7"/>
    <w:rsid w:val="008245F8"/>
    <w:rsid w:val="00826231"/>
    <w:rsid w:val="00826910"/>
    <w:rsid w:val="0082735C"/>
    <w:rsid w:val="00830CD9"/>
    <w:rsid w:val="0083411F"/>
    <w:rsid w:val="0083727F"/>
    <w:rsid w:val="008515DB"/>
    <w:rsid w:val="00856680"/>
    <w:rsid w:val="008605C0"/>
    <w:rsid w:val="008618EA"/>
    <w:rsid w:val="00861CB4"/>
    <w:rsid w:val="00866E36"/>
    <w:rsid w:val="00867D5A"/>
    <w:rsid w:val="0087547D"/>
    <w:rsid w:val="00877BED"/>
    <w:rsid w:val="00880D3A"/>
    <w:rsid w:val="008A0467"/>
    <w:rsid w:val="008A7B32"/>
    <w:rsid w:val="008B25A6"/>
    <w:rsid w:val="008B32D7"/>
    <w:rsid w:val="008B4E79"/>
    <w:rsid w:val="008D1860"/>
    <w:rsid w:val="008D747E"/>
    <w:rsid w:val="008E1600"/>
    <w:rsid w:val="008F254D"/>
    <w:rsid w:val="00903E4E"/>
    <w:rsid w:val="009042C6"/>
    <w:rsid w:val="00923DDE"/>
    <w:rsid w:val="009269F6"/>
    <w:rsid w:val="00930437"/>
    <w:rsid w:val="00931503"/>
    <w:rsid w:val="00937D88"/>
    <w:rsid w:val="0094755B"/>
    <w:rsid w:val="009520E3"/>
    <w:rsid w:val="009529BC"/>
    <w:rsid w:val="00955B1D"/>
    <w:rsid w:val="00963672"/>
    <w:rsid w:val="009731D8"/>
    <w:rsid w:val="009762E9"/>
    <w:rsid w:val="00976B83"/>
    <w:rsid w:val="009779AE"/>
    <w:rsid w:val="00985063"/>
    <w:rsid w:val="009A418D"/>
    <w:rsid w:val="009B524E"/>
    <w:rsid w:val="009B574F"/>
    <w:rsid w:val="009C30F0"/>
    <w:rsid w:val="009C79B2"/>
    <w:rsid w:val="009D5362"/>
    <w:rsid w:val="009D7D92"/>
    <w:rsid w:val="009E01AE"/>
    <w:rsid w:val="009E6829"/>
    <w:rsid w:val="009E6F00"/>
    <w:rsid w:val="009E726F"/>
    <w:rsid w:val="009F1995"/>
    <w:rsid w:val="009F3A22"/>
    <w:rsid w:val="009F4C68"/>
    <w:rsid w:val="009F4DBF"/>
    <w:rsid w:val="00A01F27"/>
    <w:rsid w:val="00A04B0D"/>
    <w:rsid w:val="00A07FD6"/>
    <w:rsid w:val="00A12719"/>
    <w:rsid w:val="00A20004"/>
    <w:rsid w:val="00A26106"/>
    <w:rsid w:val="00A26616"/>
    <w:rsid w:val="00A42265"/>
    <w:rsid w:val="00A5125C"/>
    <w:rsid w:val="00A61B04"/>
    <w:rsid w:val="00A61DBE"/>
    <w:rsid w:val="00A6202B"/>
    <w:rsid w:val="00A63D5B"/>
    <w:rsid w:val="00A711C0"/>
    <w:rsid w:val="00A73DB0"/>
    <w:rsid w:val="00A75B6F"/>
    <w:rsid w:val="00A8251C"/>
    <w:rsid w:val="00A83319"/>
    <w:rsid w:val="00AB5ACE"/>
    <w:rsid w:val="00AC0999"/>
    <w:rsid w:val="00AC1CD5"/>
    <w:rsid w:val="00AD15F8"/>
    <w:rsid w:val="00AD7F50"/>
    <w:rsid w:val="00AE1A89"/>
    <w:rsid w:val="00AE20CB"/>
    <w:rsid w:val="00AE32D9"/>
    <w:rsid w:val="00AE6D78"/>
    <w:rsid w:val="00AF34A3"/>
    <w:rsid w:val="00B00A37"/>
    <w:rsid w:val="00B00C33"/>
    <w:rsid w:val="00B0199F"/>
    <w:rsid w:val="00B02B73"/>
    <w:rsid w:val="00B159F9"/>
    <w:rsid w:val="00B16CA3"/>
    <w:rsid w:val="00B21BED"/>
    <w:rsid w:val="00B264D9"/>
    <w:rsid w:val="00B27242"/>
    <w:rsid w:val="00B34757"/>
    <w:rsid w:val="00B36C5A"/>
    <w:rsid w:val="00B406CD"/>
    <w:rsid w:val="00B40E1C"/>
    <w:rsid w:val="00B41331"/>
    <w:rsid w:val="00B43DE7"/>
    <w:rsid w:val="00B44998"/>
    <w:rsid w:val="00B56D73"/>
    <w:rsid w:val="00B621E1"/>
    <w:rsid w:val="00B6432A"/>
    <w:rsid w:val="00B73DF9"/>
    <w:rsid w:val="00B763E9"/>
    <w:rsid w:val="00B77F60"/>
    <w:rsid w:val="00B85517"/>
    <w:rsid w:val="00B865D6"/>
    <w:rsid w:val="00B9061A"/>
    <w:rsid w:val="00B911E9"/>
    <w:rsid w:val="00B96D9E"/>
    <w:rsid w:val="00BA08B7"/>
    <w:rsid w:val="00BA1F19"/>
    <w:rsid w:val="00BA74D0"/>
    <w:rsid w:val="00BB526D"/>
    <w:rsid w:val="00BC3544"/>
    <w:rsid w:val="00BC46AC"/>
    <w:rsid w:val="00BC4E83"/>
    <w:rsid w:val="00BC64F6"/>
    <w:rsid w:val="00BC67F1"/>
    <w:rsid w:val="00BC6F3C"/>
    <w:rsid w:val="00BE3588"/>
    <w:rsid w:val="00BE7A17"/>
    <w:rsid w:val="00BF0B70"/>
    <w:rsid w:val="00BF55A2"/>
    <w:rsid w:val="00BF664B"/>
    <w:rsid w:val="00BF6ED5"/>
    <w:rsid w:val="00C03456"/>
    <w:rsid w:val="00C04BC1"/>
    <w:rsid w:val="00C11CCC"/>
    <w:rsid w:val="00C1263A"/>
    <w:rsid w:val="00C152F2"/>
    <w:rsid w:val="00C25F28"/>
    <w:rsid w:val="00C334D2"/>
    <w:rsid w:val="00C4648C"/>
    <w:rsid w:val="00C5171F"/>
    <w:rsid w:val="00C53D45"/>
    <w:rsid w:val="00C55D56"/>
    <w:rsid w:val="00C56FA8"/>
    <w:rsid w:val="00C603EE"/>
    <w:rsid w:val="00C64E29"/>
    <w:rsid w:val="00C707D1"/>
    <w:rsid w:val="00C712C5"/>
    <w:rsid w:val="00C774F9"/>
    <w:rsid w:val="00C7772D"/>
    <w:rsid w:val="00C80875"/>
    <w:rsid w:val="00C826BF"/>
    <w:rsid w:val="00C91969"/>
    <w:rsid w:val="00C91E2E"/>
    <w:rsid w:val="00CA2850"/>
    <w:rsid w:val="00CA2B81"/>
    <w:rsid w:val="00CA697F"/>
    <w:rsid w:val="00CB4249"/>
    <w:rsid w:val="00CB68D3"/>
    <w:rsid w:val="00CC6DC6"/>
    <w:rsid w:val="00CE14F3"/>
    <w:rsid w:val="00CE1FEF"/>
    <w:rsid w:val="00CF7CFE"/>
    <w:rsid w:val="00D05409"/>
    <w:rsid w:val="00D06160"/>
    <w:rsid w:val="00D15781"/>
    <w:rsid w:val="00D17581"/>
    <w:rsid w:val="00D17EBF"/>
    <w:rsid w:val="00D20770"/>
    <w:rsid w:val="00D2098B"/>
    <w:rsid w:val="00D256BC"/>
    <w:rsid w:val="00D32EEE"/>
    <w:rsid w:val="00D33ED1"/>
    <w:rsid w:val="00D35618"/>
    <w:rsid w:val="00D3647E"/>
    <w:rsid w:val="00D3799C"/>
    <w:rsid w:val="00D44020"/>
    <w:rsid w:val="00D4480D"/>
    <w:rsid w:val="00D45CBD"/>
    <w:rsid w:val="00D46A1E"/>
    <w:rsid w:val="00D523B7"/>
    <w:rsid w:val="00D55FC9"/>
    <w:rsid w:val="00D56E72"/>
    <w:rsid w:val="00D57F11"/>
    <w:rsid w:val="00D61028"/>
    <w:rsid w:val="00D611F5"/>
    <w:rsid w:val="00D619D9"/>
    <w:rsid w:val="00D61FF5"/>
    <w:rsid w:val="00D63767"/>
    <w:rsid w:val="00D7093C"/>
    <w:rsid w:val="00D72E92"/>
    <w:rsid w:val="00D80E61"/>
    <w:rsid w:val="00D87803"/>
    <w:rsid w:val="00DA1398"/>
    <w:rsid w:val="00DA2952"/>
    <w:rsid w:val="00DB105A"/>
    <w:rsid w:val="00DD2415"/>
    <w:rsid w:val="00DE122E"/>
    <w:rsid w:val="00DE6696"/>
    <w:rsid w:val="00DE6B56"/>
    <w:rsid w:val="00DF121B"/>
    <w:rsid w:val="00DF66E7"/>
    <w:rsid w:val="00E01C67"/>
    <w:rsid w:val="00E03DF0"/>
    <w:rsid w:val="00E07B4A"/>
    <w:rsid w:val="00E1683A"/>
    <w:rsid w:val="00E2468A"/>
    <w:rsid w:val="00E24941"/>
    <w:rsid w:val="00E24F65"/>
    <w:rsid w:val="00E253BD"/>
    <w:rsid w:val="00E346D9"/>
    <w:rsid w:val="00E350E4"/>
    <w:rsid w:val="00E364AB"/>
    <w:rsid w:val="00E47C25"/>
    <w:rsid w:val="00E53504"/>
    <w:rsid w:val="00E53914"/>
    <w:rsid w:val="00E53B37"/>
    <w:rsid w:val="00E73CAA"/>
    <w:rsid w:val="00E76742"/>
    <w:rsid w:val="00E81111"/>
    <w:rsid w:val="00E832A2"/>
    <w:rsid w:val="00E85EBF"/>
    <w:rsid w:val="00E8626E"/>
    <w:rsid w:val="00E91885"/>
    <w:rsid w:val="00E9292B"/>
    <w:rsid w:val="00E938E4"/>
    <w:rsid w:val="00E93E86"/>
    <w:rsid w:val="00EA3E4A"/>
    <w:rsid w:val="00EA4275"/>
    <w:rsid w:val="00EA6433"/>
    <w:rsid w:val="00EA677E"/>
    <w:rsid w:val="00EB6DBD"/>
    <w:rsid w:val="00EC01EB"/>
    <w:rsid w:val="00EC0820"/>
    <w:rsid w:val="00EC5EAF"/>
    <w:rsid w:val="00ED1FD1"/>
    <w:rsid w:val="00EE187E"/>
    <w:rsid w:val="00EE7799"/>
    <w:rsid w:val="00EF03DF"/>
    <w:rsid w:val="00EF081E"/>
    <w:rsid w:val="00EF3A92"/>
    <w:rsid w:val="00EF716E"/>
    <w:rsid w:val="00F019BD"/>
    <w:rsid w:val="00F02854"/>
    <w:rsid w:val="00F05191"/>
    <w:rsid w:val="00F07E8A"/>
    <w:rsid w:val="00F203FC"/>
    <w:rsid w:val="00F2668D"/>
    <w:rsid w:val="00F32A27"/>
    <w:rsid w:val="00F331A3"/>
    <w:rsid w:val="00F334A2"/>
    <w:rsid w:val="00F34A24"/>
    <w:rsid w:val="00F50A8B"/>
    <w:rsid w:val="00F51011"/>
    <w:rsid w:val="00F52911"/>
    <w:rsid w:val="00F530B5"/>
    <w:rsid w:val="00F66F7C"/>
    <w:rsid w:val="00F717E8"/>
    <w:rsid w:val="00F82BEF"/>
    <w:rsid w:val="00F82C14"/>
    <w:rsid w:val="00F85FDE"/>
    <w:rsid w:val="00F87772"/>
    <w:rsid w:val="00F87A9B"/>
    <w:rsid w:val="00FA0D0C"/>
    <w:rsid w:val="00FA31A4"/>
    <w:rsid w:val="00FA62BB"/>
    <w:rsid w:val="00FA63A8"/>
    <w:rsid w:val="00FB02AC"/>
    <w:rsid w:val="00FB0EAB"/>
    <w:rsid w:val="00FB3CD5"/>
    <w:rsid w:val="00FB42B2"/>
    <w:rsid w:val="00FB4649"/>
    <w:rsid w:val="00FB6BD2"/>
    <w:rsid w:val="00FC5CCF"/>
    <w:rsid w:val="00FC5EC8"/>
    <w:rsid w:val="00FD034C"/>
    <w:rsid w:val="00FD4734"/>
    <w:rsid w:val="00FD509F"/>
    <w:rsid w:val="00FD57C3"/>
    <w:rsid w:val="040864BD"/>
    <w:rsid w:val="042B32BF"/>
    <w:rsid w:val="04A13C90"/>
    <w:rsid w:val="0702302B"/>
    <w:rsid w:val="08D23E5C"/>
    <w:rsid w:val="0A7A2839"/>
    <w:rsid w:val="0AFD7812"/>
    <w:rsid w:val="0C165918"/>
    <w:rsid w:val="0C5C2324"/>
    <w:rsid w:val="0D0D2429"/>
    <w:rsid w:val="0DF74B8B"/>
    <w:rsid w:val="0EB652DE"/>
    <w:rsid w:val="0F044EA9"/>
    <w:rsid w:val="10074320"/>
    <w:rsid w:val="12C141FD"/>
    <w:rsid w:val="13F76A44"/>
    <w:rsid w:val="17D91ED6"/>
    <w:rsid w:val="19341AFD"/>
    <w:rsid w:val="1AA64E5A"/>
    <w:rsid w:val="1BDB0D8E"/>
    <w:rsid w:val="1D1C2BAC"/>
    <w:rsid w:val="1DFC0A83"/>
    <w:rsid w:val="1E055B2C"/>
    <w:rsid w:val="1E2D18B1"/>
    <w:rsid w:val="1FF45D4E"/>
    <w:rsid w:val="21200102"/>
    <w:rsid w:val="22696CDF"/>
    <w:rsid w:val="22A76DDE"/>
    <w:rsid w:val="2325080A"/>
    <w:rsid w:val="23CB3605"/>
    <w:rsid w:val="245C0D33"/>
    <w:rsid w:val="2573225C"/>
    <w:rsid w:val="264D7E2E"/>
    <w:rsid w:val="267520C2"/>
    <w:rsid w:val="26E61882"/>
    <w:rsid w:val="280A00C3"/>
    <w:rsid w:val="28183A95"/>
    <w:rsid w:val="29506AAD"/>
    <w:rsid w:val="2A9813B2"/>
    <w:rsid w:val="2CEA72D2"/>
    <w:rsid w:val="2D103A13"/>
    <w:rsid w:val="2D8F4786"/>
    <w:rsid w:val="2DAE7C9E"/>
    <w:rsid w:val="2E537D59"/>
    <w:rsid w:val="2E5A7556"/>
    <w:rsid w:val="2EB57EE8"/>
    <w:rsid w:val="2F8E551A"/>
    <w:rsid w:val="316319E2"/>
    <w:rsid w:val="326D15F7"/>
    <w:rsid w:val="32BF6E81"/>
    <w:rsid w:val="32D45C05"/>
    <w:rsid w:val="33655075"/>
    <w:rsid w:val="34467CFC"/>
    <w:rsid w:val="34CF521A"/>
    <w:rsid w:val="35611099"/>
    <w:rsid w:val="35D32D45"/>
    <w:rsid w:val="362F0132"/>
    <w:rsid w:val="363F4DFE"/>
    <w:rsid w:val="370211DC"/>
    <w:rsid w:val="37307B27"/>
    <w:rsid w:val="37934DB3"/>
    <w:rsid w:val="398625D2"/>
    <w:rsid w:val="399B6C49"/>
    <w:rsid w:val="3A1647BF"/>
    <w:rsid w:val="3ABF017A"/>
    <w:rsid w:val="3AE95AC8"/>
    <w:rsid w:val="3BAE2817"/>
    <w:rsid w:val="3CA223F3"/>
    <w:rsid w:val="3D8D6C24"/>
    <w:rsid w:val="3E28268F"/>
    <w:rsid w:val="41D746FF"/>
    <w:rsid w:val="424155E1"/>
    <w:rsid w:val="42435596"/>
    <w:rsid w:val="42D33116"/>
    <w:rsid w:val="452C27BC"/>
    <w:rsid w:val="46316ABA"/>
    <w:rsid w:val="46953DF8"/>
    <w:rsid w:val="46C24123"/>
    <w:rsid w:val="487722D5"/>
    <w:rsid w:val="4A32052C"/>
    <w:rsid w:val="4BD16C13"/>
    <w:rsid w:val="4CE161CB"/>
    <w:rsid w:val="4D3D7CB2"/>
    <w:rsid w:val="4D6C6901"/>
    <w:rsid w:val="4EAA3850"/>
    <w:rsid w:val="4EAC3FC4"/>
    <w:rsid w:val="5225180D"/>
    <w:rsid w:val="57FD386A"/>
    <w:rsid w:val="584A4212"/>
    <w:rsid w:val="59C90C50"/>
    <w:rsid w:val="5A35581D"/>
    <w:rsid w:val="5CAB36DA"/>
    <w:rsid w:val="5CAE3734"/>
    <w:rsid w:val="5EB84347"/>
    <w:rsid w:val="5F8E528C"/>
    <w:rsid w:val="609F3211"/>
    <w:rsid w:val="623F2317"/>
    <w:rsid w:val="63CE0A9C"/>
    <w:rsid w:val="65262A07"/>
    <w:rsid w:val="660B5594"/>
    <w:rsid w:val="67D83DDD"/>
    <w:rsid w:val="67D9798B"/>
    <w:rsid w:val="68417C26"/>
    <w:rsid w:val="6ABA10E9"/>
    <w:rsid w:val="6CC16D98"/>
    <w:rsid w:val="6DB47A46"/>
    <w:rsid w:val="6DF715C2"/>
    <w:rsid w:val="6E287250"/>
    <w:rsid w:val="6F78463D"/>
    <w:rsid w:val="702A403C"/>
    <w:rsid w:val="72173AEE"/>
    <w:rsid w:val="731A3C0F"/>
    <w:rsid w:val="73B75238"/>
    <w:rsid w:val="758863DB"/>
    <w:rsid w:val="75EB2256"/>
    <w:rsid w:val="772B16F2"/>
    <w:rsid w:val="7DED5A68"/>
    <w:rsid w:val="7E990399"/>
    <w:rsid w:val="7F3233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1"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Calibri Light" w:hAnsi="Calibri Light"/>
      <w:b/>
      <w:bCs/>
      <w:sz w:val="32"/>
      <w:szCs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5">
    <w:name w:val="Body Text"/>
    <w:basedOn w:val="1"/>
    <w:qFormat/>
    <w:uiPriority w:val="1"/>
    <w:pPr>
      <w:spacing w:before="43"/>
      <w:ind w:left="107"/>
    </w:pPr>
    <w:rPr>
      <w:rFonts w:ascii="宋体" w:hAnsi="宋体" w:cs="宋体"/>
      <w:sz w:val="30"/>
      <w:szCs w:val="30"/>
    </w:rPr>
  </w:style>
  <w:style w:type="paragraph" w:styleId="6">
    <w:name w:val="Plain Text"/>
    <w:basedOn w:val="1"/>
    <w:link w:val="23"/>
    <w:qFormat/>
    <w:uiPriority w:val="0"/>
    <w:rPr>
      <w:rFonts w:ascii="宋体" w:hAnsi="Courier New" w:cs="Courier New"/>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semiHidden/>
    <w:unhideWhenUsed/>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FollowedHyperlink"/>
    <w:basedOn w:val="13"/>
    <w:semiHidden/>
    <w:unhideWhenUsed/>
    <w:qFormat/>
    <w:uiPriority w:val="0"/>
    <w:rPr>
      <w:color w:val="000000"/>
      <w:sz w:val="21"/>
      <w:szCs w:val="21"/>
      <w:u w:val="none"/>
    </w:rPr>
  </w:style>
  <w:style w:type="character" w:styleId="15">
    <w:name w:val="Emphasis"/>
    <w:basedOn w:val="13"/>
    <w:qFormat/>
    <w:uiPriority w:val="0"/>
  </w:style>
  <w:style w:type="character" w:styleId="16">
    <w:name w:val="Hyperlink"/>
    <w:basedOn w:val="13"/>
    <w:qFormat/>
    <w:uiPriority w:val="0"/>
    <w:rPr>
      <w:color w:val="000000"/>
      <w:sz w:val="21"/>
      <w:szCs w:val="21"/>
      <w:u w:val="none"/>
    </w:rPr>
  </w:style>
  <w:style w:type="character" w:customStyle="1" w:styleId="17">
    <w:name w:val="font41"/>
    <w:basedOn w:val="13"/>
    <w:qFormat/>
    <w:uiPriority w:val="0"/>
    <w:rPr>
      <w:rFonts w:hint="default" w:ascii="Arial Narrow" w:hAnsi="Arial Narrow" w:eastAsia="Arial Narrow" w:cs="Arial Narrow"/>
      <w:b/>
      <w:color w:val="000000"/>
      <w:sz w:val="21"/>
      <w:szCs w:val="21"/>
      <w:u w:val="none"/>
    </w:rPr>
  </w:style>
  <w:style w:type="character" w:customStyle="1" w:styleId="18">
    <w:name w:val="font31"/>
    <w:basedOn w:val="13"/>
    <w:qFormat/>
    <w:uiPriority w:val="0"/>
    <w:rPr>
      <w:rFonts w:hint="default" w:ascii="Arial Narrow" w:hAnsi="Arial Narrow" w:eastAsia="Arial Narrow" w:cs="Arial Narrow"/>
      <w:color w:val="000000"/>
      <w:sz w:val="21"/>
      <w:szCs w:val="21"/>
      <w:u w:val="none"/>
    </w:rPr>
  </w:style>
  <w:style w:type="character" w:customStyle="1" w:styleId="19">
    <w:name w:val="font01"/>
    <w:basedOn w:val="13"/>
    <w:qFormat/>
    <w:uiPriority w:val="0"/>
    <w:rPr>
      <w:rFonts w:hint="eastAsia" w:ascii="宋体" w:hAnsi="宋体" w:eastAsia="宋体" w:cs="宋体"/>
      <w:color w:val="000000"/>
      <w:sz w:val="21"/>
      <w:szCs w:val="21"/>
      <w:u w:val="none"/>
    </w:rPr>
  </w:style>
  <w:style w:type="paragraph" w:customStyle="1" w:styleId="20">
    <w:name w:val="列出段落1"/>
    <w:basedOn w:val="1"/>
    <w:unhideWhenUsed/>
    <w:qFormat/>
    <w:uiPriority w:val="99"/>
    <w:pPr>
      <w:ind w:firstLine="420" w:firstLineChars="200"/>
    </w:pPr>
  </w:style>
  <w:style w:type="character" w:customStyle="1" w:styleId="21">
    <w:name w:val="页眉 Char"/>
    <w:basedOn w:val="13"/>
    <w:link w:val="8"/>
    <w:qFormat/>
    <w:uiPriority w:val="0"/>
    <w:rPr>
      <w:kern w:val="2"/>
      <w:sz w:val="18"/>
      <w:szCs w:val="18"/>
    </w:rPr>
  </w:style>
  <w:style w:type="paragraph" w:customStyle="1" w:styleId="22">
    <w:name w:val="Char Char"/>
    <w:basedOn w:val="1"/>
    <w:qFormat/>
    <w:uiPriority w:val="0"/>
    <w:rPr>
      <w:b/>
      <w:bCs/>
      <w:sz w:val="36"/>
      <w:szCs w:val="36"/>
    </w:rPr>
  </w:style>
  <w:style w:type="character" w:customStyle="1" w:styleId="23">
    <w:name w:val="纯文本 Char"/>
    <w:basedOn w:val="13"/>
    <w:link w:val="6"/>
    <w:qFormat/>
    <w:uiPriority w:val="0"/>
    <w:rPr>
      <w:rFonts w:ascii="宋体" w:hAnsi="Courier New" w:cs="Courier New"/>
      <w:kern w:val="2"/>
      <w:sz w:val="21"/>
      <w:szCs w:val="21"/>
    </w:rPr>
  </w:style>
  <w:style w:type="character" w:customStyle="1" w:styleId="24">
    <w:name w:val="hover3"/>
    <w:basedOn w:val="13"/>
    <w:qFormat/>
    <w:uiPriority w:val="0"/>
    <w:rPr>
      <w:color w:val="666666"/>
      <w:shd w:val="clear" w:color="auto" w:fill="EAEAEA"/>
    </w:rPr>
  </w:style>
  <w:style w:type="character" w:customStyle="1" w:styleId="25">
    <w:name w:val="hover4"/>
    <w:basedOn w:val="13"/>
    <w:qFormat/>
    <w:uiPriority w:val="0"/>
    <w:rPr>
      <w:sz w:val="21"/>
      <w:szCs w:val="21"/>
    </w:rPr>
  </w:style>
  <w:style w:type="character" w:customStyle="1" w:styleId="26">
    <w:name w:val="hover5"/>
    <w:basedOn w:val="13"/>
    <w:qFormat/>
    <w:uiPriority w:val="0"/>
    <w:rPr>
      <w:color w:val="666666"/>
      <w:shd w:val="clear" w:color="auto" w:fill="EAEAEA"/>
    </w:rPr>
  </w:style>
  <w:style w:type="character" w:customStyle="1" w:styleId="27">
    <w:name w:val="hover"/>
    <w:basedOn w:val="13"/>
    <w:qFormat/>
    <w:uiPriority w:val="0"/>
    <w:rPr>
      <w:shd w:val="clear" w:color="auto" w:fill="C0DBF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257744-1B33-459A-BEB7-E69802EBE3DE}">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Pages>
  <Words>620</Words>
  <Characters>3539</Characters>
  <Lines>29</Lines>
  <Paragraphs>8</Paragraphs>
  <TotalTime>10</TotalTime>
  <ScaleCrop>false</ScaleCrop>
  <LinksUpToDate>false</LinksUpToDate>
  <CharactersWithSpaces>4151</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2016-07-21T01:01:00Z</dcterms:created>
  <dc:creator>xl</dc:creator>
  <cp:lastModifiedBy>Administrator</cp:lastModifiedBy>
  <cp:lastPrinted>2019-08-26T07:29:00Z</cp:lastPrinted>
  <dcterms:modified xsi:type="dcterms:W3CDTF">2021-05-18T09:35:43Z</dcterms:modified>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