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楷体_GB2312"/>
        </w:rPr>
      </w:pPr>
      <w:r>
        <w:rPr>
          <w:rFonts w:hint="eastAsia" w:ascii="Times New Roman" w:hAnsi="Times New Roman" w:eastAsia="楷体_GB2312"/>
        </w:rPr>
        <w:t>附件4</w:t>
      </w:r>
    </w:p>
    <w:p>
      <w:pPr>
        <w:widowControl/>
        <w:spacing w:line="240" w:lineRule="auto"/>
        <w:ind w:left="91"/>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u w:val="single"/>
        </w:rPr>
        <w:t>科技局</w:t>
      </w:r>
      <w:r>
        <w:rPr>
          <w:rFonts w:ascii="Times New Roman" w:hAnsi="Times New Roman" w:eastAsia="方正小标宋简体"/>
          <w:kern w:val="0"/>
          <w:sz w:val="44"/>
          <w:szCs w:val="44"/>
          <w:u w:val="single"/>
        </w:rPr>
        <w:t xml:space="preserve">  </w:t>
      </w:r>
      <w:bookmarkStart w:id="0" w:name="_GoBack"/>
      <w:r>
        <w:rPr>
          <w:rFonts w:hint="eastAsia" w:ascii="Times New Roman" w:hAnsi="Times New Roman" w:eastAsia="方正小标宋简体"/>
          <w:kern w:val="0"/>
          <w:sz w:val="44"/>
          <w:szCs w:val="44"/>
        </w:rPr>
        <w:t>部门整体支出绩效评价自评表</w:t>
      </w:r>
      <w:bookmarkEnd w:id="0"/>
    </w:p>
    <w:tbl>
      <w:tblPr>
        <w:tblStyle w:val="8"/>
        <w:tblW w:w="10633" w:type="dxa"/>
        <w:jc w:val="center"/>
        <w:tblInd w:w="0" w:type="dxa"/>
        <w:tblLayout w:type="fixed"/>
        <w:tblCellMar>
          <w:top w:w="0" w:type="dxa"/>
          <w:left w:w="108" w:type="dxa"/>
          <w:bottom w:w="0" w:type="dxa"/>
          <w:right w:w="108" w:type="dxa"/>
        </w:tblCellMar>
      </w:tblPr>
      <w:tblGrid>
        <w:gridCol w:w="648"/>
        <w:gridCol w:w="416"/>
        <w:gridCol w:w="653"/>
        <w:gridCol w:w="436"/>
        <w:gridCol w:w="940"/>
        <w:gridCol w:w="420"/>
        <w:gridCol w:w="2895"/>
        <w:gridCol w:w="2577"/>
        <w:gridCol w:w="585"/>
        <w:gridCol w:w="1063"/>
      </w:tblGrid>
      <w:tr>
        <w:tblPrEx>
          <w:tblLayout w:type="fixed"/>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5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3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94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89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257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5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106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5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3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940"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20"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2577"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编制数：机构编制部5门核定批复的部门（单位）的人员编制数。</w:t>
            </w:r>
          </w:p>
        </w:tc>
        <w:tc>
          <w:tcPr>
            <w:tcW w:w="58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0</w:t>
            </w:r>
          </w:p>
        </w:tc>
        <w:tc>
          <w:tcPr>
            <w:tcW w:w="1063"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kern w:val="0"/>
                <w:sz w:val="20"/>
                <w:szCs w:val="20"/>
              </w:rPr>
            </w:pPr>
            <w:r>
              <w:rPr>
                <w:rFonts w:hint="eastAsia" w:ascii="Times New Roman" w:hAnsi="Times New Roman"/>
                <w:kern w:val="0"/>
                <w:sz w:val="20"/>
                <w:szCs w:val="20"/>
              </w:rPr>
              <w:t>119%</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5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3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940"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20"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2577"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58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8</w:t>
            </w:r>
          </w:p>
        </w:tc>
        <w:tc>
          <w:tcPr>
            <w:tcW w:w="106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-17%</w:t>
            </w:r>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5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3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2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5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100%</w:t>
            </w:r>
          </w:p>
        </w:tc>
      </w:tr>
      <w:tr>
        <w:tblPrEx>
          <w:tblLayout w:type="fixed"/>
          <w:tblCellMar>
            <w:top w:w="0" w:type="dxa"/>
            <w:left w:w="108" w:type="dxa"/>
            <w:bottom w:w="0" w:type="dxa"/>
            <w:right w:w="108" w:type="dxa"/>
          </w:tblCellMar>
        </w:tblPrEx>
        <w:trPr>
          <w:trHeight w:val="973"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2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25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color w:val="000000" w:themeColor="text1"/>
                <w:kern w:val="0"/>
                <w:sz w:val="20"/>
                <w:szCs w:val="20"/>
                <w14:textFill>
                  <w14:solidFill>
                    <w14:schemeClr w14:val="tx1"/>
                  </w14:solidFill>
                </w14:textFill>
              </w:rPr>
              <w:t>100%</w:t>
            </w:r>
          </w:p>
        </w:tc>
      </w:tr>
      <w:tr>
        <w:tblPrEx>
          <w:tblLayout w:type="fixed"/>
          <w:tblCellMar>
            <w:top w:w="0" w:type="dxa"/>
            <w:left w:w="108" w:type="dxa"/>
            <w:bottom w:w="0" w:type="dxa"/>
            <w:right w:w="108" w:type="dxa"/>
          </w:tblCellMar>
        </w:tblPrEx>
        <w:trPr>
          <w:trHeight w:val="116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2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25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。该指标以</w:t>
            </w:r>
            <w:r>
              <w:rPr>
                <w:rFonts w:ascii="Times New Roman" w:hAnsi="Times New Roman"/>
                <w:kern w:val="0"/>
                <w:sz w:val="20"/>
                <w:szCs w:val="20"/>
              </w:rPr>
              <w:t>201</w:t>
            </w:r>
            <w:r>
              <w:rPr>
                <w:rFonts w:hint="eastAsia" w:ascii="Times New Roman" w:hAnsi="Times New Roman"/>
                <w:kern w:val="0"/>
                <w:sz w:val="20"/>
                <w:szCs w:val="20"/>
              </w:rPr>
              <w:t>8年完工的新建楼堂馆所为评价内容。</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无</w:t>
            </w:r>
          </w:p>
        </w:tc>
      </w:tr>
      <w:tr>
        <w:tblPrEx>
          <w:tblLayout w:type="fixed"/>
          <w:tblCellMar>
            <w:top w:w="0" w:type="dxa"/>
            <w:left w:w="108" w:type="dxa"/>
            <w:bottom w:w="0" w:type="dxa"/>
            <w:right w:w="108" w:type="dxa"/>
          </w:tblCellMar>
        </w:tblPrEx>
        <w:trPr>
          <w:trHeight w:val="176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2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5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w:t>
            </w:r>
            <w:r>
              <w:rPr>
                <w:rFonts w:hint="eastAsia" w:ascii="Times New Roman" w:hAnsi="Times New Roman"/>
                <w:kern w:val="0"/>
                <w:sz w:val="20"/>
                <w:szCs w:val="20"/>
              </w:rPr>
              <w:t>8年完工的新建楼堂馆所为评价内容。</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5</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无</w:t>
            </w:r>
          </w:p>
        </w:tc>
      </w:tr>
      <w:tr>
        <w:tblPrEx>
          <w:tblLayout w:type="fixed"/>
          <w:tblCellMar>
            <w:top w:w="0" w:type="dxa"/>
            <w:left w:w="108" w:type="dxa"/>
            <w:bottom w:w="0" w:type="dxa"/>
            <w:right w:w="108" w:type="dxa"/>
          </w:tblCellMar>
        </w:tblPrEx>
        <w:trPr>
          <w:trHeight w:val="9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5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3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2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25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8</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61.3%</w:t>
            </w:r>
          </w:p>
        </w:tc>
      </w:tr>
      <w:tr>
        <w:tblPrEx>
          <w:tblLayout w:type="fixed"/>
          <w:tblCellMar>
            <w:top w:w="0" w:type="dxa"/>
            <w:left w:w="108" w:type="dxa"/>
            <w:bottom w:w="0" w:type="dxa"/>
            <w:right w:w="108" w:type="dxa"/>
          </w:tblCellMar>
        </w:tblPrEx>
        <w:trPr>
          <w:trHeight w:val="9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2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25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8</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74.69%</w:t>
            </w:r>
          </w:p>
        </w:tc>
      </w:tr>
      <w:tr>
        <w:tblPrEx>
          <w:tblLayout w:type="fixed"/>
          <w:tblCellMar>
            <w:top w:w="0" w:type="dxa"/>
            <w:left w:w="108" w:type="dxa"/>
            <w:bottom w:w="0" w:type="dxa"/>
            <w:right w:w="108" w:type="dxa"/>
          </w:tblCellMar>
        </w:tblPrEx>
        <w:trPr>
          <w:trHeight w:val="107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94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2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895"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577"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5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0</w:t>
            </w:r>
          </w:p>
        </w:tc>
        <w:tc>
          <w:tcPr>
            <w:tcW w:w="106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276.8%</w:t>
            </w:r>
          </w:p>
        </w:tc>
      </w:tr>
      <w:tr>
        <w:tblPrEx>
          <w:tblLayout w:type="fixed"/>
          <w:tblCellMar>
            <w:top w:w="0" w:type="dxa"/>
            <w:left w:w="108" w:type="dxa"/>
            <w:bottom w:w="0" w:type="dxa"/>
            <w:right w:w="108" w:type="dxa"/>
          </w:tblCellMar>
        </w:tblPrEx>
        <w:trPr>
          <w:trHeight w:val="1911" w:hRule="atLeast"/>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5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3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94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eastAsia="宋体"/>
                <w:color w:val="000000" w:themeColor="text1"/>
                <w:kern w:val="0"/>
                <w:sz w:val="20"/>
                <w:szCs w:val="20"/>
                <w14:textFill>
                  <w14:solidFill>
                    <w14:schemeClr w14:val="tx1"/>
                  </w14:solidFill>
                </w14:textFill>
              </w:rPr>
              <w:t>①</w:t>
            </w:r>
            <w:r>
              <w:rPr>
                <w:rFonts w:hint="eastAsia" w:ascii="Times New Roman" w:hAnsi="Times New Roman"/>
                <w:color w:val="000000" w:themeColor="text1"/>
                <w:kern w:val="0"/>
                <w:sz w:val="20"/>
                <w:szCs w:val="20"/>
                <w14:textFill>
                  <w14:solidFill>
                    <w14:schemeClr w14:val="tx1"/>
                  </w14:solidFill>
                </w14:textFill>
              </w:rPr>
              <w:t>有内部财务管理制度、会计核算制度等管理制度，</w:t>
            </w:r>
            <w:r>
              <w:rPr>
                <w:rFonts w:ascii="Times New Roman" w:hAnsi="Times New Roman"/>
                <w:color w:val="000000" w:themeColor="text1"/>
                <w:kern w:val="0"/>
                <w:sz w:val="20"/>
                <w:szCs w:val="20"/>
                <w14:textFill>
                  <w14:solidFill>
                    <w14:schemeClr w14:val="tx1"/>
                  </w14:solidFill>
                </w14:textFill>
              </w:rPr>
              <w:t>2</w:t>
            </w:r>
            <w:r>
              <w:rPr>
                <w:rFonts w:hint="eastAsia" w:ascii="Times New Roman" w:hAnsi="Times New Roman"/>
                <w:color w:val="000000" w:themeColor="text1"/>
                <w:kern w:val="0"/>
                <w:sz w:val="20"/>
                <w:szCs w:val="20"/>
                <w14:textFill>
                  <w14:solidFill>
                    <w14:schemeClr w14:val="tx1"/>
                  </w14:solidFill>
                </w14:textFill>
              </w:rPr>
              <w:t>分；</w:t>
            </w:r>
          </w:p>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eastAsia="宋体"/>
                <w:color w:val="000000" w:themeColor="text1"/>
                <w:kern w:val="0"/>
                <w:sz w:val="20"/>
                <w:szCs w:val="20"/>
                <w14:textFill>
                  <w14:solidFill>
                    <w14:schemeClr w14:val="tx1"/>
                  </w14:solidFill>
                </w14:textFill>
              </w:rPr>
              <w:t>②</w:t>
            </w:r>
            <w:r>
              <w:rPr>
                <w:rFonts w:hint="eastAsia" w:ascii="Times New Roman" w:hAnsi="Times New Roman"/>
                <w:color w:val="000000" w:themeColor="text1"/>
                <w:kern w:val="0"/>
                <w:sz w:val="20"/>
                <w:szCs w:val="20"/>
                <w14:textFill>
                  <w14:solidFill>
                    <w14:schemeClr w14:val="tx1"/>
                  </w14:solidFill>
                </w14:textFill>
              </w:rPr>
              <w:t>有本部门厉行节约制度，</w:t>
            </w:r>
            <w:r>
              <w:rPr>
                <w:rFonts w:ascii="Times New Roman" w:hAnsi="Times New Roman"/>
                <w:color w:val="000000" w:themeColor="text1"/>
                <w:kern w:val="0"/>
                <w:sz w:val="20"/>
                <w:szCs w:val="20"/>
                <w14:textFill>
                  <w14:solidFill>
                    <w14:schemeClr w14:val="tx1"/>
                  </w14:solidFill>
                </w14:textFill>
              </w:rPr>
              <w:t>2</w:t>
            </w:r>
            <w:r>
              <w:rPr>
                <w:rFonts w:hint="eastAsia" w:ascii="Times New Roman" w:hAnsi="Times New Roman"/>
                <w:color w:val="000000" w:themeColor="text1"/>
                <w:kern w:val="0"/>
                <w:sz w:val="20"/>
                <w:szCs w:val="20"/>
                <w14:textFill>
                  <w14:solidFill>
                    <w14:schemeClr w14:val="tx1"/>
                  </w14:solidFill>
                </w14:textFill>
              </w:rPr>
              <w:t>分；</w:t>
            </w:r>
          </w:p>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eastAsia="宋体"/>
                <w:color w:val="000000" w:themeColor="text1"/>
                <w:kern w:val="0"/>
                <w:sz w:val="20"/>
                <w:szCs w:val="20"/>
                <w14:textFill>
                  <w14:solidFill>
                    <w14:schemeClr w14:val="tx1"/>
                  </w14:solidFill>
                </w14:textFill>
              </w:rPr>
              <w:t>③</w:t>
            </w:r>
            <w:r>
              <w:rPr>
                <w:rFonts w:hint="eastAsia" w:ascii="Times New Roman" w:hAnsi="Times New Roman"/>
                <w:color w:val="000000" w:themeColor="text1"/>
                <w:kern w:val="0"/>
                <w:sz w:val="20"/>
                <w:szCs w:val="20"/>
                <w14:textFill>
                  <w14:solidFill>
                    <w14:schemeClr w14:val="tx1"/>
                  </w14:solidFill>
                </w14:textFill>
              </w:rPr>
              <w:t>相关管理制度合法、合规、完整，</w:t>
            </w:r>
            <w:r>
              <w:rPr>
                <w:rFonts w:ascii="Times New Roman" w:hAnsi="Times New Roman"/>
                <w:color w:val="000000" w:themeColor="text1"/>
                <w:kern w:val="0"/>
                <w:sz w:val="20"/>
                <w:szCs w:val="20"/>
                <w14:textFill>
                  <w14:solidFill>
                    <w14:schemeClr w14:val="tx1"/>
                  </w14:solidFill>
                </w14:textFill>
              </w:rPr>
              <w:t>2</w:t>
            </w:r>
            <w:r>
              <w:rPr>
                <w:rFonts w:hint="eastAsia" w:ascii="Times New Roman" w:hAnsi="Times New Roman"/>
                <w:color w:val="000000" w:themeColor="text1"/>
                <w:kern w:val="0"/>
                <w:sz w:val="20"/>
                <w:szCs w:val="20"/>
                <w14:textFill>
                  <w14:solidFill>
                    <w14:schemeClr w14:val="tx1"/>
                  </w14:solidFill>
                </w14:textFill>
              </w:rPr>
              <w:t>分；</w:t>
            </w:r>
            <w:r>
              <w:rPr>
                <w:rFonts w:hint="eastAsia" w:ascii="Times New Roman" w:hAnsi="Times New Roman" w:eastAsia="宋体"/>
                <w:color w:val="000000" w:themeColor="text1"/>
                <w:kern w:val="0"/>
                <w:sz w:val="20"/>
                <w:szCs w:val="20"/>
                <w14:textFill>
                  <w14:solidFill>
                    <w14:schemeClr w14:val="tx1"/>
                  </w14:solidFill>
                </w14:textFill>
              </w:rPr>
              <w:t>④</w:t>
            </w:r>
            <w:r>
              <w:rPr>
                <w:rFonts w:hint="eastAsia" w:ascii="Times New Roman" w:hAnsi="Times New Roman"/>
                <w:color w:val="000000" w:themeColor="text1"/>
                <w:kern w:val="0"/>
                <w:sz w:val="20"/>
                <w:szCs w:val="20"/>
                <w14:textFill>
                  <w14:solidFill>
                    <w14:schemeClr w14:val="tx1"/>
                  </w14:solidFill>
                </w14:textFill>
              </w:rPr>
              <w:t>相关管理制度得到有效执行，</w:t>
            </w:r>
            <w:r>
              <w:rPr>
                <w:rFonts w:ascii="Times New Roman" w:hAnsi="Times New Roman"/>
                <w:color w:val="000000" w:themeColor="text1"/>
                <w:kern w:val="0"/>
                <w:sz w:val="20"/>
                <w:szCs w:val="20"/>
                <w14:textFill>
                  <w14:solidFill>
                    <w14:schemeClr w14:val="tx1"/>
                  </w14:solidFill>
                </w14:textFill>
              </w:rPr>
              <w:t>2</w:t>
            </w:r>
            <w:r>
              <w:rPr>
                <w:rFonts w:hint="eastAsia" w:ascii="Times New Roman" w:hAnsi="Times New Roman"/>
                <w:color w:val="000000" w:themeColor="text1"/>
                <w:kern w:val="0"/>
                <w:sz w:val="20"/>
                <w:szCs w:val="20"/>
                <w14:textFill>
                  <w14:solidFill>
                    <w14:schemeClr w14:val="tx1"/>
                  </w14:solidFill>
                </w14:textFill>
              </w:rPr>
              <w:t>分。</w:t>
            </w:r>
          </w:p>
        </w:tc>
        <w:tc>
          <w:tcPr>
            <w:tcW w:w="2577" w:type="dxa"/>
            <w:tcBorders>
              <w:top w:val="nil"/>
              <w:left w:val="nil"/>
              <w:bottom w:val="single" w:color="auto" w:sz="4" w:space="0"/>
              <w:right w:val="single" w:color="auto" w:sz="4" w:space="0"/>
            </w:tcBorders>
            <w:vAlign w:val="center"/>
          </w:tcPr>
          <w:p>
            <w:pPr>
              <w:widowControl/>
              <w:spacing w:line="280" w:lineRule="exact"/>
              <w:jc w:val="left"/>
              <w:rPr>
                <w:color w:val="000000" w:themeColor="text1"/>
                <w:kern w:val="0"/>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有内部财务管理制度，有内部控制手册，且按制度执行。</w:t>
            </w:r>
          </w:p>
        </w:tc>
        <w:tc>
          <w:tcPr>
            <w:tcW w:w="58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8</w:t>
            </w:r>
          </w:p>
        </w:tc>
        <w:tc>
          <w:tcPr>
            <w:tcW w:w="106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制度健全</w:t>
            </w:r>
          </w:p>
        </w:tc>
      </w:tr>
      <w:tr>
        <w:tblPrEx>
          <w:tblLayout w:type="fixed"/>
          <w:tblCellMar>
            <w:top w:w="0" w:type="dxa"/>
            <w:left w:w="108" w:type="dxa"/>
            <w:bottom w:w="0" w:type="dxa"/>
            <w:right w:w="108" w:type="dxa"/>
          </w:tblCellMar>
        </w:tblPrEx>
        <w:trPr>
          <w:trHeight w:val="2705" w:hRule="atLeast"/>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5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3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94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95"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eastAsia="宋体"/>
                <w:color w:val="000000" w:themeColor="text1"/>
                <w:kern w:val="0"/>
                <w:sz w:val="20"/>
                <w:szCs w:val="20"/>
                <w14:textFill>
                  <w14:solidFill>
                    <w14:schemeClr w14:val="tx1"/>
                  </w14:solidFill>
                </w14:textFill>
              </w:rPr>
              <w:t>①</w:t>
            </w:r>
            <w:r>
              <w:rPr>
                <w:rFonts w:hint="eastAsia" w:ascii="Times New Roman" w:hAnsi="Times New Roman"/>
                <w:color w:val="000000" w:themeColor="text1"/>
                <w:kern w:val="0"/>
                <w:sz w:val="20"/>
                <w:szCs w:val="20"/>
                <w14:textFill>
                  <w14:solidFill>
                    <w14:schemeClr w14:val="tx1"/>
                  </w14:solidFill>
                </w14:textFill>
              </w:rPr>
              <w:t>支出符合国家财经法规和财务管理制度规定以及有关专项资金管理办法的规定；</w:t>
            </w:r>
            <w:r>
              <w:rPr>
                <w:rFonts w:hint="eastAsia" w:ascii="Times New Roman" w:hAnsi="Times New Roman" w:eastAsia="宋体"/>
                <w:color w:val="000000" w:themeColor="text1"/>
                <w:kern w:val="0"/>
                <w:sz w:val="20"/>
                <w:szCs w:val="20"/>
                <w14:textFill>
                  <w14:solidFill>
                    <w14:schemeClr w14:val="tx1"/>
                  </w14:solidFill>
                </w14:textFill>
              </w:rPr>
              <w:t>②</w:t>
            </w:r>
            <w:r>
              <w:rPr>
                <w:rFonts w:hint="eastAsia" w:ascii="Times New Roman" w:hAnsi="Times New Roman"/>
                <w:color w:val="000000" w:themeColor="text1"/>
                <w:kern w:val="0"/>
                <w:sz w:val="20"/>
                <w:szCs w:val="20"/>
                <w14:textFill>
                  <w14:solidFill>
                    <w14:schemeClr w14:val="tx1"/>
                  </w14:solidFill>
                </w14:textFill>
              </w:rPr>
              <w:t>资金拨付有完整的审批程序和手续；</w:t>
            </w:r>
            <w:r>
              <w:rPr>
                <w:rFonts w:hint="eastAsia" w:ascii="Times New Roman" w:hAnsi="Times New Roman" w:eastAsia="宋体"/>
                <w:color w:val="000000" w:themeColor="text1"/>
                <w:kern w:val="0"/>
                <w:sz w:val="20"/>
                <w:szCs w:val="20"/>
                <w14:textFill>
                  <w14:solidFill>
                    <w14:schemeClr w14:val="tx1"/>
                  </w14:solidFill>
                </w14:textFill>
              </w:rPr>
              <w:t>③</w:t>
            </w:r>
            <w:r>
              <w:rPr>
                <w:rFonts w:hint="eastAsia" w:ascii="Times New Roman" w:hAnsi="Times New Roman"/>
                <w:color w:val="000000" w:themeColor="text1"/>
                <w:kern w:val="0"/>
                <w:sz w:val="20"/>
                <w:szCs w:val="20"/>
                <w14:textFill>
                  <w14:solidFill>
                    <w14:schemeClr w14:val="tx1"/>
                  </w14:solidFill>
                </w14:textFill>
              </w:rPr>
              <w:t>项目支出按规定经过评估论证；</w:t>
            </w:r>
            <w:r>
              <w:rPr>
                <w:rFonts w:hint="eastAsia" w:ascii="Times New Roman" w:hAnsi="Times New Roman" w:eastAsia="宋体"/>
                <w:color w:val="000000" w:themeColor="text1"/>
                <w:kern w:val="0"/>
                <w:sz w:val="20"/>
                <w:szCs w:val="20"/>
                <w14:textFill>
                  <w14:solidFill>
                    <w14:schemeClr w14:val="tx1"/>
                  </w14:solidFill>
                </w14:textFill>
              </w:rPr>
              <w:t>④</w:t>
            </w:r>
            <w:r>
              <w:rPr>
                <w:rFonts w:hint="eastAsia" w:ascii="Times New Roman" w:hAnsi="Times New Roman"/>
                <w:color w:val="000000" w:themeColor="text1"/>
                <w:kern w:val="0"/>
                <w:sz w:val="20"/>
                <w:szCs w:val="20"/>
                <w14:textFill>
                  <w14:solidFill>
                    <w14:schemeClr w14:val="tx1"/>
                  </w14:solidFill>
                </w14:textFill>
              </w:rPr>
              <w:t>支出符合部门预算批复的用途；</w:t>
            </w:r>
            <w:r>
              <w:rPr>
                <w:rFonts w:hint="eastAsia" w:ascii="Times New Roman" w:hAnsi="Times New Roman" w:eastAsia="宋体"/>
                <w:color w:val="000000" w:themeColor="text1"/>
                <w:kern w:val="0"/>
                <w:sz w:val="20"/>
                <w:szCs w:val="20"/>
                <w14:textFill>
                  <w14:solidFill>
                    <w14:schemeClr w14:val="tx1"/>
                  </w14:solidFill>
                </w14:textFill>
              </w:rPr>
              <w:t>⑤</w:t>
            </w:r>
            <w:r>
              <w:rPr>
                <w:rFonts w:hint="eastAsia" w:ascii="Times New Roman" w:hAnsi="Times New Roman"/>
                <w:color w:val="000000" w:themeColor="text1"/>
                <w:kern w:val="0"/>
                <w:sz w:val="20"/>
                <w:szCs w:val="20"/>
                <w14:textFill>
                  <w14:solidFill>
                    <w14:schemeClr w14:val="tx1"/>
                  </w14:solidFill>
                </w14:textFill>
              </w:rPr>
              <w:t>资金使用无截留、挤占、挪用、虚列支出等情况。</w:t>
            </w:r>
          </w:p>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以上情况每出现一例不符合要求的扣</w:t>
            </w:r>
            <w:r>
              <w:rPr>
                <w:rFonts w:ascii="Times New Roman" w:hAnsi="Times New Roman"/>
                <w:color w:val="000000" w:themeColor="text1"/>
                <w:kern w:val="0"/>
                <w:sz w:val="20"/>
                <w:szCs w:val="20"/>
                <w14:textFill>
                  <w14:solidFill>
                    <w14:schemeClr w14:val="tx1"/>
                  </w14:solidFill>
                </w14:textFill>
              </w:rPr>
              <w:t>1</w:t>
            </w:r>
            <w:r>
              <w:rPr>
                <w:rFonts w:hint="eastAsia" w:ascii="Times New Roman" w:hAnsi="Times New Roman"/>
                <w:color w:val="000000" w:themeColor="text1"/>
                <w:kern w:val="0"/>
                <w:sz w:val="20"/>
                <w:szCs w:val="20"/>
                <w14:textFill>
                  <w14:solidFill>
                    <w14:schemeClr w14:val="tx1"/>
                  </w14:solidFill>
                </w14:textFill>
              </w:rPr>
              <w:t>分，扣完为止。</w:t>
            </w:r>
          </w:p>
        </w:tc>
        <w:tc>
          <w:tcPr>
            <w:tcW w:w="2577" w:type="dxa"/>
            <w:tcBorders>
              <w:top w:val="nil"/>
              <w:left w:val="nil"/>
              <w:bottom w:val="single" w:color="auto" w:sz="4" w:space="0"/>
              <w:right w:val="single" w:color="auto" w:sz="4" w:space="0"/>
            </w:tcBorders>
            <w:vAlign w:val="center"/>
          </w:tcPr>
          <w:p>
            <w:pPr>
              <w:widowControl/>
              <w:spacing w:line="280" w:lineRule="exact"/>
              <w:jc w:val="left"/>
              <w:rPr>
                <w:color w:val="000000" w:themeColor="text1"/>
                <w:kern w:val="0"/>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按规定、按程序、按用途使用资金，无截留、挤占、挪用、虚列等情况。</w:t>
            </w:r>
          </w:p>
        </w:tc>
        <w:tc>
          <w:tcPr>
            <w:tcW w:w="58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6</w:t>
            </w:r>
          </w:p>
        </w:tc>
        <w:tc>
          <w:tcPr>
            <w:tcW w:w="106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资金使用合规</w:t>
            </w:r>
          </w:p>
        </w:tc>
      </w:tr>
      <w:tr>
        <w:tblPrEx>
          <w:tblLayout w:type="fixed"/>
          <w:tblCellMar>
            <w:top w:w="0" w:type="dxa"/>
            <w:left w:w="108" w:type="dxa"/>
            <w:bottom w:w="0" w:type="dxa"/>
            <w:right w:w="108" w:type="dxa"/>
          </w:tblCellMar>
        </w:tblPrEx>
        <w:trPr>
          <w:trHeight w:val="183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5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36" w:type="dxa"/>
            <w:vMerge w:val="continue"/>
            <w:tcBorders>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94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2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eastAsia="宋体"/>
                <w:color w:val="000000" w:themeColor="text1"/>
                <w:kern w:val="0"/>
                <w:sz w:val="20"/>
                <w:szCs w:val="20"/>
                <w14:textFill>
                  <w14:solidFill>
                    <w14:schemeClr w14:val="tx1"/>
                  </w14:solidFill>
                </w14:textFill>
              </w:rPr>
              <w:t>①</w:t>
            </w:r>
            <w:r>
              <w:rPr>
                <w:rFonts w:hint="eastAsia" w:ascii="Times New Roman" w:hAnsi="Times New Roman"/>
                <w:color w:val="000000" w:themeColor="text1"/>
                <w:kern w:val="0"/>
                <w:sz w:val="20"/>
                <w:szCs w:val="20"/>
                <w14:textFill>
                  <w14:solidFill>
                    <w14:schemeClr w14:val="tx1"/>
                  </w14:solidFill>
                </w14:textFill>
              </w:rPr>
              <w:t>按规定内容公开预决算信息，</w:t>
            </w:r>
            <w:r>
              <w:rPr>
                <w:rFonts w:ascii="Times New Roman" w:hAnsi="Times New Roman"/>
                <w:color w:val="000000" w:themeColor="text1"/>
                <w:kern w:val="0"/>
                <w:sz w:val="20"/>
                <w:szCs w:val="20"/>
                <w14:textFill>
                  <w14:solidFill>
                    <w14:schemeClr w14:val="tx1"/>
                  </w14:solidFill>
                </w14:textFill>
              </w:rPr>
              <w:t>1</w:t>
            </w:r>
            <w:r>
              <w:rPr>
                <w:rFonts w:hint="eastAsia" w:ascii="Times New Roman" w:hAnsi="Times New Roman"/>
                <w:color w:val="000000" w:themeColor="text1"/>
                <w:kern w:val="0"/>
                <w:sz w:val="20"/>
                <w:szCs w:val="20"/>
                <w14:textFill>
                  <w14:solidFill>
                    <w14:schemeClr w14:val="tx1"/>
                  </w14:solidFill>
                </w14:textFill>
              </w:rPr>
              <w:t>分；</w:t>
            </w:r>
            <w:r>
              <w:rPr>
                <w:rFonts w:hint="eastAsia" w:ascii="Times New Roman" w:hAnsi="Times New Roman" w:eastAsia="宋体"/>
                <w:color w:val="000000" w:themeColor="text1"/>
                <w:kern w:val="0"/>
                <w:sz w:val="20"/>
                <w:szCs w:val="20"/>
                <w14:textFill>
                  <w14:solidFill>
                    <w14:schemeClr w14:val="tx1"/>
                  </w14:solidFill>
                </w14:textFill>
              </w:rPr>
              <w:t>②</w:t>
            </w:r>
            <w:r>
              <w:rPr>
                <w:rFonts w:hint="eastAsia" w:ascii="Times New Roman" w:hAnsi="Times New Roman"/>
                <w:color w:val="000000" w:themeColor="text1"/>
                <w:kern w:val="0"/>
                <w:sz w:val="20"/>
                <w:szCs w:val="20"/>
                <w14:textFill>
                  <w14:solidFill>
                    <w14:schemeClr w14:val="tx1"/>
                  </w14:solidFill>
                </w14:textFill>
              </w:rPr>
              <w:t>按规定时限公开预决算信息，</w:t>
            </w:r>
            <w:r>
              <w:rPr>
                <w:rFonts w:ascii="Times New Roman" w:hAnsi="Times New Roman"/>
                <w:color w:val="000000" w:themeColor="text1"/>
                <w:kern w:val="0"/>
                <w:sz w:val="20"/>
                <w:szCs w:val="20"/>
                <w14:textFill>
                  <w14:solidFill>
                    <w14:schemeClr w14:val="tx1"/>
                  </w14:solidFill>
                </w14:textFill>
              </w:rPr>
              <w:t>1</w:t>
            </w:r>
            <w:r>
              <w:rPr>
                <w:rFonts w:hint="eastAsia" w:ascii="Times New Roman" w:hAnsi="Times New Roman"/>
                <w:color w:val="000000" w:themeColor="text1"/>
                <w:kern w:val="0"/>
                <w:sz w:val="20"/>
                <w:szCs w:val="20"/>
                <w14:textFill>
                  <w14:solidFill>
                    <w14:schemeClr w14:val="tx1"/>
                  </w14:solidFill>
                </w14:textFill>
              </w:rPr>
              <w:t>分；</w:t>
            </w:r>
            <w:r>
              <w:rPr>
                <w:rFonts w:hint="eastAsia" w:ascii="Times New Roman" w:hAnsi="Times New Roman" w:eastAsia="宋体"/>
                <w:color w:val="000000" w:themeColor="text1"/>
                <w:kern w:val="0"/>
                <w:sz w:val="20"/>
                <w:szCs w:val="20"/>
                <w14:textFill>
                  <w14:solidFill>
                    <w14:schemeClr w14:val="tx1"/>
                  </w14:solidFill>
                </w14:textFill>
              </w:rPr>
              <w:t>③</w:t>
            </w:r>
            <w:r>
              <w:rPr>
                <w:rFonts w:hint="eastAsia" w:ascii="Times New Roman" w:hAnsi="Times New Roman"/>
                <w:color w:val="000000" w:themeColor="text1"/>
                <w:kern w:val="0"/>
                <w:sz w:val="20"/>
                <w:szCs w:val="20"/>
                <w14:textFill>
                  <w14:solidFill>
                    <w14:schemeClr w14:val="tx1"/>
                  </w14:solidFill>
                </w14:textFill>
              </w:rPr>
              <w:t>基础数据信息和会计信息资料真实，</w:t>
            </w:r>
            <w:r>
              <w:rPr>
                <w:rFonts w:ascii="Times New Roman" w:hAnsi="Times New Roman"/>
                <w:color w:val="000000" w:themeColor="text1"/>
                <w:kern w:val="0"/>
                <w:sz w:val="20"/>
                <w:szCs w:val="20"/>
                <w14:textFill>
                  <w14:solidFill>
                    <w14:schemeClr w14:val="tx1"/>
                  </w14:solidFill>
                </w14:textFill>
              </w:rPr>
              <w:t>1</w:t>
            </w:r>
            <w:r>
              <w:rPr>
                <w:rFonts w:hint="eastAsia" w:ascii="Times New Roman" w:hAnsi="Times New Roman"/>
                <w:color w:val="000000" w:themeColor="text1"/>
                <w:kern w:val="0"/>
                <w:sz w:val="20"/>
                <w:szCs w:val="20"/>
                <w14:textFill>
                  <w14:solidFill>
                    <w14:schemeClr w14:val="tx1"/>
                  </w14:solidFill>
                </w14:textFill>
              </w:rPr>
              <w:t>分；</w:t>
            </w:r>
            <w:r>
              <w:rPr>
                <w:rFonts w:hint="eastAsia" w:ascii="Times New Roman" w:hAnsi="Times New Roman" w:eastAsia="宋体"/>
                <w:color w:val="000000" w:themeColor="text1"/>
                <w:kern w:val="0"/>
                <w:sz w:val="20"/>
                <w:szCs w:val="20"/>
                <w14:textFill>
                  <w14:solidFill>
                    <w14:schemeClr w14:val="tx1"/>
                  </w14:solidFill>
                </w14:textFill>
              </w:rPr>
              <w:t>④</w:t>
            </w:r>
            <w:r>
              <w:rPr>
                <w:rFonts w:hint="eastAsia" w:ascii="Times New Roman" w:hAnsi="Times New Roman"/>
                <w:color w:val="000000" w:themeColor="text1"/>
                <w:kern w:val="0"/>
                <w:sz w:val="20"/>
                <w:szCs w:val="20"/>
                <w14:textFill>
                  <w14:solidFill>
                    <w14:schemeClr w14:val="tx1"/>
                  </w14:solidFill>
                </w14:textFill>
              </w:rPr>
              <w:t>基础数据信息和会计信息资料完整，</w:t>
            </w:r>
            <w:r>
              <w:rPr>
                <w:rFonts w:ascii="Times New Roman" w:hAnsi="Times New Roman"/>
                <w:color w:val="000000" w:themeColor="text1"/>
                <w:kern w:val="0"/>
                <w:sz w:val="20"/>
                <w:szCs w:val="20"/>
                <w14:textFill>
                  <w14:solidFill>
                    <w14:schemeClr w14:val="tx1"/>
                  </w14:solidFill>
                </w14:textFill>
              </w:rPr>
              <w:t>1</w:t>
            </w:r>
            <w:r>
              <w:rPr>
                <w:rFonts w:hint="eastAsia" w:ascii="Times New Roman" w:hAnsi="Times New Roman"/>
                <w:color w:val="000000" w:themeColor="text1"/>
                <w:kern w:val="0"/>
                <w:sz w:val="20"/>
                <w:szCs w:val="20"/>
                <w14:textFill>
                  <w14:solidFill>
                    <w14:schemeClr w14:val="tx1"/>
                  </w14:solidFill>
                </w14:textFill>
              </w:rPr>
              <w:t>分；</w:t>
            </w:r>
            <w:r>
              <w:rPr>
                <w:rFonts w:hint="eastAsia" w:ascii="Times New Roman" w:hAnsi="Times New Roman" w:eastAsia="宋体"/>
                <w:color w:val="000000" w:themeColor="text1"/>
                <w:kern w:val="0"/>
                <w:sz w:val="20"/>
                <w:szCs w:val="20"/>
                <w14:textFill>
                  <w14:solidFill>
                    <w14:schemeClr w14:val="tx1"/>
                  </w14:solidFill>
                </w14:textFill>
              </w:rPr>
              <w:t>⑤</w:t>
            </w:r>
            <w:r>
              <w:rPr>
                <w:rFonts w:hint="eastAsia" w:ascii="Times New Roman" w:hAnsi="Times New Roman"/>
                <w:color w:val="000000" w:themeColor="text1"/>
                <w:kern w:val="0"/>
                <w:sz w:val="20"/>
                <w:szCs w:val="20"/>
                <w14:textFill>
                  <w14:solidFill>
                    <w14:schemeClr w14:val="tx1"/>
                  </w14:solidFill>
                </w14:textFill>
              </w:rPr>
              <w:t>基础数据信息和汇集信息资料准确，</w:t>
            </w:r>
            <w:r>
              <w:rPr>
                <w:rFonts w:ascii="Times New Roman" w:hAnsi="Times New Roman"/>
                <w:color w:val="000000" w:themeColor="text1"/>
                <w:kern w:val="0"/>
                <w:sz w:val="20"/>
                <w:szCs w:val="20"/>
                <w14:textFill>
                  <w14:solidFill>
                    <w14:schemeClr w14:val="tx1"/>
                  </w14:solidFill>
                </w14:textFill>
              </w:rPr>
              <w:t>1</w:t>
            </w:r>
            <w:r>
              <w:rPr>
                <w:rFonts w:hint="eastAsia" w:ascii="Times New Roman" w:hAnsi="Times New Roman"/>
                <w:color w:val="000000" w:themeColor="text1"/>
                <w:kern w:val="0"/>
                <w:sz w:val="20"/>
                <w:szCs w:val="20"/>
                <w14:textFill>
                  <w14:solidFill>
                    <w14:schemeClr w14:val="tx1"/>
                  </w14:solidFill>
                </w14:textFill>
              </w:rPr>
              <w:t>分。</w:t>
            </w:r>
            <w:r>
              <w:rPr>
                <w:rFonts w:ascii="Times New Roman" w:hAnsi="Times New Roman"/>
                <w:color w:val="000000" w:themeColor="text1"/>
                <w:kern w:val="0"/>
                <w:sz w:val="20"/>
                <w:szCs w:val="20"/>
                <w14:textFill>
                  <w14:solidFill>
                    <w14:schemeClr w14:val="tx1"/>
                  </w14:solidFill>
                </w14:textFill>
              </w:rPr>
              <w:t xml:space="preserve">  </w:t>
            </w:r>
          </w:p>
        </w:tc>
        <w:tc>
          <w:tcPr>
            <w:tcW w:w="2577" w:type="dxa"/>
            <w:tcBorders>
              <w:top w:val="nil"/>
              <w:left w:val="nil"/>
              <w:bottom w:val="single" w:color="auto" w:sz="4" w:space="0"/>
              <w:right w:val="single" w:color="auto" w:sz="4" w:space="0"/>
            </w:tcBorders>
            <w:vAlign w:val="center"/>
          </w:tcPr>
          <w:p>
            <w:pPr>
              <w:widowControl/>
              <w:spacing w:line="280" w:lineRule="exact"/>
              <w:jc w:val="left"/>
              <w:rPr>
                <w:color w:val="000000" w:themeColor="text1"/>
                <w:kern w:val="0"/>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按要求及时公开预决算信息。</w:t>
            </w:r>
          </w:p>
        </w:tc>
        <w:tc>
          <w:tcPr>
            <w:tcW w:w="58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5</w:t>
            </w:r>
          </w:p>
        </w:tc>
        <w:tc>
          <w:tcPr>
            <w:tcW w:w="106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已公开</w:t>
            </w:r>
          </w:p>
        </w:tc>
      </w:tr>
      <w:tr>
        <w:tblPrEx>
          <w:tblLayout w:type="fixed"/>
          <w:tblCellMar>
            <w:top w:w="0" w:type="dxa"/>
            <w:left w:w="108" w:type="dxa"/>
            <w:bottom w:w="0" w:type="dxa"/>
            <w:right w:w="108" w:type="dxa"/>
          </w:tblCellMar>
        </w:tblPrEx>
        <w:trPr>
          <w:trHeight w:val="1201" w:hRule="atLeast"/>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5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3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2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根据绩效办对各部门为民办实事和部门重点工程与重点工作考核分数折算。</w:t>
            </w:r>
          </w:p>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该项得分</w:t>
            </w:r>
            <w:r>
              <w:rPr>
                <w:rFonts w:ascii="Times New Roman" w:hAnsi="Times New Roman"/>
                <w:color w:val="000000" w:themeColor="text1"/>
                <w:kern w:val="0"/>
                <w:sz w:val="20"/>
                <w:szCs w:val="20"/>
                <w14:textFill>
                  <w14:solidFill>
                    <w14:schemeClr w14:val="tx1"/>
                  </w14:solidFill>
                </w14:textFill>
              </w:rPr>
              <w:t>=</w:t>
            </w:r>
            <w:r>
              <w:rPr>
                <w:rFonts w:hint="eastAsia" w:ascii="Times New Roman" w:hAnsi="Times New Roman"/>
                <w:color w:val="000000" w:themeColor="text1"/>
                <w:kern w:val="0"/>
                <w:sz w:val="20"/>
                <w:szCs w:val="20"/>
                <w14:textFill>
                  <w14:solidFill>
                    <w14:schemeClr w14:val="tx1"/>
                  </w14:solidFill>
                </w14:textFill>
              </w:rPr>
              <w:t>（绩效办对应部分考核得分</w:t>
            </w:r>
            <w:r>
              <w:rPr>
                <w:rFonts w:ascii="Times New Roman" w:hAnsi="Times New Roman"/>
                <w:color w:val="000000" w:themeColor="text1"/>
                <w:kern w:val="0"/>
                <w:sz w:val="20"/>
                <w:szCs w:val="20"/>
                <w14:textFill>
                  <w14:solidFill>
                    <w14:schemeClr w14:val="tx1"/>
                  </w14:solidFill>
                </w14:textFill>
              </w:rPr>
              <w:t>/350</w:t>
            </w:r>
            <w:r>
              <w:rPr>
                <w:rFonts w:hint="eastAsia" w:ascii="Times New Roman" w:hAnsi="Times New Roman"/>
                <w:color w:val="000000" w:themeColor="text1"/>
                <w:kern w:val="0"/>
                <w:sz w:val="20"/>
                <w:szCs w:val="20"/>
                <w14:textFill>
                  <w14:solidFill>
                    <w14:schemeClr w14:val="tx1"/>
                  </w14:solidFill>
                </w14:textFill>
              </w:rPr>
              <w:t>）</w:t>
            </w:r>
            <w:r>
              <w:rPr>
                <w:rFonts w:ascii="Times New Roman" w:hAnsi="Times New Roman"/>
                <w:color w:val="000000" w:themeColor="text1"/>
                <w:kern w:val="0"/>
                <w:sz w:val="20"/>
                <w:szCs w:val="20"/>
                <w14:textFill>
                  <w14:solidFill>
                    <w14:schemeClr w14:val="tx1"/>
                  </w14:solidFill>
                </w14:textFill>
              </w:rPr>
              <w:t>*8</w:t>
            </w:r>
          </w:p>
        </w:tc>
        <w:tc>
          <w:tcPr>
            <w:tcW w:w="2577"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color w:val="000000" w:themeColor="text1"/>
                <w:kern w:val="0"/>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无此类任务</w:t>
            </w:r>
            <w:r>
              <w:rPr>
                <w:color w:val="000000" w:themeColor="text1"/>
                <w:kern w:val="0"/>
                <w:sz w:val="20"/>
                <w:szCs w:val="20"/>
                <w14:textFill>
                  <w14:solidFill>
                    <w14:schemeClr w14:val="tx1"/>
                  </w14:solidFill>
                </w14:textFill>
              </w:rPr>
              <w:t xml:space="preserve"> </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8</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无</w:t>
            </w:r>
          </w:p>
        </w:tc>
      </w:tr>
      <w:tr>
        <w:tblPrEx>
          <w:tblLayout w:type="fixed"/>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5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3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2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2"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16"/>
                <w:szCs w:val="20"/>
                <w14:textFill>
                  <w14:solidFill>
                    <w14:schemeClr w14:val="tx1"/>
                  </w14:solidFill>
                </w14:textFill>
              </w:rPr>
              <w:t>全年申报高企45家，第一批公示认定18家(新培育6家)，第二批27家（新培育25家）正在评审中。预计全年新培育31家，2017年认定高企28家（新培育13家）。全区技术合同交易额达5.00亿元。2017年全年交易额为2.1亿元。强化知识产权建设强县建设，1-12月，全区专利申请数1551件，同比增长30.78%，其中发明专利申请量为600件,同比增长65.75 %；专利授权量802件，同比增长24.73%，其中发明专利授权130件，同比增长7.44%。积极培育企业知识产权管理规范化。2018年6月，湖南联智桥隧技术有限公司、湖南泰嘉新材料科技股份有限公司、湖南绿道节能环保科技有限公司、湖南省国银新材料有限公司、湖南军信环保股份有限公司5家企业被长沙市知识产权局确定为2018年企业知识产权管理规范化试点单位。举办了“科技创新 强国富民”主题科技活动周</w:t>
            </w:r>
            <w:r>
              <w:rPr>
                <w:rFonts w:hint="eastAsia" w:ascii="Times New Roman" w:hAnsi="Times New Roman"/>
                <w:color w:val="000000" w:themeColor="text1"/>
                <w:kern w:val="0"/>
                <w:sz w:val="16"/>
                <w:szCs w:val="20"/>
                <w:lang w:eastAsia="zh-CN"/>
                <w14:textFill>
                  <w14:solidFill>
                    <w14:schemeClr w14:val="tx1"/>
                  </w14:solidFill>
                </w14:textFill>
              </w:rPr>
              <w:t>主题</w:t>
            </w:r>
            <w:r>
              <w:rPr>
                <w:rFonts w:hint="eastAsia" w:ascii="Times New Roman" w:hAnsi="Times New Roman"/>
                <w:color w:val="000000" w:themeColor="text1"/>
                <w:kern w:val="0"/>
                <w:sz w:val="16"/>
                <w:szCs w:val="20"/>
                <w14:textFill>
                  <w14:solidFill>
                    <w14:schemeClr w14:val="tx1"/>
                  </w14:solidFill>
                </w14:textFill>
              </w:rPr>
              <w:t>活动、“创新引领时代，智慧点亮生活”主题科普宣传活动,不断提高望城人民科学素质，有效激发全社会创新激情和创造活力，为建设更加美丽强盛幸福的名望之城作出积极贡献。</w:t>
            </w:r>
          </w:p>
        </w:tc>
        <w:tc>
          <w:tcPr>
            <w:tcW w:w="58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6</w:t>
            </w:r>
          </w:p>
        </w:tc>
        <w:tc>
          <w:tcPr>
            <w:tcW w:w="10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绩效完成较好</w:t>
            </w:r>
          </w:p>
        </w:tc>
      </w:tr>
      <w:tr>
        <w:tblPrEx>
          <w:tblLayout w:type="fixed"/>
          <w:tblCellMar>
            <w:top w:w="0" w:type="dxa"/>
            <w:left w:w="108" w:type="dxa"/>
            <w:bottom w:w="0" w:type="dxa"/>
            <w:right w:w="108" w:type="dxa"/>
          </w:tblCellMar>
        </w:tblPrEx>
        <w:trPr>
          <w:trHeight w:val="2695"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5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3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5472" w:type="dxa"/>
            <w:gridSpan w:val="2"/>
            <w:vMerge w:val="continue"/>
            <w:tcBorders>
              <w:top w:val="single" w:color="auto" w:sz="4" w:space="0"/>
              <w:left w:val="single" w:color="auto" w:sz="4" w:space="0"/>
              <w:bottom w:val="single" w:color="auto" w:sz="4" w:space="0"/>
              <w:right w:val="single" w:color="000000" w:sz="4" w:space="0"/>
            </w:tcBorders>
            <w:vAlign w:val="center"/>
          </w:tcPr>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p>
        </w:tc>
        <w:tc>
          <w:tcPr>
            <w:tcW w:w="585"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p>
        </w:tc>
        <w:tc>
          <w:tcPr>
            <w:tcW w:w="1063"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5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3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940"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95"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促进部门改进文风会风，加强经费及资产管理，推动网上办事，提高行政效率，降低行政成本效果较好的计</w:t>
            </w:r>
            <w:r>
              <w:rPr>
                <w:rFonts w:ascii="Times New Roman" w:hAnsi="Times New Roman"/>
                <w:color w:val="000000" w:themeColor="text1"/>
                <w:kern w:val="0"/>
                <w:sz w:val="20"/>
                <w:szCs w:val="20"/>
                <w14:textFill>
                  <w14:solidFill>
                    <w14:schemeClr w14:val="tx1"/>
                  </w14:solidFill>
                </w14:textFill>
              </w:rPr>
              <w:t>6</w:t>
            </w:r>
            <w:r>
              <w:rPr>
                <w:rFonts w:hint="eastAsia" w:ascii="Times New Roman" w:hAnsi="Times New Roman"/>
                <w:color w:val="000000" w:themeColor="text1"/>
                <w:kern w:val="0"/>
                <w:sz w:val="20"/>
                <w:szCs w:val="20"/>
                <w14:textFill>
                  <w14:solidFill>
                    <w14:schemeClr w14:val="tx1"/>
                  </w14:solidFill>
                </w14:textFill>
              </w:rPr>
              <w:t>分；一般</w:t>
            </w:r>
            <w:r>
              <w:rPr>
                <w:rFonts w:ascii="Times New Roman" w:hAnsi="Times New Roman"/>
                <w:color w:val="000000" w:themeColor="text1"/>
                <w:kern w:val="0"/>
                <w:sz w:val="20"/>
                <w:szCs w:val="20"/>
                <w14:textFill>
                  <w14:solidFill>
                    <w14:schemeClr w14:val="tx1"/>
                  </w14:solidFill>
                </w14:textFill>
              </w:rPr>
              <w:t>3</w:t>
            </w:r>
            <w:r>
              <w:rPr>
                <w:rFonts w:hint="eastAsia" w:ascii="Times New Roman" w:hAnsi="Times New Roman"/>
                <w:color w:val="000000" w:themeColor="text1"/>
                <w:kern w:val="0"/>
                <w:sz w:val="20"/>
                <w:szCs w:val="20"/>
                <w14:textFill>
                  <w14:solidFill>
                    <w14:schemeClr w14:val="tx1"/>
                  </w14:solidFill>
                </w14:textFill>
              </w:rPr>
              <w:t>分；无效果或者效果不明显</w:t>
            </w:r>
            <w:r>
              <w:rPr>
                <w:rFonts w:ascii="Times New Roman" w:hAnsi="Times New Roman"/>
                <w:color w:val="000000" w:themeColor="text1"/>
                <w:kern w:val="0"/>
                <w:sz w:val="20"/>
                <w:szCs w:val="20"/>
                <w14:textFill>
                  <w14:solidFill>
                    <w14:schemeClr w14:val="tx1"/>
                  </w14:solidFill>
                </w14:textFill>
              </w:rPr>
              <w:t>0</w:t>
            </w:r>
            <w:r>
              <w:rPr>
                <w:rFonts w:hint="eastAsia" w:ascii="Times New Roman" w:hAnsi="Times New Roman"/>
                <w:color w:val="000000" w:themeColor="text1"/>
                <w:kern w:val="0"/>
                <w:sz w:val="20"/>
                <w:szCs w:val="20"/>
                <w14:textFill>
                  <w14:solidFill>
                    <w14:schemeClr w14:val="tx1"/>
                  </w14:solidFill>
                </w14:textFill>
              </w:rPr>
              <w:t>分。</w:t>
            </w:r>
          </w:p>
        </w:tc>
        <w:tc>
          <w:tcPr>
            <w:tcW w:w="2577"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根据部门自评材料评定。</w:t>
            </w:r>
          </w:p>
        </w:tc>
        <w:tc>
          <w:tcPr>
            <w:tcW w:w="5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r>
              <w:rPr>
                <w:rFonts w:hint="eastAsia" w:ascii="Times New Roman" w:hAnsi="Times New Roman"/>
                <w:color w:val="000000" w:themeColor="text1"/>
                <w:kern w:val="0"/>
                <w:sz w:val="20"/>
                <w:szCs w:val="20"/>
                <w14:textFill>
                  <w14:solidFill>
                    <w14:schemeClr w14:val="tx1"/>
                  </w14:solidFill>
                </w14:textFill>
              </w:rPr>
              <w:t>6</w:t>
            </w:r>
          </w:p>
        </w:tc>
        <w:tc>
          <w:tcPr>
            <w:tcW w:w="106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53"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36"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940"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20"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95"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2577"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58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6</w:t>
            </w:r>
          </w:p>
        </w:tc>
        <w:tc>
          <w:tcPr>
            <w:tcW w:w="106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p>
        </w:tc>
      </w:tr>
      <w:tr>
        <w:tblPrEx>
          <w:tblLayout w:type="fixed"/>
          <w:tblCellMar>
            <w:top w:w="0" w:type="dxa"/>
            <w:left w:w="108" w:type="dxa"/>
            <w:bottom w:w="0" w:type="dxa"/>
            <w:right w:w="108" w:type="dxa"/>
          </w:tblCellMar>
        </w:tblPrEx>
        <w:trPr>
          <w:trHeight w:val="39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2865" w:type="dxa"/>
            <w:gridSpan w:val="5"/>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b/>
                <w:bCs/>
                <w:color w:val="FF0000"/>
                <w:kern w:val="0"/>
                <w:sz w:val="24"/>
                <w:szCs w:val="24"/>
              </w:rPr>
            </w:pPr>
            <w:r>
              <w:rPr>
                <w:rFonts w:hint="eastAsia" w:ascii="Times New Roman" w:hAnsi="Times New Roman"/>
                <w:b/>
                <w:bCs/>
                <w:kern w:val="0"/>
                <w:sz w:val="24"/>
                <w:szCs w:val="24"/>
              </w:rPr>
              <w:t>合   计</w:t>
            </w:r>
          </w:p>
        </w:tc>
        <w:tc>
          <w:tcPr>
            <w:tcW w:w="2895"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b/>
                <w:bCs/>
                <w:color w:val="FF0000"/>
                <w:kern w:val="0"/>
                <w:sz w:val="24"/>
                <w:szCs w:val="24"/>
              </w:rPr>
            </w:pPr>
          </w:p>
        </w:tc>
        <w:tc>
          <w:tcPr>
            <w:tcW w:w="2577"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b/>
                <w:bCs/>
                <w:color w:val="FF0000"/>
                <w:kern w:val="0"/>
                <w:sz w:val="24"/>
                <w:szCs w:val="24"/>
              </w:rPr>
            </w:pPr>
          </w:p>
        </w:tc>
        <w:tc>
          <w:tcPr>
            <w:tcW w:w="58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
                <w:bCs/>
                <w:color w:val="FF0000"/>
                <w:kern w:val="0"/>
                <w:sz w:val="24"/>
                <w:szCs w:val="24"/>
              </w:rPr>
            </w:pPr>
            <w:r>
              <w:rPr>
                <w:rFonts w:hint="eastAsia" w:ascii="Times New Roman" w:hAnsi="Times New Roman"/>
                <w:b/>
                <w:bCs/>
                <w:color w:val="000000" w:themeColor="text1"/>
                <w:kern w:val="0"/>
                <w:sz w:val="24"/>
                <w:szCs w:val="24"/>
                <w14:textFill>
                  <w14:solidFill>
                    <w14:schemeClr w14:val="tx1"/>
                  </w14:solidFill>
                </w14:textFill>
              </w:rPr>
              <w:t>84</w:t>
            </w:r>
          </w:p>
        </w:tc>
        <w:tc>
          <w:tcPr>
            <w:tcW w:w="106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color w:val="FF0000"/>
                <w:kern w:val="0"/>
                <w:sz w:val="20"/>
                <w:szCs w:val="20"/>
              </w:rPr>
            </w:pPr>
          </w:p>
        </w:tc>
      </w:tr>
    </w:tbl>
    <w:p>
      <w:pPr>
        <w:spacing w:line="20" w:lineRule="exact"/>
        <w:rPr>
          <w:rFonts w:ascii="Times New Roman" w:hAnsi="Times New Roman"/>
        </w:rPr>
      </w:pPr>
    </w:p>
    <w:sectPr>
      <w:footerReference r:id="rId5" w:type="first"/>
      <w:footerReference r:id="rId3" w:type="default"/>
      <w:footerReference r:id="rId4" w:type="even"/>
      <w:pgSz w:w="11906" w:h="16838"/>
      <w:pgMar w:top="1701" w:right="1587"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Content>
      <w:p>
        <w:pPr>
          <w:pStyle w:val="4"/>
          <w:jc w:val="right"/>
        </w:pPr>
        <w:r>
          <w:fldChar w:fldCharType="begin"/>
        </w:r>
        <w:r>
          <w:instrText xml:space="preserve">PAGE   \* MERGEFORMAT</w:instrText>
        </w:r>
        <w:r>
          <w:fldChar w:fldCharType="separate"/>
        </w:r>
        <w:r>
          <w:rPr>
            <w:lang w:val="zh-CN"/>
          </w:rPr>
          <w:t>-</w:t>
        </w:r>
        <w:r>
          <w:t xml:space="preserve"> 3 -</w:t>
        </w:r>
        <w:r>
          <w:fldChar w:fldCharType="end"/>
        </w:r>
      </w:p>
    </w:sdtContent>
  </w:sdt>
  <w:p>
    <w:pPr>
      <w:pStyle w:val="4"/>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sdtPr>
    <w:sdtContent>
      <w:p>
        <w:pPr>
          <w:pStyle w:val="4"/>
        </w:pPr>
        <w:r>
          <w:fldChar w:fldCharType="begin"/>
        </w:r>
        <w:r>
          <w:instrText xml:space="preserve">PAGE   \* MERGEFORMAT</w:instrText>
        </w:r>
        <w:r>
          <w:fldChar w:fldCharType="separate"/>
        </w:r>
        <w:r>
          <w:rPr>
            <w:lang w:val="zh-CN"/>
          </w:rPr>
          <w:t>-</w:t>
        </w:r>
        <w:r>
          <w:t xml:space="preserve"> 2 -</w:t>
        </w:r>
        <w:r>
          <w:fldChar w:fldCharType="end"/>
        </w:r>
      </w:p>
    </w:sdtContent>
  </w:sdt>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rPr>
        <w:rFonts w:hint="eastAsia"/>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0F47"/>
    <w:rsid w:val="0007763D"/>
    <w:rsid w:val="0008243B"/>
    <w:rsid w:val="000877BF"/>
    <w:rsid w:val="00091E7B"/>
    <w:rsid w:val="000D230F"/>
    <w:rsid w:val="000E20BF"/>
    <w:rsid w:val="00106906"/>
    <w:rsid w:val="00111454"/>
    <w:rsid w:val="00150C53"/>
    <w:rsid w:val="0016305B"/>
    <w:rsid w:val="00170D2C"/>
    <w:rsid w:val="00190E73"/>
    <w:rsid w:val="001918FE"/>
    <w:rsid w:val="001A2888"/>
    <w:rsid w:val="001B67CB"/>
    <w:rsid w:val="001B6A3D"/>
    <w:rsid w:val="001C0081"/>
    <w:rsid w:val="001C10FB"/>
    <w:rsid w:val="001C283B"/>
    <w:rsid w:val="001E275B"/>
    <w:rsid w:val="001E6B38"/>
    <w:rsid w:val="001F591B"/>
    <w:rsid w:val="001F7A6C"/>
    <w:rsid w:val="00200851"/>
    <w:rsid w:val="00225B82"/>
    <w:rsid w:val="002436E5"/>
    <w:rsid w:val="002603D7"/>
    <w:rsid w:val="00263876"/>
    <w:rsid w:val="00264568"/>
    <w:rsid w:val="00283DDC"/>
    <w:rsid w:val="002928A8"/>
    <w:rsid w:val="00294D02"/>
    <w:rsid w:val="002A1C9D"/>
    <w:rsid w:val="002D2B17"/>
    <w:rsid w:val="002D6DE6"/>
    <w:rsid w:val="002F30F6"/>
    <w:rsid w:val="002F4C93"/>
    <w:rsid w:val="002F7238"/>
    <w:rsid w:val="00303747"/>
    <w:rsid w:val="00304A80"/>
    <w:rsid w:val="00311F5D"/>
    <w:rsid w:val="003202CE"/>
    <w:rsid w:val="003370D8"/>
    <w:rsid w:val="00344F4D"/>
    <w:rsid w:val="00345F10"/>
    <w:rsid w:val="00347B6E"/>
    <w:rsid w:val="0035691A"/>
    <w:rsid w:val="0036064C"/>
    <w:rsid w:val="00365CB3"/>
    <w:rsid w:val="003663D1"/>
    <w:rsid w:val="0037668D"/>
    <w:rsid w:val="003809B6"/>
    <w:rsid w:val="00382329"/>
    <w:rsid w:val="00390CCB"/>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0223"/>
    <w:rsid w:val="004F1AEC"/>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14E0"/>
    <w:rsid w:val="006270C6"/>
    <w:rsid w:val="006354FD"/>
    <w:rsid w:val="00641607"/>
    <w:rsid w:val="00647D6B"/>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927D4"/>
    <w:rsid w:val="008A4AAA"/>
    <w:rsid w:val="008C2D39"/>
    <w:rsid w:val="008C5FEB"/>
    <w:rsid w:val="008D1C56"/>
    <w:rsid w:val="008D26E3"/>
    <w:rsid w:val="00922390"/>
    <w:rsid w:val="0095469C"/>
    <w:rsid w:val="00964943"/>
    <w:rsid w:val="00977748"/>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1083"/>
    <w:rsid w:val="00AF6720"/>
    <w:rsid w:val="00B26F1A"/>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1678"/>
    <w:rsid w:val="00BD1AA7"/>
    <w:rsid w:val="00BD2424"/>
    <w:rsid w:val="00BD34C8"/>
    <w:rsid w:val="00BE69CE"/>
    <w:rsid w:val="00BF0FDB"/>
    <w:rsid w:val="00BF5D55"/>
    <w:rsid w:val="00C01BC1"/>
    <w:rsid w:val="00C03A86"/>
    <w:rsid w:val="00C35B44"/>
    <w:rsid w:val="00C42F72"/>
    <w:rsid w:val="00C61D3E"/>
    <w:rsid w:val="00C65955"/>
    <w:rsid w:val="00C67E84"/>
    <w:rsid w:val="00C707E7"/>
    <w:rsid w:val="00C76C38"/>
    <w:rsid w:val="00C96B3F"/>
    <w:rsid w:val="00CB004E"/>
    <w:rsid w:val="00CB6E34"/>
    <w:rsid w:val="00CC560F"/>
    <w:rsid w:val="00CC65E0"/>
    <w:rsid w:val="00CD141B"/>
    <w:rsid w:val="00CF32B5"/>
    <w:rsid w:val="00CF5DB6"/>
    <w:rsid w:val="00D0168B"/>
    <w:rsid w:val="00D039C0"/>
    <w:rsid w:val="00D24F0E"/>
    <w:rsid w:val="00D4027B"/>
    <w:rsid w:val="00D41401"/>
    <w:rsid w:val="00D53566"/>
    <w:rsid w:val="00D6185F"/>
    <w:rsid w:val="00D65F0E"/>
    <w:rsid w:val="00D71469"/>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D2F4E"/>
    <w:rsid w:val="00ED5834"/>
    <w:rsid w:val="00EE50E1"/>
    <w:rsid w:val="00EF1F61"/>
    <w:rsid w:val="00EF320C"/>
    <w:rsid w:val="00F007A3"/>
    <w:rsid w:val="00F246BC"/>
    <w:rsid w:val="00F24D5C"/>
    <w:rsid w:val="00F30595"/>
    <w:rsid w:val="00F353B4"/>
    <w:rsid w:val="00F3588E"/>
    <w:rsid w:val="00F46099"/>
    <w:rsid w:val="00F5351D"/>
    <w:rsid w:val="00F562FB"/>
    <w:rsid w:val="00F63924"/>
    <w:rsid w:val="00FE675D"/>
    <w:rsid w:val="02C344B5"/>
    <w:rsid w:val="0E4D5304"/>
    <w:rsid w:val="0E4E7F98"/>
    <w:rsid w:val="1E7B1FA2"/>
    <w:rsid w:val="2EA26DD7"/>
    <w:rsid w:val="31E97C0F"/>
    <w:rsid w:val="4181565D"/>
    <w:rsid w:val="5C6616DF"/>
    <w:rsid w:val="676A289B"/>
    <w:rsid w:val="76DD3E3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73C9E4-B441-429C-A75D-AAB82C0721C9}">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360</Words>
  <Characters>2056</Characters>
  <Lines>17</Lines>
  <Paragraphs>4</Paragraphs>
  <TotalTime>7</TotalTime>
  <ScaleCrop>false</ScaleCrop>
  <LinksUpToDate>false</LinksUpToDate>
  <CharactersWithSpaces>2412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2019-04-23T04:46:00Z</dcterms:created>
  <dc:creator>lenovo</dc:creator>
  <cp:lastModifiedBy>57</cp:lastModifiedBy>
  <cp:lastPrinted>2019-06-14T02:29:00Z</cp:lastPrinted>
  <dcterms:modified xsi:type="dcterms:W3CDTF">2022-08-04T00:48:39Z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