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ind w:firstLine="663" w:firstLineChars="150"/>
        <w:rPr>
          <w:rFonts w:ascii="方正小标宋简体" w:eastAsia="方正小标宋简体"/>
          <w:b/>
          <w:sz w:val="44"/>
          <w:szCs w:val="44"/>
          <w:highlight w:val="none"/>
        </w:rPr>
      </w:pPr>
      <w:r>
        <w:rPr>
          <w:rFonts w:hint="eastAsia" w:ascii="方正小标宋简体" w:eastAsia="方正小标宋简体"/>
          <w:b/>
          <w:sz w:val="44"/>
          <w:szCs w:val="44"/>
          <w:highlight w:val="none"/>
        </w:rPr>
        <w:t>区</w:t>
      </w:r>
      <w:r>
        <w:rPr>
          <w:rFonts w:hint="eastAsia" w:ascii="方正小标宋简体" w:eastAsia="方正小标宋简体"/>
          <w:b/>
          <w:sz w:val="44"/>
          <w:szCs w:val="44"/>
          <w:highlight w:val="none"/>
          <w:lang w:eastAsia="zh-CN"/>
        </w:rPr>
        <w:t>人社局</w:t>
      </w:r>
      <w:r>
        <w:rPr>
          <w:rFonts w:hint="eastAsia" w:ascii="方正小标宋简体" w:eastAsia="方正小标宋简体"/>
          <w:b/>
          <w:sz w:val="44"/>
          <w:szCs w:val="44"/>
          <w:highlight w:val="none"/>
        </w:rPr>
        <w:t>201</w:t>
      </w:r>
      <w:r>
        <w:rPr>
          <w:rFonts w:hint="eastAsia" w:ascii="方正小标宋简体" w:eastAsia="方正小标宋简体"/>
          <w:b/>
          <w:sz w:val="44"/>
          <w:szCs w:val="44"/>
          <w:highlight w:val="none"/>
          <w:lang w:val="en-US" w:eastAsia="zh-CN"/>
        </w:rPr>
        <w:t>9</w:t>
      </w:r>
      <w:r>
        <w:rPr>
          <w:rFonts w:hint="eastAsia" w:ascii="方正小标宋简体" w:eastAsia="方正小标宋简体"/>
          <w:b/>
          <w:sz w:val="44"/>
          <w:szCs w:val="44"/>
          <w:highlight w:val="none"/>
        </w:rPr>
        <w:t>年部门整体绩效自评报告</w:t>
      </w:r>
    </w:p>
    <w:p>
      <w:pPr>
        <w:spacing w:line="700" w:lineRule="exact"/>
        <w:ind w:firstLine="1325" w:firstLineChars="300"/>
        <w:rPr>
          <w:rFonts w:ascii="方正小标宋简体" w:eastAsia="方正小标宋简体"/>
          <w:b/>
          <w:sz w:val="44"/>
          <w:szCs w:val="44"/>
          <w:highlight w:val="none"/>
        </w:rPr>
      </w:pPr>
    </w:p>
    <w:p>
      <w:pPr>
        <w:numPr>
          <w:ilvl w:val="0"/>
          <w:numId w:val="1"/>
        </w:numPr>
        <w:spacing w:line="560" w:lineRule="exact"/>
        <w:ind w:firstLine="643" w:firstLineChars="200"/>
        <w:rPr>
          <w:rFonts w:hint="eastAsia" w:ascii="黑体" w:hAnsi="黑体" w:eastAsia="黑体"/>
          <w:b/>
          <w:sz w:val="32"/>
          <w:szCs w:val="32"/>
          <w:highlight w:val="none"/>
          <w:lang w:eastAsia="zh-CN"/>
        </w:rPr>
      </w:pPr>
      <w:r>
        <w:rPr>
          <w:rFonts w:hint="eastAsia" w:ascii="黑体" w:hAnsi="黑体" w:eastAsia="黑体"/>
          <w:b/>
          <w:sz w:val="32"/>
          <w:szCs w:val="32"/>
          <w:highlight w:val="none"/>
        </w:rPr>
        <w:t>部门</w:t>
      </w:r>
      <w:r>
        <w:rPr>
          <w:rFonts w:hint="eastAsia" w:ascii="黑体" w:hAnsi="黑体" w:eastAsia="黑体"/>
          <w:b/>
          <w:sz w:val="32"/>
          <w:szCs w:val="32"/>
          <w:highlight w:val="none"/>
          <w:lang w:eastAsia="zh-CN"/>
        </w:rPr>
        <w:t>基本情况</w:t>
      </w:r>
    </w:p>
    <w:p>
      <w:pPr>
        <w:numPr>
          <w:ilvl w:val="0"/>
          <w:numId w:val="0"/>
        </w:numPr>
        <w:spacing w:line="560" w:lineRule="exact"/>
        <w:ind w:firstLine="643" w:firstLineChars="200"/>
        <w:rPr>
          <w:rFonts w:ascii="仿宋_GB2312" w:eastAsia="仿宋_GB2312"/>
          <w:b/>
          <w:sz w:val="32"/>
          <w:szCs w:val="32"/>
          <w:highlight w:val="none"/>
        </w:rPr>
      </w:pPr>
      <w:r>
        <w:rPr>
          <w:rFonts w:hint="eastAsia" w:ascii="仿宋_GB2312" w:eastAsia="仿宋_GB2312"/>
          <w:b/>
          <w:sz w:val="32"/>
          <w:szCs w:val="32"/>
          <w:highlight w:val="none"/>
        </w:rPr>
        <w:t xml:space="preserve">(一)机构、人员构成 </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eastAsia="仿宋_GB2312"/>
          <w:color w:val="92D050"/>
          <w:sz w:val="32"/>
          <w:szCs w:val="32"/>
          <w:highlight w:val="none"/>
        </w:rPr>
      </w:pPr>
      <w:r>
        <w:rPr>
          <w:rFonts w:eastAsia="仿宋_GB2312"/>
          <w:color w:val="000000"/>
          <w:sz w:val="32"/>
          <w:szCs w:val="32"/>
          <w:highlight w:val="none"/>
        </w:rPr>
        <w:t>全局设</w:t>
      </w:r>
      <w:r>
        <w:rPr>
          <w:rFonts w:hint="eastAsia" w:eastAsia="仿宋_GB2312"/>
          <w:color w:val="000000"/>
          <w:sz w:val="32"/>
          <w:szCs w:val="32"/>
          <w:highlight w:val="none"/>
          <w:lang w:eastAsia="zh-CN"/>
        </w:rPr>
        <w:t>八</w:t>
      </w:r>
      <w:r>
        <w:rPr>
          <w:rFonts w:eastAsia="仿宋_GB2312"/>
          <w:color w:val="000000"/>
          <w:sz w:val="32"/>
          <w:szCs w:val="32"/>
          <w:highlight w:val="none"/>
        </w:rPr>
        <w:t>个科室</w:t>
      </w:r>
      <w:r>
        <w:rPr>
          <w:rFonts w:hint="eastAsia" w:eastAsia="仿宋_GB2312"/>
          <w:color w:val="000000"/>
          <w:sz w:val="32"/>
          <w:szCs w:val="32"/>
          <w:highlight w:val="none"/>
          <w:lang w:eastAsia="zh-CN"/>
        </w:rPr>
        <w:t>六</w:t>
      </w:r>
      <w:r>
        <w:rPr>
          <w:rFonts w:eastAsia="仿宋_GB2312"/>
          <w:color w:val="000000"/>
          <w:sz w:val="32"/>
          <w:szCs w:val="32"/>
          <w:highlight w:val="none"/>
        </w:rPr>
        <w:t>个二级机构。“</w:t>
      </w:r>
      <w:r>
        <w:rPr>
          <w:rFonts w:hint="eastAsia" w:eastAsia="仿宋_GB2312"/>
          <w:color w:val="000000"/>
          <w:sz w:val="32"/>
          <w:szCs w:val="32"/>
          <w:highlight w:val="none"/>
          <w:lang w:eastAsia="zh-CN"/>
        </w:rPr>
        <w:t>八</w:t>
      </w:r>
      <w:r>
        <w:rPr>
          <w:rFonts w:eastAsia="仿宋_GB2312"/>
          <w:color w:val="000000"/>
          <w:sz w:val="32"/>
          <w:szCs w:val="32"/>
          <w:highlight w:val="none"/>
        </w:rPr>
        <w:t>个科室”：</w:t>
      </w:r>
      <w:r>
        <w:rPr>
          <w:rFonts w:hint="eastAsia" w:eastAsia="仿宋_GB2312"/>
          <w:color w:val="000000"/>
          <w:sz w:val="32"/>
          <w:szCs w:val="32"/>
          <w:highlight w:val="none"/>
        </w:rPr>
        <w:t>办公室、基金财务科、基金监督科、就业促进科、社会保险科、工资福利科、事业单位人事管理科、劳动关系仲裁法制科</w:t>
      </w:r>
      <w:r>
        <w:rPr>
          <w:rFonts w:hint="eastAsia" w:eastAsia="仿宋_GB2312"/>
          <w:color w:val="000000"/>
          <w:sz w:val="32"/>
          <w:szCs w:val="32"/>
          <w:highlight w:val="none"/>
          <w:lang w:eastAsia="zh-CN"/>
        </w:rPr>
        <w:t>；</w:t>
      </w:r>
      <w:r>
        <w:rPr>
          <w:rFonts w:eastAsia="仿宋_GB2312"/>
          <w:color w:val="000000"/>
          <w:sz w:val="32"/>
          <w:szCs w:val="32"/>
          <w:highlight w:val="none"/>
        </w:rPr>
        <w:t>“</w:t>
      </w:r>
      <w:r>
        <w:rPr>
          <w:rFonts w:hint="eastAsia" w:eastAsia="仿宋_GB2312"/>
          <w:color w:val="000000"/>
          <w:sz w:val="32"/>
          <w:szCs w:val="32"/>
          <w:highlight w:val="none"/>
          <w:lang w:eastAsia="zh-CN"/>
        </w:rPr>
        <w:t>六</w:t>
      </w:r>
      <w:r>
        <w:rPr>
          <w:rFonts w:eastAsia="仿宋_GB2312"/>
          <w:color w:val="000000"/>
          <w:sz w:val="32"/>
          <w:szCs w:val="32"/>
          <w:highlight w:val="none"/>
        </w:rPr>
        <w:t>个二级机构”：</w:t>
      </w:r>
      <w:r>
        <w:rPr>
          <w:rFonts w:hint="eastAsia" w:eastAsia="仿宋_GB2312"/>
          <w:color w:val="000000"/>
          <w:sz w:val="32"/>
          <w:szCs w:val="32"/>
          <w:highlight w:val="none"/>
        </w:rPr>
        <w:t>人力资源开发和就业服务中心、社会保险服务中心、失业保险服务中心、工伤保险服务中心、劳动监察大队、信息中心(社保卡中心)</w:t>
      </w:r>
      <w:r>
        <w:rPr>
          <w:rFonts w:hint="eastAsia" w:eastAsia="仿宋_GB2312"/>
          <w:color w:val="000000"/>
          <w:sz w:val="32"/>
          <w:szCs w:val="32"/>
          <w:highlight w:val="none"/>
          <w:lang w:eastAsia="zh-CN"/>
        </w:rPr>
        <w:t>。</w:t>
      </w:r>
      <w:r>
        <w:rPr>
          <w:rFonts w:hint="eastAsia" w:eastAsia="仿宋_GB2312"/>
          <w:color w:val="000000"/>
          <w:sz w:val="32"/>
          <w:szCs w:val="32"/>
          <w:highlight w:val="none"/>
        </w:rPr>
        <w:t>共有编制</w:t>
      </w:r>
      <w:r>
        <w:rPr>
          <w:rFonts w:hint="eastAsia" w:eastAsia="仿宋_GB2312"/>
          <w:color w:val="000000"/>
          <w:sz w:val="32"/>
          <w:szCs w:val="32"/>
          <w:highlight w:val="none"/>
          <w:lang w:val="en-US" w:eastAsia="zh-CN"/>
        </w:rPr>
        <w:t>88</w:t>
      </w:r>
      <w:r>
        <w:rPr>
          <w:rFonts w:hint="eastAsia" w:eastAsia="仿宋_GB2312"/>
          <w:color w:val="000000"/>
          <w:sz w:val="32"/>
          <w:szCs w:val="32"/>
          <w:highlight w:val="none"/>
        </w:rPr>
        <w:t>人，在职实有人数</w:t>
      </w:r>
      <w:r>
        <w:rPr>
          <w:rFonts w:hint="eastAsia" w:eastAsia="仿宋_GB2312"/>
          <w:color w:val="000000"/>
          <w:sz w:val="32"/>
          <w:szCs w:val="32"/>
          <w:highlight w:val="none"/>
          <w:lang w:val="en-US" w:eastAsia="zh-CN"/>
        </w:rPr>
        <w:t>78</w:t>
      </w:r>
      <w:r>
        <w:rPr>
          <w:rFonts w:hint="eastAsia" w:eastAsia="仿宋_GB2312"/>
          <w:color w:val="000000"/>
          <w:sz w:val="32"/>
          <w:szCs w:val="32"/>
          <w:highlight w:val="none"/>
        </w:rPr>
        <w:t>人，其中：行政编制</w:t>
      </w:r>
      <w:r>
        <w:rPr>
          <w:rFonts w:hint="eastAsia" w:eastAsia="仿宋_GB2312"/>
          <w:color w:val="000000"/>
          <w:sz w:val="32"/>
          <w:szCs w:val="32"/>
          <w:highlight w:val="none"/>
          <w:lang w:val="en-US" w:eastAsia="zh-CN"/>
        </w:rPr>
        <w:t>15</w:t>
      </w:r>
      <w:r>
        <w:rPr>
          <w:rFonts w:hint="eastAsia" w:eastAsia="仿宋_GB2312"/>
          <w:color w:val="000000"/>
          <w:sz w:val="32"/>
          <w:szCs w:val="32"/>
          <w:highlight w:val="none"/>
        </w:rPr>
        <w:t>人，事业编制</w:t>
      </w:r>
      <w:r>
        <w:rPr>
          <w:rFonts w:hint="eastAsia" w:eastAsia="仿宋_GB2312"/>
          <w:color w:val="000000"/>
          <w:sz w:val="32"/>
          <w:szCs w:val="32"/>
          <w:highlight w:val="none"/>
          <w:lang w:val="en-US" w:eastAsia="zh-CN"/>
        </w:rPr>
        <w:t>63</w:t>
      </w:r>
      <w:r>
        <w:rPr>
          <w:rFonts w:hint="eastAsia" w:eastAsia="仿宋_GB2312"/>
          <w:color w:val="000000"/>
          <w:sz w:val="32"/>
          <w:szCs w:val="32"/>
          <w:highlight w:val="none"/>
        </w:rPr>
        <w:t>人。</w:t>
      </w:r>
    </w:p>
    <w:p>
      <w:pPr>
        <w:numPr>
          <w:ilvl w:val="0"/>
          <w:numId w:val="2"/>
        </w:numPr>
        <w:spacing w:line="560" w:lineRule="exact"/>
        <w:ind w:firstLine="643" w:firstLineChars="200"/>
        <w:rPr>
          <w:rFonts w:hint="eastAsia" w:ascii="仿宋_GB2312" w:eastAsia="仿宋_GB2312"/>
          <w:b/>
          <w:sz w:val="32"/>
          <w:szCs w:val="32"/>
          <w:highlight w:val="none"/>
        </w:rPr>
      </w:pPr>
      <w:r>
        <w:rPr>
          <w:rFonts w:hint="eastAsia" w:ascii="仿宋_GB2312" w:eastAsia="仿宋_GB2312"/>
          <w:b/>
          <w:sz w:val="32"/>
          <w:szCs w:val="32"/>
          <w:highlight w:val="none"/>
        </w:rPr>
        <w:t>单位主要职责</w:t>
      </w:r>
    </w:p>
    <w:p>
      <w:pPr>
        <w:ind w:firstLine="640" w:firstLineChars="200"/>
        <w:rPr>
          <w:rFonts w:hint="eastAsia" w:ascii="仿宋_GB2312" w:hAnsi="仿宋" w:eastAsia="仿宋_GB2312"/>
          <w:kern w:val="2"/>
          <w:sz w:val="32"/>
          <w:szCs w:val="32"/>
          <w:highlight w:val="none"/>
          <w:lang w:val="en-US" w:eastAsia="zh-CN" w:bidi="ar-SA"/>
        </w:rPr>
      </w:pPr>
      <w:r>
        <w:rPr>
          <w:rFonts w:hint="eastAsia" w:eastAsia="仿宋_GB2312"/>
          <w:sz w:val="32"/>
          <w:szCs w:val="32"/>
          <w:highlight w:val="none"/>
          <w:lang w:val="en-US" w:eastAsia="zh-CN"/>
        </w:rPr>
        <w:t>1.</w:t>
      </w:r>
      <w:r>
        <w:rPr>
          <w:rFonts w:hint="eastAsia" w:ascii="仿宋_GB2312" w:hAnsi="仿宋" w:eastAsia="仿宋_GB2312"/>
          <w:kern w:val="2"/>
          <w:sz w:val="32"/>
          <w:szCs w:val="32"/>
          <w:highlight w:val="none"/>
          <w:lang w:val="en-US" w:eastAsia="zh-CN" w:bidi="ar-SA"/>
        </w:rPr>
        <w:t>贯彻执行国家、省、市关于人力资源和社会保障的法律法规、规章制度。拟订全区人力资源和社会保障事业发展规划、政策，组织实施和监督检查全区人力资源和社会保障法律法规规章执行情况。</w:t>
      </w:r>
    </w:p>
    <w:p>
      <w:pPr>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left"/>
        <w:textAlignment w:val="auto"/>
        <w:rPr>
          <w:rFonts w:hint="eastAsia" w:eastAsia="仿宋_GB2312"/>
          <w:sz w:val="32"/>
          <w:szCs w:val="32"/>
          <w:highlight w:val="none"/>
          <w:lang w:val="en-US" w:eastAsia="zh-CN"/>
        </w:rPr>
      </w:pPr>
      <w:r>
        <w:rPr>
          <w:rFonts w:hint="eastAsia" w:eastAsia="仿宋_GB2312"/>
          <w:sz w:val="32"/>
          <w:szCs w:val="32"/>
          <w:highlight w:val="none"/>
          <w:lang w:val="en-US" w:eastAsia="zh-CN"/>
        </w:rPr>
        <w:t>2.</w:t>
      </w:r>
      <w:r>
        <w:rPr>
          <w:rFonts w:hint="eastAsia" w:ascii="仿宋_GB2312" w:hAnsi="仿宋" w:eastAsia="仿宋_GB2312"/>
          <w:sz w:val="32"/>
          <w:szCs w:val="32"/>
          <w:highlight w:val="none"/>
        </w:rPr>
        <w:t>贯彻执行全区人力资源市场发展规划和人力资源服务业发展、人力资源流动政策，促进人力资源合理流动、有效配置。</w:t>
      </w:r>
    </w:p>
    <w:p>
      <w:pPr>
        <w:pStyle w:val="10"/>
        <w:ind w:firstLine="632"/>
        <w:rPr>
          <w:rFonts w:hint="eastAsia" w:ascii="仿宋_GB2312" w:hAnsi="仿宋" w:eastAsia="仿宋_GB2312"/>
          <w:sz w:val="32"/>
          <w:szCs w:val="32"/>
          <w:highlight w:val="none"/>
        </w:rPr>
      </w:pPr>
      <w:r>
        <w:rPr>
          <w:rFonts w:hint="eastAsia" w:eastAsia="仿宋_GB2312"/>
          <w:sz w:val="32"/>
          <w:szCs w:val="32"/>
          <w:highlight w:val="none"/>
          <w:lang w:val="en-US" w:eastAsia="zh-CN"/>
        </w:rPr>
        <w:t>3.</w:t>
      </w:r>
      <w:r>
        <w:rPr>
          <w:rFonts w:hint="eastAsia" w:ascii="仿宋_GB2312" w:hAnsi="仿宋" w:eastAsia="仿宋_GB2312"/>
          <w:sz w:val="32"/>
          <w:szCs w:val="32"/>
          <w:highlight w:val="none"/>
        </w:rPr>
        <w:t>负责全区促进就业工作，贯彻执行统筹城乡的就业发展规划和政策，完善公共就业创业服务体系，统筹建立面向城乡劳动者的职业技能培训制度，贯彻执行就业援助制度和高校毕业生就业政策。</w:t>
      </w:r>
    </w:p>
    <w:p>
      <w:pPr>
        <w:keepNext w:val="0"/>
        <w:keepLines w:val="0"/>
        <w:pageBreakBefore w:val="0"/>
        <w:widowControl/>
        <w:kinsoku/>
        <w:wordWrap/>
        <w:overflowPunct/>
        <w:topLinePunct w:val="0"/>
        <w:autoSpaceDE/>
        <w:autoSpaceDN/>
        <w:bidi w:val="0"/>
        <w:adjustRightInd/>
        <w:snapToGrid/>
        <w:spacing w:line="600" w:lineRule="exact"/>
        <w:ind w:right="0" w:rightChars="0" w:firstLine="640" w:firstLineChars="200"/>
        <w:jc w:val="left"/>
        <w:textAlignment w:val="auto"/>
        <w:rPr>
          <w:rFonts w:hint="eastAsia" w:ascii="仿宋_GB2312" w:hAnsi="仿宋" w:eastAsia="仿宋_GB2312"/>
          <w:sz w:val="32"/>
          <w:szCs w:val="32"/>
          <w:highlight w:val="none"/>
        </w:rPr>
      </w:pPr>
      <w:r>
        <w:rPr>
          <w:rFonts w:hint="eastAsia" w:eastAsia="仿宋_GB2312"/>
          <w:sz w:val="32"/>
          <w:szCs w:val="32"/>
          <w:highlight w:val="none"/>
          <w:lang w:val="en-US" w:eastAsia="zh-CN"/>
        </w:rPr>
        <w:t>4.</w:t>
      </w:r>
      <w:r>
        <w:rPr>
          <w:rFonts w:hint="eastAsia" w:ascii="仿宋_GB2312" w:hAnsi="仿宋" w:eastAsia="仿宋_GB2312"/>
          <w:sz w:val="32"/>
          <w:szCs w:val="32"/>
          <w:highlight w:val="none"/>
        </w:rPr>
        <w:t>统筹推进建立覆盖城乡的多层次社会保障体系。贯彻执行养老、失业、工伤等社会保险（不含医疗保险、生育保险，下同）及其补充保险政策和标准。贯彻执行养老、失业、工伤等社会保险及其补充保险基金管理和监督制度，编制相关社会保险基金预决算草案。负责工伤预防宣传教育工作，落实工伤预防宣传教育费用。会同有关部门组织实施全民参保计划。</w:t>
      </w:r>
    </w:p>
    <w:p>
      <w:pPr>
        <w:pStyle w:val="10"/>
        <w:ind w:firstLine="632"/>
        <w:rPr>
          <w:rFonts w:hint="eastAsia" w:ascii="仿宋_GB2312" w:hAnsi="仿宋" w:eastAsia="仿宋_GB2312"/>
          <w:sz w:val="32"/>
          <w:szCs w:val="32"/>
          <w:highlight w:val="none"/>
        </w:rPr>
      </w:pPr>
      <w:r>
        <w:rPr>
          <w:rFonts w:hint="eastAsia" w:eastAsia="仿宋_GB2312"/>
          <w:sz w:val="32"/>
          <w:szCs w:val="32"/>
          <w:highlight w:val="none"/>
          <w:lang w:val="en-US" w:eastAsia="zh-CN"/>
        </w:rPr>
        <w:t>5.</w:t>
      </w:r>
      <w:r>
        <w:rPr>
          <w:rFonts w:hint="eastAsia" w:ascii="仿宋_GB2312" w:hAnsi="仿宋" w:eastAsia="仿宋_GB2312"/>
          <w:sz w:val="32"/>
          <w:szCs w:val="32"/>
          <w:highlight w:val="none"/>
        </w:rPr>
        <w:t>负责就业、失业和相关社会保险基金预测预警和信息引导，贯彻执行应对预案，实施预防、调节和控制，保持就业形势稳定。</w:t>
      </w:r>
    </w:p>
    <w:p>
      <w:pPr>
        <w:pStyle w:val="10"/>
        <w:ind w:firstLine="632"/>
        <w:rPr>
          <w:rFonts w:hint="eastAsia" w:ascii="仿宋_GB2312" w:hAnsi="仿宋" w:eastAsia="仿宋_GB2312"/>
          <w:sz w:val="32"/>
          <w:szCs w:val="32"/>
          <w:highlight w:val="none"/>
        </w:rPr>
      </w:pPr>
      <w:r>
        <w:rPr>
          <w:rFonts w:hint="eastAsia" w:eastAsia="仿宋_GB2312"/>
          <w:sz w:val="32"/>
          <w:szCs w:val="32"/>
          <w:highlight w:val="none"/>
          <w:lang w:val="en-US" w:eastAsia="zh-CN"/>
        </w:rPr>
        <w:t>6.</w:t>
      </w:r>
      <w:r>
        <w:rPr>
          <w:rFonts w:hint="eastAsia" w:ascii="仿宋_GB2312" w:hAnsi="仿宋" w:eastAsia="仿宋_GB2312"/>
          <w:sz w:val="32"/>
          <w:szCs w:val="32"/>
          <w:highlight w:val="none"/>
        </w:rPr>
        <w:t>统筹贯彻执行劳动人事争议调解仲裁制度和劳动关系政策，完善劳动关系协商协调机制，监督实施职工工作时间、休息休假和假期制度，监督实施消除非法使用童工政策和女工、未成年工特殊劳动保护政策；组织实施劳动保障监察，协调劳动者维权工作，依法查处重大案件。</w:t>
      </w:r>
    </w:p>
    <w:p>
      <w:pPr>
        <w:pStyle w:val="10"/>
        <w:ind w:firstLine="632"/>
        <w:rPr>
          <w:rFonts w:hint="eastAsia" w:ascii="仿宋_GB2312" w:hAnsi="仿宋" w:eastAsia="仿宋_GB2312"/>
          <w:sz w:val="32"/>
          <w:szCs w:val="32"/>
          <w:highlight w:val="none"/>
        </w:rPr>
      </w:pPr>
      <w:r>
        <w:rPr>
          <w:rFonts w:hint="eastAsia" w:eastAsia="仿宋_GB2312"/>
          <w:sz w:val="32"/>
          <w:szCs w:val="32"/>
          <w:highlight w:val="none"/>
          <w:lang w:val="en-US" w:eastAsia="zh-CN"/>
        </w:rPr>
        <w:t>7.</w:t>
      </w:r>
      <w:r>
        <w:rPr>
          <w:rFonts w:hint="eastAsia" w:ascii="仿宋_GB2312" w:hAnsi="仿宋" w:eastAsia="仿宋_GB2312"/>
          <w:sz w:val="32"/>
          <w:szCs w:val="32"/>
          <w:highlight w:val="none"/>
        </w:rPr>
        <w:t>牵头推进全区深化职称制度改革，贯彻执行专业技术人员管理、继续教育等政策，负责专业技术人才选拔和培养工作，组织贯彻执行技能人才培养、评价、使用和激励制度；组织实施职业资格制度，健全职业技能多元化评价政策。</w:t>
      </w:r>
    </w:p>
    <w:p>
      <w:pPr>
        <w:pStyle w:val="10"/>
        <w:ind w:firstLine="632"/>
        <w:rPr>
          <w:rFonts w:hint="eastAsia" w:ascii="仿宋_GB2312" w:hAnsi="仿宋" w:eastAsia="仿宋_GB2312"/>
          <w:sz w:val="32"/>
          <w:szCs w:val="32"/>
          <w:highlight w:val="none"/>
        </w:rPr>
      </w:pPr>
      <w:r>
        <w:rPr>
          <w:rFonts w:hint="eastAsia" w:eastAsia="仿宋_GB2312"/>
          <w:sz w:val="32"/>
          <w:szCs w:val="32"/>
          <w:highlight w:val="none"/>
          <w:lang w:val="en-US" w:eastAsia="zh-CN"/>
        </w:rPr>
        <w:t>8.</w:t>
      </w:r>
      <w:r>
        <w:rPr>
          <w:rFonts w:hint="eastAsia" w:ascii="仿宋_GB2312" w:hAnsi="仿宋" w:eastAsia="仿宋_GB2312"/>
          <w:sz w:val="32"/>
          <w:szCs w:val="32"/>
          <w:highlight w:val="none"/>
        </w:rPr>
        <w:t>会同有关部门组织实施事业单位人事制度改革，按照管理权限负责规范事业单位岗位设置、公开招聘、聘用合同等人事综合管理工作，贯彻执行事业单位工作人员和机关工勤人员管理政策。</w:t>
      </w:r>
    </w:p>
    <w:p>
      <w:pPr>
        <w:pStyle w:val="10"/>
        <w:ind w:firstLine="632"/>
        <w:rPr>
          <w:rFonts w:hint="eastAsia" w:ascii="仿宋_GB2312" w:hAnsi="仿宋" w:eastAsia="仿宋_GB2312"/>
          <w:sz w:val="32"/>
          <w:szCs w:val="32"/>
          <w:highlight w:val="none"/>
        </w:rPr>
      </w:pPr>
      <w:r>
        <w:rPr>
          <w:rFonts w:hint="eastAsia" w:eastAsia="仿宋_GB2312"/>
          <w:sz w:val="32"/>
          <w:szCs w:val="32"/>
          <w:highlight w:val="none"/>
          <w:lang w:val="en-US" w:eastAsia="zh-CN"/>
        </w:rPr>
        <w:t>9.</w:t>
      </w:r>
      <w:r>
        <w:rPr>
          <w:rFonts w:hint="eastAsia" w:ascii="仿宋_GB2312" w:hAnsi="仿宋" w:eastAsia="仿宋_GB2312"/>
          <w:sz w:val="32"/>
          <w:szCs w:val="32"/>
          <w:highlight w:val="none"/>
        </w:rPr>
        <w:t>会同有关部门组织实施事业单位人员工资收入分配政策，建立全区企事业单位人员工资决定、正常增长和支付保障机制；贯彻执行企事业单位人员福利和离退休政策。</w:t>
      </w:r>
    </w:p>
    <w:p>
      <w:pPr>
        <w:pStyle w:val="10"/>
        <w:ind w:firstLine="632"/>
        <w:rPr>
          <w:rFonts w:hint="eastAsia" w:ascii="仿宋_GB2312" w:hAnsi="仿宋" w:eastAsia="仿宋_GB2312"/>
          <w:sz w:val="32"/>
          <w:szCs w:val="32"/>
          <w:highlight w:val="none"/>
        </w:rPr>
      </w:pPr>
      <w:r>
        <w:rPr>
          <w:rFonts w:hint="eastAsia" w:eastAsia="仿宋_GB2312"/>
          <w:sz w:val="32"/>
          <w:szCs w:val="32"/>
          <w:highlight w:val="none"/>
          <w:lang w:val="en-US" w:eastAsia="zh-CN"/>
        </w:rPr>
        <w:t>10.</w:t>
      </w:r>
      <w:r>
        <w:rPr>
          <w:rFonts w:hint="eastAsia" w:ascii="仿宋_GB2312" w:hAnsi="仿宋" w:eastAsia="仿宋_GB2312"/>
          <w:sz w:val="32"/>
          <w:szCs w:val="32"/>
          <w:highlight w:val="none"/>
        </w:rPr>
        <w:t>会同有关部门贯彻执行农民工工作的综合性政策和规划，推动相关政策落实，协调解决重点难点问题，维护农民工合法权益。</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eastAsia="仿宋_GB2312"/>
          <w:sz w:val="32"/>
          <w:szCs w:val="32"/>
          <w:highlight w:val="none"/>
          <w:lang w:val="en-US" w:eastAsia="zh-CN"/>
        </w:rPr>
      </w:pPr>
      <w:r>
        <w:rPr>
          <w:rFonts w:hint="eastAsia" w:eastAsia="仿宋_GB2312"/>
          <w:sz w:val="32"/>
          <w:szCs w:val="32"/>
          <w:highlight w:val="none"/>
          <w:lang w:val="en-US" w:eastAsia="zh-CN"/>
        </w:rPr>
        <w:t>11.承办区委、区人民政府和上级主管部门交办的其他事项。</w:t>
      </w:r>
    </w:p>
    <w:p>
      <w:pPr>
        <w:spacing w:line="560" w:lineRule="exact"/>
        <w:ind w:firstLine="643" w:firstLineChars="200"/>
        <w:rPr>
          <w:rFonts w:ascii="黑体" w:hAnsi="黑体" w:eastAsia="黑体"/>
          <w:b/>
          <w:sz w:val="32"/>
          <w:szCs w:val="32"/>
          <w:highlight w:val="none"/>
        </w:rPr>
      </w:pPr>
      <w:r>
        <w:rPr>
          <w:rFonts w:hint="eastAsia" w:ascii="黑体" w:hAnsi="黑体" w:eastAsia="黑体"/>
          <w:b/>
          <w:sz w:val="32"/>
          <w:szCs w:val="32"/>
          <w:highlight w:val="none"/>
        </w:rPr>
        <w:t>二、部门整体预算及执行、管理情况</w:t>
      </w:r>
    </w:p>
    <w:p>
      <w:pPr>
        <w:spacing w:line="560" w:lineRule="exact"/>
        <w:ind w:firstLine="643" w:firstLineChars="200"/>
        <w:rPr>
          <w:rFonts w:ascii="仿宋_GB2312" w:eastAsia="仿宋_GB2312"/>
          <w:b/>
          <w:sz w:val="32"/>
          <w:szCs w:val="32"/>
          <w:highlight w:val="none"/>
        </w:rPr>
      </w:pPr>
      <w:r>
        <w:rPr>
          <w:rFonts w:hint="eastAsia" w:ascii="仿宋_GB2312" w:eastAsia="仿宋_GB2312"/>
          <w:b/>
          <w:sz w:val="32"/>
          <w:szCs w:val="32"/>
          <w:highlight w:val="none"/>
        </w:rPr>
        <w:t xml:space="preserve">(一)部门预算情况 </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1、201</w:t>
      </w:r>
      <w:r>
        <w:rPr>
          <w:rFonts w:hint="eastAsia" w:ascii="仿宋_GB2312" w:eastAsia="仿宋_GB2312"/>
          <w:sz w:val="32"/>
          <w:szCs w:val="32"/>
          <w:highlight w:val="none"/>
          <w:lang w:val="en-US" w:eastAsia="zh-CN"/>
        </w:rPr>
        <w:t>9</w:t>
      </w:r>
      <w:r>
        <w:rPr>
          <w:rFonts w:hint="eastAsia" w:ascii="仿宋_GB2312" w:eastAsia="仿宋_GB2312"/>
          <w:sz w:val="32"/>
          <w:szCs w:val="32"/>
          <w:highlight w:val="none"/>
        </w:rPr>
        <w:t>年初部门预算收入为</w:t>
      </w:r>
      <w:r>
        <w:rPr>
          <w:rFonts w:hint="eastAsia" w:ascii="仿宋_GB2312" w:eastAsia="仿宋_GB2312"/>
          <w:sz w:val="32"/>
          <w:szCs w:val="32"/>
          <w:highlight w:val="none"/>
          <w:lang w:val="en-US" w:eastAsia="zh-CN"/>
        </w:rPr>
        <w:t>18337.5</w:t>
      </w:r>
      <w:r>
        <w:rPr>
          <w:rFonts w:hint="eastAsia" w:ascii="仿宋_GB2312" w:eastAsia="仿宋_GB2312"/>
          <w:sz w:val="32"/>
          <w:szCs w:val="32"/>
          <w:highlight w:val="none"/>
        </w:rPr>
        <w:t xml:space="preserve">万元，全部为一般公共预算拨款收入。 </w:t>
      </w:r>
    </w:p>
    <w:p>
      <w:pPr>
        <w:spacing w:line="560" w:lineRule="exact"/>
        <w:ind w:left="105" w:leftChars="50" w:firstLine="480" w:firstLineChars="150"/>
        <w:rPr>
          <w:rFonts w:ascii="仿宋_GB2312" w:eastAsia="仿宋_GB2312"/>
          <w:sz w:val="32"/>
          <w:szCs w:val="32"/>
          <w:highlight w:val="none"/>
        </w:rPr>
      </w:pPr>
      <w:r>
        <w:rPr>
          <w:rFonts w:hint="eastAsia" w:ascii="仿宋_GB2312" w:eastAsia="仿宋_GB2312"/>
          <w:sz w:val="32"/>
          <w:szCs w:val="32"/>
          <w:highlight w:val="none"/>
        </w:rPr>
        <w:t>2、201</w:t>
      </w:r>
      <w:r>
        <w:rPr>
          <w:rFonts w:hint="eastAsia" w:ascii="仿宋_GB2312" w:eastAsia="仿宋_GB2312"/>
          <w:sz w:val="32"/>
          <w:szCs w:val="32"/>
          <w:highlight w:val="none"/>
          <w:lang w:val="en-US" w:eastAsia="zh-CN"/>
        </w:rPr>
        <w:t>9</w:t>
      </w:r>
      <w:r>
        <w:rPr>
          <w:rFonts w:hint="eastAsia" w:ascii="仿宋_GB2312" w:eastAsia="仿宋_GB2312"/>
          <w:sz w:val="32"/>
          <w:szCs w:val="32"/>
          <w:highlight w:val="none"/>
        </w:rPr>
        <w:t xml:space="preserve"> 年初部门预算支出为</w:t>
      </w:r>
      <w:r>
        <w:rPr>
          <w:rFonts w:hint="eastAsia" w:ascii="仿宋_GB2312" w:eastAsia="仿宋_GB2312"/>
          <w:sz w:val="32"/>
          <w:szCs w:val="32"/>
          <w:highlight w:val="none"/>
          <w:lang w:val="en-US" w:eastAsia="zh-CN"/>
        </w:rPr>
        <w:t>18337.5</w:t>
      </w:r>
      <w:r>
        <w:rPr>
          <w:rFonts w:hint="eastAsia" w:ascii="仿宋_GB2312" w:eastAsia="仿宋_GB2312"/>
          <w:sz w:val="32"/>
          <w:szCs w:val="32"/>
          <w:highlight w:val="none"/>
        </w:rPr>
        <w:t>万元，其中，基本支出</w:t>
      </w:r>
      <w:r>
        <w:rPr>
          <w:rFonts w:hint="eastAsia" w:ascii="仿宋_GB2312" w:eastAsia="仿宋_GB2312"/>
          <w:sz w:val="32"/>
          <w:szCs w:val="32"/>
          <w:highlight w:val="none"/>
          <w:lang w:val="en-US" w:eastAsia="zh-CN"/>
        </w:rPr>
        <w:t xml:space="preserve"> 2668.30 </w:t>
      </w:r>
      <w:r>
        <w:rPr>
          <w:rFonts w:hint="eastAsia" w:ascii="仿宋_GB2312" w:eastAsia="仿宋_GB2312"/>
          <w:sz w:val="32"/>
          <w:szCs w:val="32"/>
          <w:highlight w:val="none"/>
        </w:rPr>
        <w:t>万元，项目支出</w:t>
      </w:r>
      <w:r>
        <w:rPr>
          <w:rFonts w:hint="eastAsia" w:ascii="仿宋_GB2312" w:eastAsia="仿宋_GB2312"/>
          <w:sz w:val="32"/>
          <w:szCs w:val="32"/>
          <w:highlight w:val="none"/>
          <w:lang w:val="en-US" w:eastAsia="zh-CN"/>
        </w:rPr>
        <w:t xml:space="preserve">15669.20 </w:t>
      </w:r>
      <w:r>
        <w:rPr>
          <w:rFonts w:hint="eastAsia" w:ascii="仿宋_GB2312" w:eastAsia="仿宋_GB2312"/>
          <w:sz w:val="32"/>
          <w:szCs w:val="32"/>
          <w:highlight w:val="none"/>
        </w:rPr>
        <w:t xml:space="preserve">万元。 </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3、201</w:t>
      </w:r>
      <w:r>
        <w:rPr>
          <w:rFonts w:hint="eastAsia" w:ascii="仿宋_GB2312" w:eastAsia="仿宋_GB2312"/>
          <w:sz w:val="32"/>
          <w:szCs w:val="32"/>
          <w:highlight w:val="none"/>
          <w:lang w:val="en-US" w:eastAsia="zh-CN"/>
        </w:rPr>
        <w:t>9</w:t>
      </w:r>
      <w:r>
        <w:rPr>
          <w:rFonts w:hint="eastAsia" w:ascii="仿宋_GB2312" w:eastAsia="仿宋_GB2312"/>
          <w:sz w:val="32"/>
          <w:szCs w:val="32"/>
          <w:highlight w:val="none"/>
        </w:rPr>
        <w:t>年度部门三公经费预算总支出</w:t>
      </w:r>
      <w:r>
        <w:rPr>
          <w:rFonts w:hint="eastAsia" w:ascii="仿宋_GB2312" w:eastAsia="仿宋_GB2312"/>
          <w:sz w:val="32"/>
          <w:szCs w:val="32"/>
          <w:highlight w:val="none"/>
          <w:lang w:val="en-US" w:eastAsia="zh-CN"/>
        </w:rPr>
        <w:t>26</w:t>
      </w:r>
      <w:r>
        <w:rPr>
          <w:rFonts w:hint="eastAsia" w:ascii="仿宋_GB2312" w:eastAsia="仿宋_GB2312"/>
          <w:sz w:val="32"/>
          <w:szCs w:val="32"/>
          <w:highlight w:val="none"/>
        </w:rPr>
        <w:t>万元，其中公务接待费</w:t>
      </w:r>
      <w:r>
        <w:rPr>
          <w:rFonts w:hint="eastAsia" w:ascii="仿宋_GB2312" w:eastAsia="仿宋_GB2312"/>
          <w:sz w:val="32"/>
          <w:szCs w:val="32"/>
          <w:highlight w:val="none"/>
          <w:lang w:val="en-US" w:eastAsia="zh-CN"/>
        </w:rPr>
        <w:t>10</w:t>
      </w:r>
      <w:r>
        <w:rPr>
          <w:rFonts w:hint="eastAsia" w:ascii="仿宋_GB2312" w:eastAsia="仿宋_GB2312"/>
          <w:sz w:val="32"/>
          <w:szCs w:val="32"/>
          <w:highlight w:val="none"/>
        </w:rPr>
        <w:t>万元</w:t>
      </w:r>
      <w:r>
        <w:rPr>
          <w:rFonts w:hint="eastAsia" w:eastAsia="仿宋_GB2312"/>
          <w:sz w:val="32"/>
          <w:szCs w:val="32"/>
          <w:highlight w:val="none"/>
        </w:rPr>
        <w:t>。</w:t>
      </w:r>
      <w:r>
        <w:rPr>
          <w:rFonts w:hint="eastAsia" w:ascii="仿宋_GB2312" w:eastAsia="仿宋_GB2312"/>
          <w:sz w:val="32"/>
          <w:szCs w:val="32"/>
          <w:highlight w:val="none"/>
        </w:rPr>
        <w:t xml:space="preserve"> </w:t>
      </w:r>
    </w:p>
    <w:p>
      <w:pPr>
        <w:spacing w:line="560" w:lineRule="exact"/>
        <w:ind w:firstLine="643" w:firstLineChars="200"/>
        <w:rPr>
          <w:rFonts w:ascii="仿宋_GB2312" w:eastAsia="仿宋_GB2312"/>
          <w:b/>
          <w:sz w:val="32"/>
          <w:szCs w:val="32"/>
          <w:highlight w:val="none"/>
        </w:rPr>
      </w:pPr>
      <w:r>
        <w:rPr>
          <w:rFonts w:hint="eastAsia" w:ascii="仿宋_GB2312" w:eastAsia="仿宋_GB2312"/>
          <w:b/>
          <w:sz w:val="32"/>
          <w:szCs w:val="32"/>
          <w:highlight w:val="none"/>
        </w:rPr>
        <w:t>(二)部门预算执行情况</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 xml:space="preserve">1、部门实际收入 </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201</w:t>
      </w:r>
      <w:r>
        <w:rPr>
          <w:rFonts w:hint="eastAsia" w:ascii="仿宋_GB2312" w:eastAsia="仿宋_GB2312"/>
          <w:sz w:val="32"/>
          <w:szCs w:val="32"/>
          <w:highlight w:val="none"/>
          <w:lang w:val="en-US" w:eastAsia="zh-CN"/>
        </w:rPr>
        <w:t>9</w:t>
      </w:r>
      <w:r>
        <w:rPr>
          <w:rFonts w:hint="eastAsia" w:ascii="仿宋_GB2312" w:eastAsia="仿宋_GB2312"/>
          <w:sz w:val="32"/>
          <w:szCs w:val="32"/>
          <w:highlight w:val="none"/>
        </w:rPr>
        <w:t>年度收入决算数</w:t>
      </w:r>
      <w:r>
        <w:rPr>
          <w:rFonts w:hint="eastAsia" w:ascii="仿宋_GB2312" w:eastAsia="仿宋_GB2312"/>
          <w:sz w:val="32"/>
          <w:szCs w:val="32"/>
          <w:highlight w:val="none"/>
          <w:lang w:val="en-US" w:eastAsia="zh-CN"/>
        </w:rPr>
        <w:t>42996.34</w:t>
      </w:r>
      <w:r>
        <w:rPr>
          <w:rFonts w:hint="eastAsia" w:ascii="仿宋_GB2312" w:eastAsia="仿宋_GB2312"/>
          <w:sz w:val="32"/>
          <w:szCs w:val="32"/>
          <w:highlight w:val="none"/>
        </w:rPr>
        <w:t>万元，其中</w:t>
      </w:r>
      <w:r>
        <w:rPr>
          <w:rFonts w:hint="eastAsia" w:ascii="仿宋_GB2312" w:eastAsia="仿宋_GB2312"/>
          <w:sz w:val="32"/>
          <w:szCs w:val="32"/>
          <w:highlight w:val="none"/>
          <w:lang w:eastAsia="zh-CN"/>
        </w:rPr>
        <w:t>一般</w:t>
      </w:r>
      <w:r>
        <w:rPr>
          <w:rFonts w:hint="eastAsia" w:ascii="仿宋_GB2312" w:eastAsia="仿宋_GB2312"/>
          <w:sz w:val="32"/>
          <w:szCs w:val="32"/>
          <w:highlight w:val="none"/>
        </w:rPr>
        <w:t xml:space="preserve">公共预算财政拨款收入 </w:t>
      </w:r>
      <w:r>
        <w:rPr>
          <w:rFonts w:hint="eastAsia" w:ascii="仿宋_GB2312" w:eastAsia="仿宋_GB2312"/>
          <w:sz w:val="32"/>
          <w:szCs w:val="32"/>
          <w:highlight w:val="none"/>
          <w:lang w:val="en-US" w:eastAsia="zh-CN"/>
        </w:rPr>
        <w:t>42835.04</w:t>
      </w:r>
      <w:r>
        <w:rPr>
          <w:rFonts w:hint="eastAsia" w:ascii="仿宋_GB2312" w:eastAsia="仿宋_GB2312"/>
          <w:sz w:val="32"/>
          <w:szCs w:val="32"/>
          <w:highlight w:val="none"/>
        </w:rPr>
        <w:t>万元</w:t>
      </w:r>
      <w:r>
        <w:rPr>
          <w:rFonts w:hint="eastAsia" w:ascii="仿宋_GB2312" w:eastAsia="仿宋_GB2312"/>
          <w:sz w:val="32"/>
          <w:szCs w:val="32"/>
          <w:highlight w:val="none"/>
          <w:lang w:eastAsia="zh-CN"/>
        </w:rPr>
        <w:t>，其他收入</w:t>
      </w:r>
      <w:r>
        <w:rPr>
          <w:rFonts w:hint="eastAsia" w:ascii="仿宋_GB2312" w:eastAsia="仿宋_GB2312"/>
          <w:sz w:val="32"/>
          <w:szCs w:val="32"/>
          <w:highlight w:val="none"/>
          <w:lang w:val="en-US" w:eastAsia="zh-CN"/>
        </w:rPr>
        <w:t>161.30</w:t>
      </w:r>
      <w:r>
        <w:rPr>
          <w:rFonts w:hint="eastAsia" w:ascii="仿宋_GB2312" w:eastAsia="仿宋_GB2312"/>
          <w:sz w:val="32"/>
          <w:szCs w:val="32"/>
          <w:highlight w:val="none"/>
        </w:rPr>
        <w:t xml:space="preserve">万元。 </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 xml:space="preserve">2、部门实际支出 </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201</w:t>
      </w:r>
      <w:r>
        <w:rPr>
          <w:rFonts w:hint="eastAsia" w:ascii="仿宋_GB2312" w:eastAsia="仿宋_GB2312"/>
          <w:sz w:val="32"/>
          <w:szCs w:val="32"/>
          <w:highlight w:val="none"/>
          <w:lang w:val="en-US" w:eastAsia="zh-CN"/>
        </w:rPr>
        <w:t>9</w:t>
      </w:r>
      <w:r>
        <w:rPr>
          <w:rFonts w:hint="eastAsia" w:ascii="仿宋_GB2312" w:eastAsia="仿宋_GB2312"/>
          <w:sz w:val="32"/>
          <w:szCs w:val="32"/>
          <w:highlight w:val="none"/>
        </w:rPr>
        <w:t>年度支出决算数</w:t>
      </w:r>
      <w:r>
        <w:rPr>
          <w:rFonts w:hint="eastAsia" w:ascii="仿宋_GB2312" w:eastAsia="仿宋_GB2312"/>
          <w:sz w:val="32"/>
          <w:szCs w:val="32"/>
          <w:highlight w:val="none"/>
          <w:lang w:val="en-US" w:eastAsia="zh-CN"/>
        </w:rPr>
        <w:t>42964.37</w:t>
      </w:r>
      <w:r>
        <w:rPr>
          <w:rFonts w:hint="eastAsia" w:ascii="仿宋_GB2312" w:eastAsia="仿宋_GB2312"/>
          <w:sz w:val="32"/>
          <w:szCs w:val="32"/>
          <w:highlight w:val="none"/>
        </w:rPr>
        <w:t>万元</w:t>
      </w:r>
      <w:r>
        <w:rPr>
          <w:rFonts w:hint="eastAsia" w:ascii="仿宋_GB2312" w:eastAsia="仿宋_GB2312"/>
          <w:sz w:val="32"/>
          <w:szCs w:val="32"/>
          <w:highlight w:val="none"/>
          <w:lang w:eastAsia="zh-CN"/>
        </w:rPr>
        <w:t>，其中</w:t>
      </w:r>
      <w:r>
        <w:rPr>
          <w:rFonts w:hint="eastAsia" w:ascii="仿宋_GB2312" w:eastAsia="仿宋_GB2312"/>
          <w:sz w:val="32"/>
          <w:szCs w:val="32"/>
          <w:highlight w:val="none"/>
        </w:rPr>
        <w:t>基本支出</w:t>
      </w:r>
      <w:r>
        <w:rPr>
          <w:rFonts w:hint="eastAsia" w:ascii="仿宋_GB2312" w:eastAsia="仿宋_GB2312"/>
          <w:sz w:val="32"/>
          <w:szCs w:val="32"/>
          <w:highlight w:val="none"/>
          <w:lang w:val="en-US" w:eastAsia="zh-CN"/>
        </w:rPr>
        <w:t>2770.19</w:t>
      </w:r>
      <w:r>
        <w:rPr>
          <w:rFonts w:hint="eastAsia" w:ascii="仿宋_GB2312" w:eastAsia="仿宋_GB2312"/>
          <w:sz w:val="32"/>
          <w:szCs w:val="32"/>
          <w:highlight w:val="none"/>
        </w:rPr>
        <w:t xml:space="preserve"> 万元，项目支出</w:t>
      </w:r>
      <w:r>
        <w:rPr>
          <w:rFonts w:hint="eastAsia" w:ascii="仿宋_GB2312" w:eastAsia="仿宋_GB2312"/>
          <w:sz w:val="32"/>
          <w:szCs w:val="32"/>
          <w:highlight w:val="none"/>
          <w:lang w:val="en-US" w:eastAsia="zh-CN"/>
        </w:rPr>
        <w:t>40194.18</w:t>
      </w:r>
      <w:r>
        <w:rPr>
          <w:rFonts w:hint="eastAsia" w:ascii="仿宋_GB2312" w:eastAsia="仿宋_GB2312"/>
          <w:sz w:val="32"/>
          <w:szCs w:val="32"/>
          <w:highlight w:val="none"/>
        </w:rPr>
        <w:t>万元。</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3、三公经费实际支出</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201</w:t>
      </w:r>
      <w:r>
        <w:rPr>
          <w:rFonts w:hint="eastAsia" w:ascii="仿宋_GB2312" w:eastAsia="仿宋_GB2312"/>
          <w:sz w:val="32"/>
          <w:szCs w:val="32"/>
          <w:highlight w:val="none"/>
          <w:lang w:val="en-US" w:eastAsia="zh-CN"/>
        </w:rPr>
        <w:t>9</w:t>
      </w:r>
      <w:r>
        <w:rPr>
          <w:rFonts w:hint="eastAsia" w:ascii="仿宋_GB2312" w:eastAsia="仿宋_GB2312"/>
          <w:sz w:val="32"/>
          <w:szCs w:val="32"/>
          <w:highlight w:val="none"/>
        </w:rPr>
        <w:t>年度三公经费实际总支出</w:t>
      </w:r>
      <w:r>
        <w:rPr>
          <w:rFonts w:hint="eastAsia" w:ascii="仿宋_GB2312" w:eastAsia="仿宋_GB2312"/>
          <w:sz w:val="32"/>
          <w:szCs w:val="32"/>
          <w:highlight w:val="none"/>
          <w:lang w:val="en-US" w:eastAsia="zh-CN"/>
        </w:rPr>
        <w:t>7.79</w:t>
      </w:r>
      <w:r>
        <w:rPr>
          <w:rFonts w:hint="eastAsia" w:ascii="仿宋_GB2312" w:eastAsia="仿宋_GB2312"/>
          <w:sz w:val="32"/>
          <w:szCs w:val="32"/>
          <w:highlight w:val="none"/>
        </w:rPr>
        <w:t>万元，公务接待费</w:t>
      </w:r>
      <w:r>
        <w:rPr>
          <w:rFonts w:hint="eastAsia" w:ascii="仿宋_GB2312" w:eastAsia="仿宋_GB2312"/>
          <w:sz w:val="32"/>
          <w:szCs w:val="32"/>
          <w:highlight w:val="none"/>
          <w:lang w:eastAsia="zh-CN"/>
        </w:rPr>
        <w:t>为</w:t>
      </w:r>
      <w:r>
        <w:rPr>
          <w:rFonts w:hint="eastAsia" w:ascii="仿宋_GB2312" w:eastAsia="仿宋_GB2312"/>
          <w:sz w:val="32"/>
          <w:szCs w:val="32"/>
          <w:highlight w:val="none"/>
          <w:lang w:val="en-US" w:eastAsia="zh-CN"/>
        </w:rPr>
        <w:t>0.55</w:t>
      </w:r>
      <w:r>
        <w:rPr>
          <w:rFonts w:hint="eastAsia" w:ascii="仿宋_GB2312" w:eastAsia="仿宋_GB2312"/>
          <w:sz w:val="32"/>
          <w:szCs w:val="32"/>
          <w:highlight w:val="none"/>
        </w:rPr>
        <w:t xml:space="preserve"> 万元。 </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4、</w:t>
      </w:r>
      <w:r>
        <w:rPr>
          <w:rFonts w:hint="eastAsia" w:eastAsia="仿宋_GB2312"/>
          <w:sz w:val="32"/>
          <w:szCs w:val="32"/>
          <w:highlight w:val="none"/>
        </w:rPr>
        <w:t>收支结构分析</w:t>
      </w:r>
    </w:p>
    <w:p>
      <w:pPr>
        <w:snapToGrid w:val="0"/>
        <w:spacing w:line="560" w:lineRule="exact"/>
        <w:ind w:firstLine="640" w:firstLineChars="200"/>
        <w:rPr>
          <w:rFonts w:hint="eastAsia" w:ascii="仿宋_GB2312" w:hAnsi="仿宋" w:eastAsia="仿宋_GB2312"/>
          <w:sz w:val="32"/>
          <w:szCs w:val="32"/>
          <w:highlight w:val="none"/>
        </w:rPr>
      </w:pPr>
      <w:r>
        <w:rPr>
          <w:rFonts w:hint="eastAsia" w:ascii="仿宋_GB2312" w:hAnsi="仿宋" w:eastAsia="仿宋_GB2312"/>
          <w:color w:val="auto"/>
          <w:sz w:val="32"/>
          <w:szCs w:val="32"/>
          <w:highlight w:val="none"/>
        </w:rPr>
        <w:t>我单位201</w:t>
      </w:r>
      <w:r>
        <w:rPr>
          <w:rFonts w:hint="eastAsia" w:ascii="仿宋_GB2312" w:hAnsi="仿宋" w:eastAsia="仿宋_GB2312"/>
          <w:color w:val="auto"/>
          <w:sz w:val="32"/>
          <w:szCs w:val="32"/>
          <w:highlight w:val="none"/>
          <w:lang w:val="en-US" w:eastAsia="zh-CN"/>
        </w:rPr>
        <w:t>9</w:t>
      </w:r>
      <w:r>
        <w:rPr>
          <w:rFonts w:hint="eastAsia" w:ascii="仿宋_GB2312" w:hAnsi="仿宋" w:eastAsia="仿宋_GB2312"/>
          <w:color w:val="auto"/>
          <w:sz w:val="32"/>
          <w:szCs w:val="32"/>
          <w:highlight w:val="none"/>
        </w:rPr>
        <w:t>年收入</w:t>
      </w:r>
      <w:r>
        <w:rPr>
          <w:rFonts w:hint="eastAsia" w:ascii="仿宋_GB2312" w:hAnsi="仿宋" w:eastAsia="仿宋_GB2312"/>
          <w:color w:val="auto"/>
          <w:sz w:val="32"/>
          <w:szCs w:val="32"/>
          <w:highlight w:val="none"/>
          <w:lang w:val="en-US" w:eastAsia="zh-CN"/>
        </w:rPr>
        <w:t>42996.34</w:t>
      </w:r>
      <w:r>
        <w:rPr>
          <w:rFonts w:hint="eastAsia" w:ascii="仿宋_GB2312" w:hAnsi="仿宋" w:eastAsia="仿宋_GB2312"/>
          <w:color w:val="auto"/>
          <w:sz w:val="32"/>
          <w:szCs w:val="32"/>
          <w:highlight w:val="none"/>
        </w:rPr>
        <w:t>万元，</w:t>
      </w:r>
      <w:r>
        <w:rPr>
          <w:rFonts w:hint="eastAsia" w:ascii="仿宋_GB2312" w:eastAsia="仿宋_GB2312"/>
          <w:color w:val="auto"/>
          <w:sz w:val="32"/>
          <w:szCs w:val="32"/>
          <w:highlight w:val="none"/>
        </w:rPr>
        <w:t>其中</w:t>
      </w:r>
      <w:r>
        <w:rPr>
          <w:rFonts w:hint="eastAsia" w:ascii="仿宋_GB2312" w:eastAsia="仿宋_GB2312"/>
          <w:color w:val="auto"/>
          <w:sz w:val="32"/>
          <w:szCs w:val="32"/>
          <w:highlight w:val="none"/>
          <w:lang w:eastAsia="zh-CN"/>
        </w:rPr>
        <w:t>一般</w:t>
      </w:r>
      <w:r>
        <w:rPr>
          <w:rFonts w:hint="eastAsia" w:ascii="仿宋_GB2312" w:eastAsia="仿宋_GB2312"/>
          <w:color w:val="auto"/>
          <w:sz w:val="32"/>
          <w:szCs w:val="32"/>
          <w:highlight w:val="none"/>
        </w:rPr>
        <w:t xml:space="preserve">公共预算财政拨款收入 </w:t>
      </w:r>
      <w:r>
        <w:rPr>
          <w:rFonts w:hint="eastAsia" w:ascii="仿宋_GB2312" w:eastAsia="仿宋_GB2312"/>
          <w:color w:val="auto"/>
          <w:sz w:val="32"/>
          <w:szCs w:val="32"/>
          <w:highlight w:val="none"/>
          <w:lang w:val="en-US" w:eastAsia="zh-CN"/>
        </w:rPr>
        <w:t>42835.04</w:t>
      </w:r>
      <w:r>
        <w:rPr>
          <w:rFonts w:hint="eastAsia" w:ascii="仿宋_GB2312" w:eastAsia="仿宋_GB2312"/>
          <w:color w:val="auto"/>
          <w:sz w:val="32"/>
          <w:szCs w:val="32"/>
          <w:highlight w:val="none"/>
        </w:rPr>
        <w:t>万元</w:t>
      </w:r>
      <w:r>
        <w:rPr>
          <w:rFonts w:hint="eastAsia" w:ascii="仿宋_GB2312" w:eastAsia="仿宋_GB2312"/>
          <w:color w:val="auto"/>
          <w:sz w:val="32"/>
          <w:szCs w:val="32"/>
          <w:highlight w:val="none"/>
          <w:lang w:eastAsia="zh-CN"/>
        </w:rPr>
        <w:t>，其他收入</w:t>
      </w:r>
      <w:r>
        <w:rPr>
          <w:rFonts w:hint="eastAsia" w:ascii="仿宋_GB2312" w:eastAsia="仿宋_GB2312"/>
          <w:color w:val="auto"/>
          <w:sz w:val="32"/>
          <w:szCs w:val="32"/>
          <w:highlight w:val="none"/>
          <w:lang w:val="en-US" w:eastAsia="zh-CN"/>
        </w:rPr>
        <w:t>161.30</w:t>
      </w:r>
      <w:r>
        <w:rPr>
          <w:rFonts w:hint="eastAsia" w:ascii="仿宋_GB2312" w:eastAsia="仿宋_GB2312"/>
          <w:color w:val="auto"/>
          <w:sz w:val="32"/>
          <w:szCs w:val="32"/>
          <w:highlight w:val="none"/>
        </w:rPr>
        <w:t>万元。</w:t>
      </w:r>
      <w:r>
        <w:rPr>
          <w:rFonts w:hint="eastAsia" w:ascii="仿宋_GB2312" w:hAnsi="仿宋" w:eastAsia="仿宋_GB2312"/>
          <w:sz w:val="32"/>
          <w:szCs w:val="32"/>
          <w:highlight w:val="none"/>
        </w:rPr>
        <w:t>支出按功能分类为</w:t>
      </w:r>
      <w:r>
        <w:rPr>
          <w:rFonts w:hint="eastAsia" w:ascii="仿宋_GB2312" w:hAnsi="仿宋" w:eastAsia="仿宋_GB2312"/>
          <w:sz w:val="32"/>
          <w:szCs w:val="32"/>
          <w:highlight w:val="none"/>
          <w:lang w:eastAsia="zh-CN"/>
        </w:rPr>
        <w:t>一般公共服务支出</w:t>
      </w:r>
      <w:r>
        <w:rPr>
          <w:rFonts w:hint="eastAsia" w:ascii="仿宋_GB2312" w:hAnsi="仿宋" w:eastAsia="仿宋_GB2312"/>
          <w:sz w:val="32"/>
          <w:szCs w:val="32"/>
          <w:highlight w:val="none"/>
          <w:lang w:val="en-US" w:eastAsia="zh-CN"/>
        </w:rPr>
        <w:t>2.50</w:t>
      </w:r>
      <w:bookmarkStart w:id="0" w:name="_GoBack"/>
      <w:bookmarkEnd w:id="0"/>
      <w:r>
        <w:rPr>
          <w:rFonts w:hint="eastAsia" w:ascii="仿宋_GB2312" w:hAnsi="仿宋" w:eastAsia="仿宋_GB2312"/>
          <w:sz w:val="32"/>
          <w:szCs w:val="32"/>
          <w:highlight w:val="none"/>
          <w:lang w:val="en-US" w:eastAsia="zh-CN"/>
        </w:rPr>
        <w:t>万元，</w:t>
      </w:r>
      <w:r>
        <w:rPr>
          <w:rFonts w:hint="eastAsia" w:ascii="仿宋_GB2312" w:hAnsi="仿宋" w:eastAsia="仿宋_GB2312"/>
          <w:sz w:val="32"/>
          <w:szCs w:val="32"/>
          <w:highlight w:val="none"/>
        </w:rPr>
        <w:t>社会保障和就业支出42636</w:t>
      </w:r>
      <w:r>
        <w:rPr>
          <w:rFonts w:hint="eastAsia" w:ascii="仿宋_GB2312" w:hAnsi="仿宋" w:eastAsia="仿宋_GB2312"/>
          <w:sz w:val="32"/>
          <w:szCs w:val="32"/>
          <w:highlight w:val="none"/>
          <w:lang w:val="en-US" w:eastAsia="zh-CN"/>
        </w:rPr>
        <w:t>.</w:t>
      </w:r>
      <w:r>
        <w:rPr>
          <w:rFonts w:hint="eastAsia" w:ascii="仿宋_GB2312" w:hAnsi="仿宋" w:eastAsia="仿宋_GB2312"/>
          <w:sz w:val="32"/>
          <w:szCs w:val="32"/>
          <w:highlight w:val="none"/>
        </w:rPr>
        <w:t>7</w:t>
      </w:r>
      <w:r>
        <w:rPr>
          <w:rFonts w:hint="eastAsia" w:ascii="仿宋_GB2312" w:hAnsi="仿宋" w:eastAsia="仿宋_GB2312"/>
          <w:sz w:val="32"/>
          <w:szCs w:val="32"/>
          <w:highlight w:val="none"/>
          <w:lang w:val="en-US" w:eastAsia="zh-CN"/>
        </w:rPr>
        <w:t>8</w:t>
      </w:r>
      <w:r>
        <w:rPr>
          <w:rFonts w:hint="eastAsia" w:ascii="仿宋_GB2312" w:hAnsi="仿宋" w:eastAsia="仿宋_GB2312"/>
          <w:sz w:val="32"/>
          <w:szCs w:val="32"/>
          <w:highlight w:val="none"/>
        </w:rPr>
        <w:t>万元，</w:t>
      </w:r>
      <w:r>
        <w:rPr>
          <w:rFonts w:hint="eastAsia" w:ascii="仿宋_GB2312" w:hAnsi="仿宋" w:eastAsia="仿宋_GB2312"/>
          <w:sz w:val="32"/>
          <w:szCs w:val="32"/>
          <w:highlight w:val="none"/>
          <w:lang w:eastAsia="zh-CN"/>
        </w:rPr>
        <w:t>卫生健康支出</w:t>
      </w:r>
      <w:r>
        <w:rPr>
          <w:rFonts w:hint="eastAsia" w:ascii="仿宋_GB2312" w:hAnsi="仿宋" w:eastAsia="仿宋_GB2312"/>
          <w:sz w:val="32"/>
          <w:szCs w:val="32"/>
          <w:highlight w:val="none"/>
          <w:lang w:val="en-US" w:eastAsia="zh-CN"/>
        </w:rPr>
        <w:t>103.88</w:t>
      </w:r>
      <w:r>
        <w:rPr>
          <w:rFonts w:hint="eastAsia" w:ascii="仿宋_GB2312" w:hAnsi="仿宋" w:eastAsia="仿宋_GB2312"/>
          <w:sz w:val="32"/>
          <w:szCs w:val="32"/>
          <w:highlight w:val="none"/>
        </w:rPr>
        <w:t>万元，住房保障支出</w:t>
      </w:r>
      <w:r>
        <w:rPr>
          <w:rFonts w:hint="eastAsia" w:ascii="仿宋_GB2312" w:hAnsi="仿宋" w:eastAsia="仿宋_GB2312"/>
          <w:sz w:val="32"/>
          <w:szCs w:val="32"/>
          <w:highlight w:val="none"/>
          <w:lang w:val="en-US" w:eastAsia="zh-CN"/>
        </w:rPr>
        <w:t>154.74</w:t>
      </w:r>
      <w:r>
        <w:rPr>
          <w:rFonts w:hint="eastAsia" w:ascii="仿宋_GB2312" w:hAnsi="仿宋" w:eastAsia="仿宋_GB2312"/>
          <w:sz w:val="32"/>
          <w:szCs w:val="32"/>
          <w:highlight w:val="none"/>
        </w:rPr>
        <w:t>万元</w:t>
      </w:r>
      <w:r>
        <w:rPr>
          <w:rFonts w:hint="eastAsia" w:ascii="仿宋_GB2312" w:hAnsi="仿宋" w:eastAsia="仿宋_GB2312"/>
          <w:sz w:val="32"/>
          <w:szCs w:val="32"/>
          <w:highlight w:val="none"/>
          <w:lang w:eastAsia="zh-CN"/>
        </w:rPr>
        <w:t>，农林水支出</w:t>
      </w:r>
      <w:r>
        <w:rPr>
          <w:rFonts w:hint="eastAsia" w:ascii="仿宋_GB2312" w:hAnsi="仿宋" w:eastAsia="仿宋_GB2312"/>
          <w:sz w:val="32"/>
          <w:szCs w:val="32"/>
          <w:highlight w:val="none"/>
          <w:lang w:val="en-US" w:eastAsia="zh-CN"/>
        </w:rPr>
        <w:t>66.47万元</w:t>
      </w:r>
      <w:r>
        <w:rPr>
          <w:rFonts w:hint="eastAsia" w:ascii="仿宋_GB2312" w:hAnsi="仿宋" w:eastAsia="仿宋_GB2312"/>
          <w:sz w:val="32"/>
          <w:szCs w:val="32"/>
          <w:highlight w:val="none"/>
        </w:rPr>
        <w:t>；按支出性质为基本支出</w:t>
      </w:r>
      <w:r>
        <w:rPr>
          <w:rFonts w:hint="eastAsia" w:ascii="仿宋_GB2312" w:hAnsi="仿宋" w:eastAsia="仿宋_GB2312"/>
          <w:sz w:val="32"/>
          <w:szCs w:val="32"/>
          <w:highlight w:val="none"/>
          <w:lang w:val="en-US" w:eastAsia="zh-CN"/>
        </w:rPr>
        <w:t>2770.19</w:t>
      </w:r>
      <w:r>
        <w:rPr>
          <w:rFonts w:hint="eastAsia" w:ascii="仿宋_GB2312" w:hAnsi="仿宋" w:eastAsia="仿宋_GB2312"/>
          <w:sz w:val="32"/>
          <w:szCs w:val="32"/>
          <w:highlight w:val="none"/>
        </w:rPr>
        <w:t>万元，项目支出</w:t>
      </w:r>
      <w:r>
        <w:rPr>
          <w:rFonts w:hint="eastAsia" w:ascii="仿宋_GB2312" w:hAnsi="仿宋" w:eastAsia="仿宋_GB2312"/>
          <w:sz w:val="32"/>
          <w:szCs w:val="32"/>
          <w:highlight w:val="none"/>
          <w:lang w:val="en-US" w:eastAsia="zh-CN"/>
        </w:rPr>
        <w:t>40194.18</w:t>
      </w:r>
      <w:r>
        <w:rPr>
          <w:rFonts w:hint="eastAsia" w:ascii="仿宋_GB2312" w:hAnsi="仿宋" w:eastAsia="仿宋_GB2312"/>
          <w:sz w:val="32"/>
          <w:szCs w:val="32"/>
          <w:highlight w:val="none"/>
        </w:rPr>
        <w:t>万元；按经济分类为工资福利支出</w:t>
      </w:r>
      <w:r>
        <w:rPr>
          <w:rFonts w:hint="eastAsia" w:ascii="仿宋_GB2312" w:hAnsi="仿宋" w:eastAsia="仿宋_GB2312"/>
          <w:sz w:val="32"/>
          <w:szCs w:val="32"/>
          <w:highlight w:val="none"/>
          <w:lang w:val="en-US" w:eastAsia="zh-CN"/>
        </w:rPr>
        <w:t xml:space="preserve"> 2812.25</w:t>
      </w:r>
      <w:r>
        <w:rPr>
          <w:rFonts w:hint="eastAsia" w:ascii="仿宋_GB2312" w:hAnsi="仿宋" w:eastAsia="仿宋_GB2312"/>
          <w:sz w:val="32"/>
          <w:szCs w:val="32"/>
          <w:highlight w:val="none"/>
        </w:rPr>
        <w:t>万元，商品和服务支出</w:t>
      </w:r>
      <w:r>
        <w:rPr>
          <w:rFonts w:hint="eastAsia" w:ascii="仿宋_GB2312" w:hAnsi="仿宋" w:eastAsia="仿宋_GB2312"/>
          <w:sz w:val="32"/>
          <w:szCs w:val="32"/>
          <w:highlight w:val="none"/>
          <w:lang w:val="en-US" w:eastAsia="zh-CN"/>
        </w:rPr>
        <w:t>669.50</w:t>
      </w:r>
      <w:r>
        <w:rPr>
          <w:rFonts w:hint="eastAsia" w:ascii="仿宋_GB2312" w:hAnsi="仿宋" w:eastAsia="仿宋_GB2312"/>
          <w:sz w:val="32"/>
          <w:szCs w:val="32"/>
          <w:highlight w:val="none"/>
        </w:rPr>
        <w:t>万元，对个人和家庭的补助</w:t>
      </w:r>
      <w:r>
        <w:rPr>
          <w:rFonts w:hint="eastAsia" w:ascii="仿宋_GB2312" w:hAnsi="仿宋" w:eastAsia="仿宋_GB2312"/>
          <w:sz w:val="32"/>
          <w:szCs w:val="32"/>
          <w:highlight w:val="none"/>
          <w:lang w:val="en-US" w:eastAsia="zh-CN"/>
        </w:rPr>
        <w:t>37742.66</w:t>
      </w:r>
      <w:r>
        <w:rPr>
          <w:rFonts w:hint="eastAsia" w:ascii="仿宋_GB2312" w:hAnsi="仿宋" w:eastAsia="仿宋_GB2312"/>
          <w:sz w:val="32"/>
          <w:szCs w:val="32"/>
          <w:highlight w:val="none"/>
        </w:rPr>
        <w:t>万元，资本性支出</w:t>
      </w:r>
      <w:r>
        <w:rPr>
          <w:rFonts w:hint="eastAsia" w:ascii="仿宋_GB2312" w:hAnsi="仿宋" w:eastAsia="仿宋_GB2312"/>
          <w:sz w:val="32"/>
          <w:szCs w:val="32"/>
          <w:highlight w:val="none"/>
          <w:lang w:val="en-US" w:eastAsia="zh-CN"/>
        </w:rPr>
        <w:t>16.88</w:t>
      </w:r>
      <w:r>
        <w:rPr>
          <w:rFonts w:hint="eastAsia" w:ascii="仿宋_GB2312" w:hAnsi="仿宋" w:eastAsia="仿宋_GB2312"/>
          <w:sz w:val="32"/>
          <w:szCs w:val="32"/>
          <w:highlight w:val="none"/>
        </w:rPr>
        <w:t>万元</w:t>
      </w:r>
      <w:r>
        <w:rPr>
          <w:rFonts w:hint="eastAsia" w:ascii="仿宋_GB2312" w:hAnsi="仿宋" w:eastAsia="仿宋_GB2312"/>
          <w:sz w:val="32"/>
          <w:szCs w:val="32"/>
          <w:highlight w:val="none"/>
          <w:lang w:eastAsia="zh-CN"/>
        </w:rPr>
        <w:t>，对企业补助</w:t>
      </w:r>
      <w:r>
        <w:rPr>
          <w:rFonts w:hint="eastAsia" w:ascii="仿宋_GB2312" w:hAnsi="仿宋" w:eastAsia="仿宋_GB2312"/>
          <w:sz w:val="32"/>
          <w:szCs w:val="32"/>
          <w:highlight w:val="none"/>
          <w:lang w:val="en-US" w:eastAsia="zh-CN"/>
        </w:rPr>
        <w:t>1723.08万元</w:t>
      </w:r>
      <w:r>
        <w:rPr>
          <w:rFonts w:hint="eastAsia" w:ascii="仿宋_GB2312" w:hAnsi="仿宋" w:eastAsia="仿宋_GB2312"/>
          <w:sz w:val="32"/>
          <w:szCs w:val="32"/>
          <w:highlight w:val="none"/>
        </w:rPr>
        <w:t>。</w:t>
      </w:r>
    </w:p>
    <w:p>
      <w:pPr>
        <w:numPr>
          <w:ilvl w:val="0"/>
          <w:numId w:val="0"/>
        </w:numPr>
        <w:spacing w:line="560" w:lineRule="exact"/>
        <w:ind w:leftChars="200" w:firstLine="321" w:firstLineChars="100"/>
        <w:rPr>
          <w:rFonts w:hint="eastAsia" w:ascii="黑体" w:hAnsi="黑体" w:eastAsia="黑体"/>
          <w:b/>
          <w:sz w:val="32"/>
          <w:szCs w:val="32"/>
          <w:highlight w:val="none"/>
          <w:lang w:eastAsia="zh-CN"/>
        </w:rPr>
      </w:pPr>
      <w:r>
        <w:rPr>
          <w:rFonts w:hint="eastAsia" w:ascii="黑体" w:hAnsi="黑体" w:eastAsia="黑体"/>
          <w:b/>
          <w:sz w:val="32"/>
          <w:szCs w:val="32"/>
          <w:highlight w:val="none"/>
          <w:lang w:eastAsia="zh-CN"/>
        </w:rPr>
        <w:t>三、部门资产管理情况</w:t>
      </w:r>
    </w:p>
    <w:p>
      <w:pPr>
        <w:snapToGrid w:val="0"/>
        <w:spacing w:line="560" w:lineRule="exact"/>
        <w:ind w:firstLine="640" w:firstLineChars="200"/>
        <w:rPr>
          <w:rFonts w:hint="eastAsia" w:ascii="仿宋_GB2312" w:hAnsi="仿宋" w:eastAsia="仿宋_GB2312"/>
          <w:sz w:val="32"/>
          <w:szCs w:val="32"/>
          <w:highlight w:val="none"/>
        </w:rPr>
      </w:pPr>
      <w:r>
        <w:rPr>
          <w:rFonts w:hint="eastAsia" w:ascii="仿宋_GB2312" w:hAnsi="仿宋" w:eastAsia="仿宋_GB2312"/>
          <w:sz w:val="32"/>
          <w:szCs w:val="32"/>
          <w:highlight w:val="none"/>
        </w:rPr>
        <w:t>本部门</w:t>
      </w:r>
      <w:r>
        <w:rPr>
          <w:rFonts w:hint="eastAsia" w:ascii="仿宋_GB2312" w:hAnsi="仿宋" w:eastAsia="仿宋_GB2312"/>
          <w:sz w:val="32"/>
          <w:szCs w:val="32"/>
          <w:highlight w:val="none"/>
          <w:lang w:eastAsia="zh-CN"/>
        </w:rPr>
        <w:t>资产总值为</w:t>
      </w:r>
      <w:r>
        <w:rPr>
          <w:rFonts w:hint="eastAsia" w:ascii="仿宋_GB2312" w:hAnsi="仿宋" w:eastAsia="仿宋_GB2312"/>
          <w:sz w:val="32"/>
          <w:szCs w:val="32"/>
          <w:highlight w:val="none"/>
          <w:lang w:val="en-US" w:eastAsia="zh-CN"/>
        </w:rPr>
        <w:t>2432.57万</w:t>
      </w:r>
      <w:r>
        <w:rPr>
          <w:rFonts w:hint="eastAsia" w:ascii="仿宋_GB2312" w:hAnsi="仿宋" w:eastAsia="仿宋_GB2312"/>
          <w:sz w:val="32"/>
          <w:szCs w:val="32"/>
          <w:highlight w:val="none"/>
        </w:rPr>
        <w:t>，</w:t>
      </w:r>
      <w:r>
        <w:rPr>
          <w:rFonts w:hint="eastAsia" w:ascii="仿宋_GB2312" w:hAnsi="仿宋" w:eastAsia="仿宋_GB2312"/>
          <w:sz w:val="32"/>
          <w:szCs w:val="32"/>
          <w:highlight w:val="none"/>
          <w:lang w:eastAsia="zh-CN"/>
        </w:rPr>
        <w:t>其中</w:t>
      </w:r>
      <w:r>
        <w:rPr>
          <w:rFonts w:hint="eastAsia" w:ascii="仿宋_GB2312" w:hAnsi="仿宋" w:eastAsia="仿宋_GB2312"/>
          <w:sz w:val="32"/>
          <w:szCs w:val="32"/>
          <w:highlight w:val="none"/>
        </w:rPr>
        <w:t>流动资产</w:t>
      </w:r>
      <w:r>
        <w:rPr>
          <w:rFonts w:hint="eastAsia" w:ascii="仿宋_GB2312" w:hAnsi="仿宋" w:eastAsia="仿宋_GB2312"/>
          <w:sz w:val="32"/>
          <w:szCs w:val="32"/>
          <w:highlight w:val="none"/>
          <w:lang w:val="en-US" w:eastAsia="zh-CN"/>
        </w:rPr>
        <w:t>1004.51万元</w:t>
      </w:r>
      <w:r>
        <w:rPr>
          <w:rFonts w:hint="eastAsia" w:ascii="仿宋_GB2312" w:hAnsi="仿宋" w:eastAsia="仿宋_GB2312"/>
          <w:sz w:val="32"/>
          <w:szCs w:val="32"/>
          <w:highlight w:val="none"/>
          <w:lang w:eastAsia="zh-CN"/>
        </w:rPr>
        <w:t>，非流动资产</w:t>
      </w:r>
      <w:r>
        <w:rPr>
          <w:rFonts w:hint="eastAsia" w:ascii="仿宋_GB2312" w:hAnsi="仿宋" w:eastAsia="仿宋_GB2312"/>
          <w:sz w:val="32"/>
          <w:szCs w:val="32"/>
          <w:highlight w:val="none"/>
          <w:lang w:val="en-US" w:eastAsia="zh-CN"/>
        </w:rPr>
        <w:t>1428.06万元。非流动资产中中</w:t>
      </w:r>
      <w:r>
        <w:rPr>
          <w:rFonts w:hint="eastAsia" w:ascii="仿宋_GB2312" w:hAnsi="仿宋" w:eastAsia="仿宋_GB2312"/>
          <w:sz w:val="32"/>
          <w:szCs w:val="32"/>
          <w:highlight w:val="none"/>
        </w:rPr>
        <w:t>固定</w:t>
      </w:r>
      <w:r>
        <w:rPr>
          <w:rFonts w:hint="eastAsia" w:ascii="仿宋_GB2312" w:hAnsi="仿宋" w:eastAsia="仿宋_GB2312"/>
          <w:sz w:val="32"/>
          <w:szCs w:val="32"/>
          <w:highlight w:val="none"/>
          <w:lang w:eastAsia="zh-CN"/>
        </w:rPr>
        <w:t>净值为</w:t>
      </w:r>
      <w:r>
        <w:rPr>
          <w:rFonts w:hint="eastAsia" w:ascii="仿宋_GB2312" w:hAnsi="仿宋" w:eastAsia="仿宋_GB2312"/>
          <w:sz w:val="32"/>
          <w:szCs w:val="32"/>
          <w:highlight w:val="none"/>
          <w:lang w:val="en-US" w:eastAsia="zh-CN"/>
        </w:rPr>
        <w:t>1428.06万元</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固定资产</w:t>
      </w:r>
      <w:r>
        <w:rPr>
          <w:rFonts w:hint="eastAsia" w:ascii="仿宋_GB2312" w:hAnsi="仿宋" w:eastAsia="仿宋_GB2312"/>
          <w:sz w:val="32"/>
          <w:szCs w:val="32"/>
          <w:highlight w:val="none"/>
          <w:lang w:eastAsia="zh-CN"/>
        </w:rPr>
        <w:t>中</w:t>
      </w:r>
      <w:r>
        <w:rPr>
          <w:rFonts w:hint="eastAsia" w:ascii="仿宋_GB2312" w:hAnsi="仿宋" w:eastAsia="仿宋_GB2312"/>
          <w:sz w:val="32"/>
          <w:szCs w:val="32"/>
          <w:highlight w:val="none"/>
        </w:rPr>
        <w:t>房屋</w:t>
      </w:r>
      <w:r>
        <w:rPr>
          <w:rFonts w:hint="eastAsia" w:ascii="仿宋_GB2312" w:hAnsi="仿宋" w:eastAsia="仿宋_GB2312"/>
          <w:sz w:val="32"/>
          <w:szCs w:val="32"/>
          <w:highlight w:val="none"/>
          <w:lang w:eastAsia="zh-CN"/>
        </w:rPr>
        <w:t>资产为</w:t>
      </w:r>
      <w:r>
        <w:rPr>
          <w:rFonts w:hint="eastAsia" w:ascii="仿宋_GB2312" w:hAnsi="仿宋" w:eastAsia="仿宋_GB2312"/>
          <w:sz w:val="32"/>
          <w:szCs w:val="32"/>
          <w:highlight w:val="none"/>
          <w:lang w:val="en-US" w:eastAsia="zh-CN"/>
        </w:rPr>
        <w:t>522.79万元</w:t>
      </w:r>
      <w:r>
        <w:rPr>
          <w:rFonts w:hint="eastAsia" w:ascii="仿宋_GB2312" w:hAnsi="仿宋" w:eastAsia="仿宋_GB2312"/>
          <w:sz w:val="32"/>
          <w:szCs w:val="32"/>
          <w:highlight w:val="none"/>
          <w:lang w:eastAsia="zh-CN"/>
        </w:rPr>
        <w:t>，占比为</w:t>
      </w:r>
      <w:r>
        <w:rPr>
          <w:rFonts w:hint="eastAsia" w:ascii="仿宋_GB2312" w:hAnsi="仿宋" w:eastAsia="仿宋_GB2312"/>
          <w:sz w:val="32"/>
          <w:szCs w:val="32"/>
          <w:highlight w:val="none"/>
          <w:lang w:val="en-US" w:eastAsia="zh-CN"/>
        </w:rPr>
        <w:t>36.61%</w:t>
      </w:r>
      <w:r>
        <w:rPr>
          <w:rFonts w:hint="eastAsia" w:ascii="仿宋_GB2312" w:hAnsi="仿宋" w:eastAsia="仿宋_GB2312"/>
          <w:sz w:val="32"/>
          <w:szCs w:val="32"/>
          <w:highlight w:val="none"/>
        </w:rPr>
        <w:t>。</w:t>
      </w:r>
    </w:p>
    <w:p>
      <w:pPr>
        <w:numPr>
          <w:ilvl w:val="0"/>
          <w:numId w:val="3"/>
        </w:numPr>
        <w:spacing w:line="560" w:lineRule="exact"/>
        <w:ind w:left="741" w:leftChars="0" w:firstLine="0" w:firstLineChars="0"/>
        <w:rPr>
          <w:rFonts w:hint="default" w:ascii="Times New Roman" w:hAnsi="Times New Roman" w:eastAsia="黑体" w:cs="Times New Roman"/>
          <w:b/>
          <w:bCs/>
          <w:sz w:val="30"/>
          <w:highlight w:val="none"/>
        </w:rPr>
      </w:pPr>
      <w:r>
        <w:rPr>
          <w:rFonts w:hint="default" w:ascii="Times New Roman" w:hAnsi="Times New Roman" w:eastAsia="黑体" w:cs="Times New Roman"/>
          <w:b/>
          <w:bCs/>
          <w:sz w:val="30"/>
          <w:highlight w:val="none"/>
        </w:rPr>
        <w:t>部门整体支出绩效目标及开展情况</w:t>
      </w:r>
    </w:p>
    <w:p>
      <w:pPr>
        <w:numPr>
          <w:ilvl w:val="0"/>
          <w:numId w:val="4"/>
        </w:numPr>
        <w:spacing w:line="560" w:lineRule="exact"/>
        <w:ind w:firstLine="643" w:firstLineChars="200"/>
        <w:rPr>
          <w:rFonts w:hint="eastAsia" w:ascii="仿宋_GB2312" w:eastAsia="仿宋_GB2312"/>
          <w:b/>
          <w:sz w:val="32"/>
          <w:szCs w:val="32"/>
          <w:highlight w:val="none"/>
        </w:rPr>
      </w:pPr>
      <w:r>
        <w:rPr>
          <w:rFonts w:hint="eastAsia" w:ascii="仿宋_GB2312" w:eastAsia="仿宋_GB2312"/>
          <w:b/>
          <w:sz w:val="32"/>
          <w:szCs w:val="32"/>
          <w:highlight w:val="none"/>
        </w:rPr>
        <w:t xml:space="preserve">部门绩效年度目标 </w:t>
      </w:r>
    </w:p>
    <w:p>
      <w:pPr>
        <w:snapToGrid w:val="0"/>
        <w:spacing w:line="560" w:lineRule="exact"/>
        <w:ind w:firstLine="640" w:firstLineChars="200"/>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1.产出指标</w:t>
      </w:r>
      <w:r>
        <w:rPr>
          <w:rFonts w:hint="eastAsia" w:ascii="仿宋_GB2312" w:hAnsi="仿宋" w:eastAsia="仿宋_GB2312"/>
          <w:sz w:val="32"/>
          <w:szCs w:val="32"/>
          <w:highlight w:val="none"/>
          <w:lang w:val="en-US" w:eastAsia="zh-CN"/>
        </w:rPr>
        <w:tab/>
      </w:r>
      <w:r>
        <w:rPr>
          <w:rFonts w:hint="eastAsia" w:ascii="仿宋_GB2312" w:hAnsi="仿宋" w:eastAsia="仿宋_GB2312"/>
          <w:sz w:val="32"/>
          <w:szCs w:val="32"/>
          <w:highlight w:val="none"/>
          <w:lang w:val="en-US" w:eastAsia="zh-CN"/>
        </w:rPr>
        <w:t>数量指标：完成预算数 100%</w:t>
      </w:r>
    </w:p>
    <w:p>
      <w:pPr>
        <w:snapToGrid w:val="0"/>
        <w:spacing w:line="560" w:lineRule="exact"/>
        <w:ind w:firstLine="640" w:firstLineChars="200"/>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2.质量指标：年度考核   先进</w:t>
      </w:r>
    </w:p>
    <w:p>
      <w:pPr>
        <w:snapToGrid w:val="0"/>
        <w:spacing w:line="560" w:lineRule="exact"/>
        <w:ind w:firstLine="640" w:firstLineChars="200"/>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3.社会效益指标：维护社会稳定</w:t>
      </w:r>
    </w:p>
    <w:p>
      <w:pPr>
        <w:snapToGrid w:val="0"/>
        <w:spacing w:line="560" w:lineRule="exact"/>
        <w:ind w:firstLine="640" w:firstLineChars="200"/>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4.社会公众或服务对象满意指标：群众满意率  100%</w:t>
      </w:r>
    </w:p>
    <w:p>
      <w:pPr>
        <w:numPr>
          <w:ilvl w:val="0"/>
          <w:numId w:val="4"/>
        </w:numPr>
        <w:spacing w:line="560" w:lineRule="exact"/>
        <w:ind w:firstLine="643" w:firstLineChars="200"/>
        <w:rPr>
          <w:rFonts w:hint="eastAsia" w:ascii="仿宋_GB2312" w:eastAsia="仿宋_GB2312"/>
          <w:b/>
          <w:sz w:val="32"/>
          <w:szCs w:val="32"/>
          <w:highlight w:val="none"/>
        </w:rPr>
      </w:pPr>
      <w:r>
        <w:rPr>
          <w:rFonts w:hint="eastAsia" w:ascii="仿宋_GB2312" w:eastAsia="仿宋_GB2312"/>
          <w:b/>
          <w:sz w:val="32"/>
          <w:szCs w:val="32"/>
          <w:highlight w:val="none"/>
        </w:rPr>
        <w:t>绩效目标</w:t>
      </w:r>
      <w:r>
        <w:rPr>
          <w:rFonts w:hint="eastAsia" w:ascii="仿宋_GB2312" w:eastAsia="仿宋_GB2312"/>
          <w:b/>
          <w:sz w:val="32"/>
          <w:szCs w:val="32"/>
          <w:highlight w:val="none"/>
          <w:lang w:eastAsia="zh-CN"/>
        </w:rPr>
        <w:t>开展</w:t>
      </w:r>
      <w:r>
        <w:rPr>
          <w:rFonts w:hint="eastAsia" w:ascii="仿宋_GB2312" w:eastAsia="仿宋_GB2312"/>
          <w:b/>
          <w:sz w:val="32"/>
          <w:szCs w:val="32"/>
          <w:highlight w:val="none"/>
        </w:rPr>
        <w:t>情况</w:t>
      </w:r>
    </w:p>
    <w:p>
      <w:pPr>
        <w:numPr>
          <w:ilvl w:val="0"/>
          <w:numId w:val="5"/>
        </w:numPr>
        <w:spacing w:line="560" w:lineRule="exact"/>
        <w:ind w:left="741" w:leftChars="0"/>
        <w:rPr>
          <w:rFonts w:hint="eastAsia" w:ascii="仿宋_GB2312" w:hAnsi="仿宋_GB2312" w:eastAsia="仿宋_GB2312" w:cs="仿宋_GB2312"/>
          <w:b w:val="0"/>
          <w:bCs/>
          <w:kern w:val="2"/>
          <w:sz w:val="32"/>
          <w:szCs w:val="32"/>
          <w:highlight w:val="none"/>
          <w:lang w:val="en-US" w:eastAsia="zh-CN" w:bidi="ar"/>
        </w:rPr>
      </w:pPr>
      <w:r>
        <w:rPr>
          <w:rFonts w:hint="eastAsia" w:ascii="仿宋_GB2312" w:hAnsi="仿宋_GB2312" w:eastAsia="仿宋_GB2312" w:cs="仿宋_GB2312"/>
          <w:b w:val="0"/>
          <w:bCs/>
          <w:kern w:val="2"/>
          <w:sz w:val="32"/>
          <w:szCs w:val="32"/>
          <w:highlight w:val="none"/>
          <w:lang w:val="en-US" w:eastAsia="zh-CN" w:bidi="ar"/>
        </w:rPr>
        <w:t>多措并举，力保就业形势总体稳定。</w:t>
      </w:r>
    </w:p>
    <w:p>
      <w:pPr>
        <w:numPr>
          <w:ilvl w:val="0"/>
          <w:numId w:val="5"/>
        </w:numPr>
        <w:spacing w:line="560" w:lineRule="exact"/>
        <w:ind w:left="741" w:leftChars="0"/>
        <w:rPr>
          <w:rFonts w:hint="eastAsia" w:ascii="仿宋_GB2312" w:hAnsi="仿宋_GB2312" w:eastAsia="仿宋_GB2312" w:cs="仿宋_GB2312"/>
          <w:b w:val="0"/>
          <w:bCs/>
          <w:kern w:val="0"/>
          <w:sz w:val="32"/>
          <w:szCs w:val="32"/>
          <w:highlight w:val="none"/>
          <w:lang w:val="en-US" w:eastAsia="zh-CN" w:bidi="ar"/>
        </w:rPr>
      </w:pPr>
      <w:r>
        <w:rPr>
          <w:rFonts w:hint="eastAsia" w:ascii="仿宋_GB2312" w:hAnsi="仿宋_GB2312" w:eastAsia="仿宋_GB2312" w:cs="仿宋_GB2312"/>
          <w:b w:val="0"/>
          <w:bCs/>
          <w:kern w:val="0"/>
          <w:sz w:val="32"/>
          <w:szCs w:val="32"/>
          <w:highlight w:val="none"/>
          <w:lang w:val="en-US" w:eastAsia="zh-CN" w:bidi="ar"/>
        </w:rPr>
        <w:t>狠抓管理，力促社会保障工作取得新突破。</w:t>
      </w:r>
    </w:p>
    <w:p>
      <w:pPr>
        <w:numPr>
          <w:ilvl w:val="0"/>
          <w:numId w:val="5"/>
        </w:numPr>
        <w:spacing w:line="560" w:lineRule="exact"/>
        <w:ind w:left="741" w:leftChars="0"/>
        <w:rPr>
          <w:rFonts w:hint="eastAsia" w:ascii="仿宋_GB2312" w:hAnsi="仿宋_GB2312" w:eastAsia="仿宋_GB2312" w:cs="仿宋_GB2312"/>
          <w:b w:val="0"/>
          <w:bCs/>
          <w:kern w:val="0"/>
          <w:sz w:val="32"/>
          <w:szCs w:val="32"/>
          <w:highlight w:val="none"/>
          <w:lang w:val="en-US" w:eastAsia="zh-CN" w:bidi="ar"/>
        </w:rPr>
      </w:pPr>
      <w:r>
        <w:rPr>
          <w:rFonts w:hint="eastAsia" w:ascii="仿宋_GB2312" w:hAnsi="仿宋_GB2312" w:eastAsia="仿宋_GB2312" w:cs="仿宋_GB2312"/>
          <w:b w:val="0"/>
          <w:bCs/>
          <w:kern w:val="0"/>
          <w:sz w:val="32"/>
          <w:szCs w:val="32"/>
          <w:highlight w:val="none"/>
          <w:lang w:val="en-US" w:eastAsia="zh-CN" w:bidi="ar"/>
        </w:rPr>
        <w:t>真抓实干，力推人事人才工作全面展开。</w:t>
      </w:r>
    </w:p>
    <w:p>
      <w:pPr>
        <w:numPr>
          <w:ilvl w:val="0"/>
          <w:numId w:val="5"/>
        </w:numPr>
        <w:spacing w:line="560" w:lineRule="exact"/>
        <w:ind w:left="741" w:leftChars="0" w:firstLine="0" w:firstLineChars="0"/>
        <w:rPr>
          <w:rFonts w:hint="eastAsia" w:ascii="仿宋_GB2312" w:hAnsi="仿宋_GB2312" w:eastAsia="仿宋_GB2312" w:cs="仿宋_GB2312"/>
          <w:b w:val="0"/>
          <w:bCs/>
          <w:kern w:val="0"/>
          <w:sz w:val="32"/>
          <w:szCs w:val="32"/>
          <w:highlight w:val="none"/>
          <w:lang w:val="en-US" w:eastAsia="zh-CN" w:bidi="ar"/>
        </w:rPr>
      </w:pPr>
      <w:r>
        <w:rPr>
          <w:rFonts w:hint="eastAsia" w:ascii="仿宋_GB2312" w:hAnsi="仿宋_GB2312" w:eastAsia="仿宋_GB2312" w:cs="仿宋_GB2312"/>
          <w:b w:val="0"/>
          <w:bCs/>
          <w:kern w:val="0"/>
          <w:sz w:val="32"/>
          <w:szCs w:val="32"/>
          <w:highlight w:val="none"/>
          <w:lang w:val="en-US" w:eastAsia="zh-CN" w:bidi="ar"/>
        </w:rPr>
        <w:t>健全机制，力构和谐劳动关系。</w:t>
      </w:r>
    </w:p>
    <w:p>
      <w:pPr>
        <w:numPr>
          <w:ilvl w:val="0"/>
          <w:numId w:val="5"/>
        </w:numPr>
        <w:spacing w:line="560" w:lineRule="exact"/>
        <w:ind w:left="741" w:leftChars="0" w:firstLine="0" w:firstLineChars="0"/>
        <w:rPr>
          <w:rFonts w:hint="eastAsia" w:ascii="仿宋_GB2312" w:hAnsi="仿宋_GB2312" w:eastAsia="仿宋_GB2312" w:cs="仿宋_GB2312"/>
          <w:b w:val="0"/>
          <w:bCs/>
          <w:kern w:val="0"/>
          <w:sz w:val="32"/>
          <w:szCs w:val="32"/>
          <w:highlight w:val="none"/>
          <w:lang w:val="en-US" w:eastAsia="zh-CN" w:bidi="ar"/>
        </w:rPr>
      </w:pPr>
      <w:r>
        <w:rPr>
          <w:rFonts w:hint="eastAsia" w:ascii="仿宋_GB2312" w:hAnsi="仿宋_GB2312" w:eastAsia="仿宋_GB2312" w:cs="仿宋_GB2312"/>
          <w:b w:val="0"/>
          <w:bCs/>
          <w:kern w:val="0"/>
          <w:sz w:val="32"/>
          <w:szCs w:val="32"/>
          <w:highlight w:val="none"/>
          <w:lang w:val="en-US" w:eastAsia="zh-CN" w:bidi="ar"/>
        </w:rPr>
        <w:t>科学谋划，力求民生实事出成效。</w:t>
      </w:r>
    </w:p>
    <w:p>
      <w:pPr>
        <w:numPr>
          <w:ilvl w:val="0"/>
          <w:numId w:val="3"/>
        </w:numPr>
        <w:spacing w:line="560" w:lineRule="exact"/>
        <w:ind w:left="741" w:leftChars="0" w:firstLine="0" w:firstLineChars="0"/>
        <w:rPr>
          <w:rFonts w:hint="eastAsia" w:ascii="黑体" w:hAnsi="黑体" w:eastAsia="黑体"/>
          <w:b/>
          <w:sz w:val="32"/>
          <w:szCs w:val="32"/>
          <w:highlight w:val="none"/>
        </w:rPr>
      </w:pPr>
      <w:r>
        <w:rPr>
          <w:rFonts w:hint="eastAsia" w:ascii="黑体" w:hAnsi="黑体" w:eastAsia="黑体"/>
          <w:b/>
          <w:sz w:val="32"/>
          <w:szCs w:val="32"/>
          <w:highlight w:val="none"/>
        </w:rPr>
        <w:t xml:space="preserve">部门整体支出绩效情况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_GB2312" w:hAnsi="宋体" w:eastAsia="仿宋_GB2312" w:cs="仿宋_GB2312"/>
          <w:b w:val="0"/>
          <w:bCs/>
          <w:kern w:val="0"/>
          <w:sz w:val="32"/>
          <w:szCs w:val="32"/>
          <w:highlight w:val="none"/>
          <w:lang w:val="en-US"/>
        </w:rPr>
      </w:pPr>
      <w:r>
        <w:rPr>
          <w:rFonts w:hint="eastAsia" w:ascii="楷体_GB2312" w:hAnsi="宋体" w:eastAsia="楷体_GB2312" w:cs="仿宋_GB2312"/>
          <w:b w:val="0"/>
          <w:bCs/>
          <w:kern w:val="0"/>
          <w:sz w:val="32"/>
          <w:szCs w:val="32"/>
          <w:highlight w:val="none"/>
          <w:lang w:val="en-US" w:eastAsia="zh-CN" w:bidi="ar"/>
        </w:rPr>
        <w:t>1就业创业工作。</w:t>
      </w:r>
      <w:r>
        <w:rPr>
          <w:rFonts w:hint="eastAsia" w:ascii="仿宋_GB2312" w:hAnsi="宋体" w:eastAsia="仿宋_GB2312" w:cs="仿宋_GB2312"/>
          <w:b w:val="0"/>
          <w:bCs/>
          <w:kern w:val="0"/>
          <w:sz w:val="32"/>
          <w:szCs w:val="32"/>
          <w:highlight w:val="none"/>
          <w:lang w:val="en-US" w:eastAsia="zh-CN" w:bidi="ar"/>
        </w:rPr>
        <w:t>截至11月底，城镇新增就业8103人（103.88%）,农村劳动力转移就业2788人（103.26%）,</w:t>
      </w:r>
      <w:r>
        <w:rPr>
          <w:rFonts w:hint="eastAsia" w:ascii="仿宋_GB2312" w:hAnsi="仿宋_GB2312" w:eastAsia="仿宋_GB2312" w:cs="仿宋_GB2312"/>
          <w:b w:val="0"/>
          <w:bCs/>
          <w:kern w:val="2"/>
          <w:sz w:val="32"/>
          <w:szCs w:val="32"/>
          <w:highlight w:val="none"/>
          <w:lang w:val="en-US" w:eastAsia="zh-CN" w:bidi="ar"/>
        </w:rPr>
        <w:t>失业人员再就业4197人（161.42%）,就业困难人员再就业2628人（262.8%）,</w:t>
      </w:r>
      <w:r>
        <w:rPr>
          <w:rFonts w:hint="eastAsia" w:ascii="仿宋_GB2312" w:hAnsi="宋体" w:eastAsia="仿宋_GB2312" w:cs="仿宋_GB2312"/>
          <w:b w:val="0"/>
          <w:bCs/>
          <w:kern w:val="0"/>
          <w:sz w:val="32"/>
          <w:szCs w:val="32"/>
          <w:highlight w:val="none"/>
          <w:lang w:val="en-US" w:eastAsia="zh-CN" w:bidi="ar"/>
        </w:rPr>
        <w:t>城镇登记失业率2.32%，零就业家庭动态清零;</w:t>
      </w:r>
      <w:r>
        <w:rPr>
          <w:rFonts w:hint="eastAsia" w:ascii="仿宋_GB2312" w:hAnsi="仿宋_GB2312" w:eastAsia="仿宋_GB2312" w:cs="仿宋_GB2312"/>
          <w:b w:val="0"/>
          <w:bCs/>
          <w:color w:val="auto"/>
          <w:kern w:val="0"/>
          <w:sz w:val="32"/>
          <w:szCs w:val="32"/>
          <w:highlight w:val="none"/>
          <w:lang w:eastAsia="zh-CN"/>
        </w:rPr>
        <w:t>贫困“两后生”技能培训</w:t>
      </w:r>
      <w:r>
        <w:rPr>
          <w:rFonts w:hint="eastAsia" w:ascii="仿宋_GB2312" w:hAnsi="仿宋_GB2312" w:eastAsia="仿宋_GB2312" w:cs="仿宋_GB2312"/>
          <w:b w:val="0"/>
          <w:bCs/>
          <w:color w:val="auto"/>
          <w:kern w:val="0"/>
          <w:sz w:val="32"/>
          <w:szCs w:val="32"/>
          <w:highlight w:val="none"/>
          <w:lang w:val="en-US" w:eastAsia="zh-CN"/>
        </w:rPr>
        <w:t>28人，参加就业见习102人。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_GB2312" w:hAnsi="宋体" w:eastAsia="仿宋_GB2312" w:cs="仿宋_GB2312"/>
          <w:b w:val="0"/>
          <w:bCs/>
          <w:kern w:val="0"/>
          <w:sz w:val="32"/>
          <w:szCs w:val="32"/>
          <w:highlight w:val="none"/>
          <w:lang w:val="en-US"/>
        </w:rPr>
      </w:pPr>
      <w:r>
        <w:rPr>
          <w:rFonts w:hint="eastAsia" w:ascii="楷体_GB2312" w:hAnsi="宋体" w:eastAsia="楷体_GB2312" w:cs="仿宋_GB2312"/>
          <w:b w:val="0"/>
          <w:bCs/>
          <w:kern w:val="0"/>
          <w:sz w:val="32"/>
          <w:szCs w:val="32"/>
          <w:highlight w:val="none"/>
          <w:lang w:val="en-US" w:eastAsia="zh-CN" w:bidi="ar"/>
        </w:rPr>
        <w:t>2社保工作。</w:t>
      </w:r>
      <w:r>
        <w:rPr>
          <w:rFonts w:hint="eastAsia" w:ascii="仿宋_GB2312" w:hAnsi="宋体" w:eastAsia="仿宋_GB2312" w:cs="仿宋_GB2312"/>
          <w:b w:val="0"/>
          <w:bCs/>
          <w:kern w:val="0"/>
          <w:sz w:val="32"/>
          <w:szCs w:val="32"/>
          <w:highlight w:val="none"/>
          <w:lang w:val="en-US" w:eastAsia="zh-CN" w:bidi="ar"/>
        </w:rPr>
        <w:t xml:space="preserve">截至11月底，企业养老保险征缴基金8.77亿元（103%）,城乡居民养老保险参保人数26.9万人（103.9%）,工伤保险参保65084人（103%）。 </w:t>
      </w:r>
      <w:r>
        <w:rPr>
          <w:rFonts w:hint="eastAsia" w:ascii="仿宋_GB2312" w:hAnsi="仿宋_GB2312" w:eastAsia="仿宋_GB2312" w:cs="仿宋_GB2312"/>
          <w:b w:val="0"/>
          <w:bCs/>
          <w:kern w:val="2"/>
          <w:sz w:val="32"/>
          <w:szCs w:val="32"/>
          <w:highlight w:val="none"/>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_GB2312" w:hAnsi="宋体" w:eastAsia="仿宋_GB2312" w:cs="仿宋_GB2312"/>
          <w:b w:val="0"/>
          <w:bCs/>
          <w:kern w:val="0"/>
          <w:sz w:val="32"/>
          <w:szCs w:val="32"/>
          <w:highlight w:val="none"/>
          <w:lang w:val="en-US"/>
        </w:rPr>
      </w:pPr>
      <w:r>
        <w:rPr>
          <w:rFonts w:hint="eastAsia" w:ascii="楷体_GB2312" w:hAnsi="宋体" w:eastAsia="楷体_GB2312" w:cs="仿宋_GB2312"/>
          <w:b w:val="0"/>
          <w:bCs/>
          <w:kern w:val="0"/>
          <w:sz w:val="32"/>
          <w:szCs w:val="32"/>
          <w:highlight w:val="none"/>
          <w:lang w:val="en-US" w:eastAsia="zh-CN" w:bidi="ar"/>
        </w:rPr>
        <w:t>3维权工作。</w:t>
      </w:r>
      <w:r>
        <w:rPr>
          <w:rFonts w:hint="eastAsia" w:ascii="仿宋_GB2312" w:hAnsi="宋体" w:eastAsia="仿宋_GB2312" w:cs="仿宋_GB2312"/>
          <w:b w:val="0"/>
          <w:bCs/>
          <w:kern w:val="0"/>
          <w:sz w:val="32"/>
          <w:szCs w:val="32"/>
          <w:highlight w:val="none"/>
          <w:lang w:val="en-US" w:eastAsia="zh-CN" w:bidi="ar"/>
        </w:rPr>
        <w:t>已建工会组织的企业工资集体协商建制率92%（100%）。</w:t>
      </w:r>
      <w:r>
        <w:rPr>
          <w:rFonts w:hint="eastAsia" w:ascii="仿宋_GB2312" w:hAnsi="仿宋" w:eastAsia="仿宋_GB2312" w:cs="宋体"/>
          <w:b w:val="0"/>
          <w:bCs/>
          <w:kern w:val="0"/>
          <w:sz w:val="32"/>
          <w:szCs w:val="32"/>
          <w:highlight w:val="none"/>
          <w:lang w:val="en-US" w:eastAsia="zh-CN" w:bidi="ar"/>
        </w:rPr>
        <w:t>办结农民工欠薪案件124件，妥善处理突发事件49起，为农民工2072人追回所拖欠工资4417.22万元</w:t>
      </w:r>
      <w:r>
        <w:rPr>
          <w:rFonts w:hint="eastAsia" w:ascii="仿宋_GB2312" w:hAnsi="仿宋_GB2312" w:eastAsia="仿宋_GB2312" w:cs="仿宋_GB2312"/>
          <w:b w:val="0"/>
          <w:bCs/>
          <w:kern w:val="2"/>
          <w:sz w:val="32"/>
          <w:szCs w:val="32"/>
          <w:highlight w:val="none"/>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eastAsia" w:ascii="仿宋_GB2312" w:hAnsi="宋体" w:eastAsia="仿宋_GB2312" w:cs="仿宋_GB2312"/>
          <w:b w:val="0"/>
          <w:bCs/>
          <w:color w:val="FF0000"/>
          <w:kern w:val="0"/>
          <w:sz w:val="32"/>
          <w:szCs w:val="32"/>
          <w:highlight w:val="none"/>
          <w:lang w:val="en-US"/>
        </w:rPr>
      </w:pPr>
      <w:r>
        <w:rPr>
          <w:rFonts w:hint="eastAsia" w:ascii="楷体_GB2312" w:hAnsi="宋体" w:eastAsia="楷体_GB2312" w:cs="仿宋_GB2312"/>
          <w:b w:val="0"/>
          <w:bCs/>
          <w:color w:val="auto"/>
          <w:kern w:val="0"/>
          <w:sz w:val="32"/>
          <w:szCs w:val="32"/>
          <w:highlight w:val="none"/>
          <w:lang w:val="en-US" w:eastAsia="zh-CN" w:bidi="ar"/>
        </w:rPr>
        <w:t>4信息化建设。</w:t>
      </w:r>
      <w:r>
        <w:rPr>
          <w:rFonts w:hint="eastAsia" w:ascii="仿宋_GB2312" w:hAnsi="宋体" w:eastAsia="仿宋_GB2312" w:cs="仿宋_GB2312"/>
          <w:b w:val="0"/>
          <w:bCs/>
          <w:color w:val="auto"/>
          <w:kern w:val="0"/>
          <w:sz w:val="32"/>
          <w:szCs w:val="32"/>
          <w:highlight w:val="none"/>
          <w:lang w:val="en-US" w:eastAsia="zh-CN" w:bidi="ar"/>
        </w:rPr>
        <w:t>社会保障卡已</w:t>
      </w:r>
      <w:r>
        <w:rPr>
          <w:rFonts w:hint="eastAsia" w:ascii="仿宋" w:hAnsi="仿宋" w:eastAsia="仿宋" w:cs="仿宋"/>
          <w:b w:val="0"/>
          <w:bCs/>
          <w:color w:val="auto"/>
          <w:kern w:val="2"/>
          <w:sz w:val="32"/>
          <w:szCs w:val="32"/>
          <w:highlight w:val="none"/>
          <w:lang w:val="en-US" w:eastAsia="zh-CN" w:bidi="ar"/>
        </w:rPr>
        <w:t>制卡48.84万张（98.37%）</w:t>
      </w:r>
      <w:r>
        <w:rPr>
          <w:rFonts w:hint="eastAsia" w:ascii="仿宋_GB2312" w:hAnsi="宋体" w:eastAsia="仿宋_GB2312" w:cs="仿宋_GB2312"/>
          <w:b w:val="0"/>
          <w:bCs/>
          <w:color w:val="auto"/>
          <w:kern w:val="0"/>
          <w:sz w:val="32"/>
          <w:szCs w:val="32"/>
          <w:highlight w:val="none"/>
          <w:lang w:val="en-US" w:eastAsia="zh-CN" w:bidi="ar"/>
        </w:rPr>
        <w:t>。</w:t>
      </w:r>
    </w:p>
    <w:p>
      <w:pPr>
        <w:spacing w:line="600" w:lineRule="exact"/>
        <w:ind w:firstLine="602" w:firstLineChars="200"/>
        <w:rPr>
          <w:rFonts w:hint="default" w:ascii="Times New Roman" w:hAnsi="Times New Roman" w:eastAsia="黑体" w:cs="Times New Roman"/>
          <w:b/>
          <w:bCs/>
          <w:sz w:val="30"/>
          <w:highlight w:val="none"/>
        </w:rPr>
      </w:pPr>
      <w:r>
        <w:rPr>
          <w:rFonts w:hint="eastAsia" w:ascii="Times New Roman" w:hAnsi="Times New Roman" w:eastAsia="黑体" w:cs="Times New Roman"/>
          <w:b/>
          <w:bCs/>
          <w:sz w:val="30"/>
          <w:highlight w:val="none"/>
          <w:lang w:eastAsia="zh-CN"/>
        </w:rPr>
        <w:t>六</w:t>
      </w:r>
      <w:r>
        <w:rPr>
          <w:rFonts w:hint="default" w:ascii="Times New Roman" w:hAnsi="Times New Roman" w:eastAsia="黑体" w:cs="Times New Roman"/>
          <w:b/>
          <w:bCs/>
          <w:sz w:val="30"/>
          <w:highlight w:val="none"/>
        </w:rPr>
        <w:t>、部门整体支出绩效中存在问题及改进措施</w:t>
      </w:r>
    </w:p>
    <w:p>
      <w:pPr>
        <w:spacing w:line="600" w:lineRule="exact"/>
        <w:ind w:firstLine="602" w:firstLineChars="200"/>
        <w:rPr>
          <w:rFonts w:hint="default" w:ascii="Times New Roman" w:hAnsi="Times New Roman" w:eastAsia="仿宋_GB2312" w:cs="Times New Roman"/>
          <w:b/>
          <w:bCs/>
          <w:sz w:val="30"/>
          <w:highlight w:val="none"/>
        </w:rPr>
      </w:pPr>
      <w:r>
        <w:rPr>
          <w:rFonts w:hint="default" w:ascii="Times New Roman" w:hAnsi="Times New Roman" w:eastAsia="仿宋_GB2312" w:cs="Times New Roman"/>
          <w:b/>
          <w:bCs/>
          <w:sz w:val="30"/>
          <w:highlight w:val="none"/>
        </w:rPr>
        <w:t>（</w:t>
      </w:r>
      <w:r>
        <w:rPr>
          <w:rFonts w:hint="default" w:ascii="仿宋_GB2312" w:eastAsia="仿宋_GB2312"/>
          <w:b/>
          <w:bCs/>
          <w:sz w:val="32"/>
          <w:szCs w:val="32"/>
          <w:highlight w:val="none"/>
        </w:rPr>
        <w:t>一）主要问题及原因分析</w:t>
      </w:r>
    </w:p>
    <w:p>
      <w:pPr>
        <w:spacing w:line="560" w:lineRule="exact"/>
        <w:ind w:firstLine="480" w:firstLineChars="150"/>
        <w:rPr>
          <w:rFonts w:ascii="仿宋_GB2312" w:eastAsia="仿宋_GB2312"/>
          <w:sz w:val="32"/>
          <w:szCs w:val="32"/>
          <w:highlight w:val="none"/>
        </w:rPr>
      </w:pPr>
      <w:r>
        <w:rPr>
          <w:rFonts w:hint="eastAsia" w:ascii="仿宋_GB2312" w:eastAsia="仿宋_GB2312"/>
          <w:sz w:val="32"/>
          <w:szCs w:val="32"/>
          <w:highlight w:val="none"/>
          <w:lang w:val="en-US" w:eastAsia="zh-CN"/>
        </w:rPr>
        <w:t>1.</w:t>
      </w:r>
      <w:r>
        <w:rPr>
          <w:rFonts w:hint="eastAsia" w:ascii="仿宋_GB2312" w:eastAsia="仿宋_GB2312"/>
          <w:sz w:val="32"/>
          <w:szCs w:val="32"/>
          <w:highlight w:val="none"/>
          <w:lang w:eastAsia="zh-CN"/>
        </w:rPr>
        <w:t>对于定性目标设定以及评价较笼统，难以科学评价</w:t>
      </w:r>
      <w:r>
        <w:rPr>
          <w:rFonts w:hint="eastAsia" w:ascii="仿宋_GB2312" w:eastAsia="仿宋_GB2312"/>
          <w:sz w:val="32"/>
          <w:szCs w:val="32"/>
          <w:highlight w:val="none"/>
        </w:rPr>
        <w:t xml:space="preserve">。 </w:t>
      </w:r>
    </w:p>
    <w:p>
      <w:pPr>
        <w:spacing w:line="560" w:lineRule="exact"/>
        <w:ind w:firstLine="480" w:firstLineChars="150"/>
        <w:rPr>
          <w:rFonts w:ascii="仿宋_GB2312" w:eastAsia="仿宋_GB2312"/>
          <w:sz w:val="32"/>
          <w:szCs w:val="32"/>
          <w:highlight w:val="none"/>
        </w:rPr>
      </w:pPr>
      <w:r>
        <w:rPr>
          <w:rFonts w:hint="eastAsia" w:ascii="仿宋_GB2312" w:eastAsia="仿宋_GB2312"/>
          <w:sz w:val="32"/>
          <w:szCs w:val="32"/>
          <w:highlight w:val="none"/>
          <w:lang w:val="en-US" w:eastAsia="zh-CN"/>
        </w:rPr>
        <w:t>2.</w:t>
      </w:r>
      <w:r>
        <w:rPr>
          <w:rFonts w:hint="eastAsia" w:ascii="仿宋_GB2312" w:eastAsia="仿宋_GB2312"/>
          <w:sz w:val="32"/>
          <w:szCs w:val="32"/>
          <w:highlight w:val="none"/>
        </w:rPr>
        <w:t xml:space="preserve">部门整体支出业务工作分项需更加清晰，不能很好的对比支出与成果，投入与产出效果，进而很难有针对性的发现问题，分析问题，提出解决方案。 </w:t>
      </w:r>
    </w:p>
    <w:p>
      <w:pPr>
        <w:spacing w:line="560" w:lineRule="exact"/>
        <w:ind w:firstLine="480" w:firstLineChars="150"/>
        <w:rPr>
          <w:rFonts w:ascii="仿宋_GB2312" w:eastAsia="仿宋_GB2312"/>
          <w:sz w:val="32"/>
          <w:szCs w:val="32"/>
          <w:highlight w:val="none"/>
        </w:rPr>
      </w:pPr>
      <w:r>
        <w:rPr>
          <w:rFonts w:hint="eastAsia" w:ascii="仿宋_GB2312" w:eastAsia="仿宋_GB2312"/>
          <w:sz w:val="32"/>
          <w:szCs w:val="32"/>
          <w:highlight w:val="none"/>
          <w:lang w:val="en-US" w:eastAsia="zh-CN"/>
        </w:rPr>
        <w:t>3.</w:t>
      </w:r>
      <w:r>
        <w:rPr>
          <w:rFonts w:hint="eastAsia" w:ascii="仿宋_GB2312" w:eastAsia="仿宋_GB2312"/>
          <w:sz w:val="32"/>
          <w:szCs w:val="32"/>
          <w:highlight w:val="none"/>
        </w:rPr>
        <w:t xml:space="preserve">财务管理方面，会计核算还不够细致，对于有些能够 细分的工作，未能详细分类核算，绩效评价基础数据不够精确。 </w:t>
      </w:r>
    </w:p>
    <w:p>
      <w:pPr>
        <w:spacing w:line="600" w:lineRule="exact"/>
        <w:ind w:firstLine="602" w:firstLineChars="200"/>
        <w:rPr>
          <w:rFonts w:hint="default" w:ascii="Times New Roman" w:hAnsi="Times New Roman" w:eastAsia="仿宋_GB2312" w:cs="Times New Roman"/>
          <w:b/>
          <w:bCs/>
          <w:sz w:val="30"/>
          <w:highlight w:val="none"/>
        </w:rPr>
      </w:pPr>
      <w:r>
        <w:rPr>
          <w:rFonts w:hint="default" w:ascii="Times New Roman" w:hAnsi="Times New Roman" w:eastAsia="仿宋_GB2312" w:cs="Times New Roman"/>
          <w:b/>
          <w:bCs/>
          <w:sz w:val="30"/>
          <w:highlight w:val="none"/>
        </w:rPr>
        <w:t>（二）改进的方向和具体措施</w:t>
      </w:r>
    </w:p>
    <w:p>
      <w:pPr>
        <w:spacing w:line="560" w:lineRule="exact"/>
        <w:ind w:firstLine="480" w:firstLineChars="150"/>
        <w:rPr>
          <w:rFonts w:ascii="仿宋_GB2312" w:eastAsia="仿宋_GB2312"/>
          <w:sz w:val="32"/>
          <w:szCs w:val="32"/>
          <w:highlight w:val="none"/>
        </w:rPr>
      </w:pPr>
      <w:r>
        <w:rPr>
          <w:rFonts w:hint="eastAsia" w:ascii="仿宋_GB2312" w:eastAsia="仿宋_GB2312"/>
          <w:sz w:val="32"/>
          <w:szCs w:val="32"/>
          <w:highlight w:val="none"/>
          <w:lang w:val="en-US" w:eastAsia="zh-CN"/>
        </w:rPr>
        <w:t>1.</w:t>
      </w:r>
      <w:r>
        <w:rPr>
          <w:rFonts w:hint="eastAsia" w:ascii="仿宋_GB2312" w:eastAsia="仿宋_GB2312"/>
          <w:sz w:val="32"/>
          <w:szCs w:val="32"/>
          <w:highlight w:val="none"/>
        </w:rPr>
        <w:t xml:space="preserve">学习如何科学合理制定绩效目标及考核体系，充分发挥绩效工作效用。 </w:t>
      </w:r>
    </w:p>
    <w:p>
      <w:pPr>
        <w:spacing w:line="560" w:lineRule="exact"/>
        <w:ind w:firstLine="480" w:firstLineChars="150"/>
        <w:rPr>
          <w:rFonts w:ascii="仿宋_GB2312" w:eastAsia="仿宋_GB2312"/>
          <w:sz w:val="32"/>
          <w:szCs w:val="32"/>
          <w:highlight w:val="none"/>
        </w:rPr>
      </w:pPr>
      <w:r>
        <w:rPr>
          <w:rFonts w:hint="eastAsia" w:ascii="仿宋_GB2312" w:eastAsia="仿宋_GB2312"/>
          <w:sz w:val="32"/>
          <w:szCs w:val="32"/>
          <w:highlight w:val="none"/>
          <w:lang w:val="en-US" w:eastAsia="zh-CN"/>
        </w:rPr>
        <w:t>2.</w:t>
      </w:r>
      <w:r>
        <w:rPr>
          <w:rFonts w:hint="eastAsia" w:ascii="仿宋_GB2312" w:eastAsia="仿宋_GB2312"/>
          <w:sz w:val="32"/>
          <w:szCs w:val="32"/>
          <w:highlight w:val="none"/>
        </w:rPr>
        <w:t xml:space="preserve">对于能细分、归总的业务工作，效仿专项支出进行管理，以便更好的进行绩效评价，发现不足，提出改进。 </w:t>
      </w:r>
    </w:p>
    <w:p>
      <w:pPr>
        <w:spacing w:line="560" w:lineRule="exact"/>
        <w:ind w:firstLine="480" w:firstLineChars="150"/>
        <w:rPr>
          <w:rFonts w:hint="eastAsia" w:ascii="仿宋_GB2312" w:eastAsia="仿宋_GB2312"/>
          <w:sz w:val="32"/>
          <w:szCs w:val="32"/>
          <w:highlight w:val="none"/>
        </w:rPr>
      </w:pPr>
      <w:r>
        <w:rPr>
          <w:rFonts w:hint="eastAsia" w:ascii="仿宋_GB2312" w:eastAsia="仿宋_GB2312"/>
          <w:sz w:val="32"/>
          <w:szCs w:val="32"/>
          <w:highlight w:val="none"/>
          <w:lang w:val="en-US" w:eastAsia="zh-CN"/>
        </w:rPr>
        <w:t>3.</w:t>
      </w:r>
      <w:r>
        <w:rPr>
          <w:rFonts w:hint="eastAsia" w:ascii="仿宋_GB2312" w:eastAsia="仿宋_GB2312"/>
          <w:sz w:val="32"/>
          <w:szCs w:val="32"/>
          <w:highlight w:val="none"/>
        </w:rPr>
        <w:t>财务上，会计核算要更加详细，为本单位各项工作的 开展、总结、评估提供有效数据资料支撑，为各项业务工作更好的开展提供帮助</w:t>
      </w:r>
    </w:p>
    <w:p>
      <w:pPr>
        <w:spacing w:line="560" w:lineRule="exact"/>
        <w:ind w:firstLine="480" w:firstLineChars="150"/>
        <w:rPr>
          <w:rFonts w:hint="eastAsia" w:ascii="仿宋_GB2312" w:eastAsia="仿宋_GB2312"/>
          <w:sz w:val="32"/>
          <w:szCs w:val="32"/>
          <w:highlight w:val="none"/>
        </w:rPr>
      </w:pPr>
    </w:p>
    <w:p>
      <w:pPr>
        <w:spacing w:line="560" w:lineRule="exact"/>
        <w:ind w:firstLine="480" w:firstLineChars="150"/>
        <w:rPr>
          <w:rFonts w:hint="eastAsia" w:ascii="仿宋_GB2312" w:eastAsia="仿宋_GB2312"/>
          <w:sz w:val="32"/>
          <w:szCs w:val="32"/>
          <w:highlight w:val="none"/>
        </w:rPr>
      </w:pPr>
    </w:p>
    <w:p>
      <w:pPr>
        <w:spacing w:line="560" w:lineRule="exact"/>
        <w:ind w:firstLine="480" w:firstLineChars="150"/>
        <w:rPr>
          <w:rFonts w:ascii="仿宋_GB2312" w:eastAsia="仿宋_GB2312"/>
          <w:sz w:val="32"/>
          <w:szCs w:val="32"/>
          <w:highlight w:val="none"/>
        </w:rPr>
      </w:pPr>
    </w:p>
    <w:sectPr>
      <w:footerReference r:id="rId3" w:type="default"/>
      <w:pgSz w:w="11906" w:h="16838"/>
      <w:pgMar w:top="1304" w:right="1588" w:bottom="1304"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633720"/>
      <w:docPartObj>
        <w:docPartGallery w:val="autotext"/>
      </w:docPartObj>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E23F7B4"/>
    <w:multiLevelType w:val="singleLevel"/>
    <w:tmpl w:val="EE23F7B4"/>
    <w:lvl w:ilvl="0" w:tentative="0">
      <w:start w:val="1"/>
      <w:numFmt w:val="chineseCounting"/>
      <w:suff w:val="nothing"/>
      <w:lvlText w:val="%1、"/>
      <w:lvlJc w:val="left"/>
      <w:rPr>
        <w:rFonts w:hint="eastAsia"/>
      </w:rPr>
    </w:lvl>
  </w:abstractNum>
  <w:abstractNum w:abstractNumId="1">
    <w:nsid w:val="FFEE6129"/>
    <w:multiLevelType w:val="singleLevel"/>
    <w:tmpl w:val="FFEE6129"/>
    <w:lvl w:ilvl="0" w:tentative="0">
      <w:start w:val="4"/>
      <w:numFmt w:val="chineseCounting"/>
      <w:suff w:val="nothing"/>
      <w:lvlText w:val="%1、"/>
      <w:lvlJc w:val="left"/>
      <w:pPr>
        <w:ind w:left="741" w:leftChars="0" w:firstLine="0" w:firstLineChars="0"/>
      </w:pPr>
      <w:rPr>
        <w:rFonts w:hint="eastAsia"/>
      </w:rPr>
    </w:lvl>
  </w:abstractNum>
  <w:abstractNum w:abstractNumId="2">
    <w:nsid w:val="6D283D56"/>
    <w:multiLevelType w:val="singleLevel"/>
    <w:tmpl w:val="6D283D56"/>
    <w:lvl w:ilvl="0" w:tentative="0">
      <w:start w:val="1"/>
      <w:numFmt w:val="chineseCounting"/>
      <w:suff w:val="nothing"/>
      <w:lvlText w:val="（%1）"/>
      <w:lvlJc w:val="left"/>
      <w:rPr>
        <w:rFonts w:hint="eastAsia"/>
      </w:rPr>
    </w:lvl>
  </w:abstractNum>
  <w:abstractNum w:abstractNumId="3">
    <w:nsid w:val="6F7B1088"/>
    <w:multiLevelType w:val="singleLevel"/>
    <w:tmpl w:val="6F7B1088"/>
    <w:lvl w:ilvl="0" w:tentative="0">
      <w:start w:val="2"/>
      <w:numFmt w:val="chineseCounting"/>
      <w:suff w:val="nothing"/>
      <w:lvlText w:val="（%1）"/>
      <w:lvlJc w:val="left"/>
      <w:rPr>
        <w:rFonts w:hint="eastAsia"/>
      </w:rPr>
    </w:lvl>
  </w:abstractNum>
  <w:abstractNum w:abstractNumId="4">
    <w:nsid w:val="7A833010"/>
    <w:multiLevelType w:val="singleLevel"/>
    <w:tmpl w:val="7A833010"/>
    <w:lvl w:ilvl="0" w:tentative="0">
      <w:start w:val="1"/>
      <w:numFmt w:val="decimal"/>
      <w:lvlText w:val="%1."/>
      <w:lvlJc w:val="left"/>
      <w:pPr>
        <w:tabs>
          <w:tab w:val="left" w:pos="312"/>
        </w:tabs>
      </w:p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F3423"/>
    <w:rsid w:val="000144DC"/>
    <w:rsid w:val="00027852"/>
    <w:rsid w:val="000540C1"/>
    <w:rsid w:val="0007270D"/>
    <w:rsid w:val="00086E05"/>
    <w:rsid w:val="0009742B"/>
    <w:rsid w:val="000B4FA6"/>
    <w:rsid w:val="000D5BD8"/>
    <w:rsid w:val="000F31FC"/>
    <w:rsid w:val="00113ADB"/>
    <w:rsid w:val="00120FE4"/>
    <w:rsid w:val="00172037"/>
    <w:rsid w:val="00190ADC"/>
    <w:rsid w:val="0019652D"/>
    <w:rsid w:val="00197B2E"/>
    <w:rsid w:val="001A423B"/>
    <w:rsid w:val="001B369F"/>
    <w:rsid w:val="001C0B71"/>
    <w:rsid w:val="001C3900"/>
    <w:rsid w:val="001D2E2B"/>
    <w:rsid w:val="00244C9E"/>
    <w:rsid w:val="002466FB"/>
    <w:rsid w:val="0029274E"/>
    <w:rsid w:val="002C3668"/>
    <w:rsid w:val="002E477B"/>
    <w:rsid w:val="002F1796"/>
    <w:rsid w:val="0031256A"/>
    <w:rsid w:val="003222FB"/>
    <w:rsid w:val="00364601"/>
    <w:rsid w:val="003C450D"/>
    <w:rsid w:val="003E78EB"/>
    <w:rsid w:val="003F2183"/>
    <w:rsid w:val="00405334"/>
    <w:rsid w:val="0041231A"/>
    <w:rsid w:val="00417A74"/>
    <w:rsid w:val="00433F25"/>
    <w:rsid w:val="00435E74"/>
    <w:rsid w:val="00466BC4"/>
    <w:rsid w:val="00481203"/>
    <w:rsid w:val="00494BF1"/>
    <w:rsid w:val="00497D22"/>
    <w:rsid w:val="004B43F0"/>
    <w:rsid w:val="004C0841"/>
    <w:rsid w:val="004C0D4B"/>
    <w:rsid w:val="004C7283"/>
    <w:rsid w:val="004D1EAA"/>
    <w:rsid w:val="004E3E49"/>
    <w:rsid w:val="004E4695"/>
    <w:rsid w:val="004F6B91"/>
    <w:rsid w:val="005035F0"/>
    <w:rsid w:val="00524DE2"/>
    <w:rsid w:val="00560B79"/>
    <w:rsid w:val="00560FE8"/>
    <w:rsid w:val="00581916"/>
    <w:rsid w:val="00592BF8"/>
    <w:rsid w:val="0059514C"/>
    <w:rsid w:val="005B5E72"/>
    <w:rsid w:val="005B63D3"/>
    <w:rsid w:val="005C0553"/>
    <w:rsid w:val="006028EF"/>
    <w:rsid w:val="0061708D"/>
    <w:rsid w:val="006207D7"/>
    <w:rsid w:val="00631FE3"/>
    <w:rsid w:val="00637063"/>
    <w:rsid w:val="00657A49"/>
    <w:rsid w:val="00660821"/>
    <w:rsid w:val="00662588"/>
    <w:rsid w:val="00664D38"/>
    <w:rsid w:val="006737CB"/>
    <w:rsid w:val="0067508F"/>
    <w:rsid w:val="00680568"/>
    <w:rsid w:val="006875BE"/>
    <w:rsid w:val="006A1713"/>
    <w:rsid w:val="006C0114"/>
    <w:rsid w:val="006C125D"/>
    <w:rsid w:val="006C47BB"/>
    <w:rsid w:val="006E3D90"/>
    <w:rsid w:val="006E4067"/>
    <w:rsid w:val="00720FA0"/>
    <w:rsid w:val="007442A6"/>
    <w:rsid w:val="00754750"/>
    <w:rsid w:val="00762AAA"/>
    <w:rsid w:val="00763F1B"/>
    <w:rsid w:val="007804EF"/>
    <w:rsid w:val="00783509"/>
    <w:rsid w:val="00793876"/>
    <w:rsid w:val="00795DAB"/>
    <w:rsid w:val="007A1600"/>
    <w:rsid w:val="007A5401"/>
    <w:rsid w:val="007B3BA1"/>
    <w:rsid w:val="007B5674"/>
    <w:rsid w:val="007C5497"/>
    <w:rsid w:val="007E3F05"/>
    <w:rsid w:val="007F0B07"/>
    <w:rsid w:val="00805843"/>
    <w:rsid w:val="008159C3"/>
    <w:rsid w:val="008740A3"/>
    <w:rsid w:val="00892B2A"/>
    <w:rsid w:val="008A4F38"/>
    <w:rsid w:val="008C63FC"/>
    <w:rsid w:val="008C76EC"/>
    <w:rsid w:val="008F298B"/>
    <w:rsid w:val="008F7DAB"/>
    <w:rsid w:val="00913EBA"/>
    <w:rsid w:val="00922335"/>
    <w:rsid w:val="0095170A"/>
    <w:rsid w:val="00971CC0"/>
    <w:rsid w:val="00972A6C"/>
    <w:rsid w:val="009D31ED"/>
    <w:rsid w:val="009D3621"/>
    <w:rsid w:val="00A02539"/>
    <w:rsid w:val="00A078F0"/>
    <w:rsid w:val="00A129B6"/>
    <w:rsid w:val="00A207A8"/>
    <w:rsid w:val="00A2141D"/>
    <w:rsid w:val="00A924C2"/>
    <w:rsid w:val="00A96E71"/>
    <w:rsid w:val="00AA2F75"/>
    <w:rsid w:val="00AB6BD5"/>
    <w:rsid w:val="00AB78A4"/>
    <w:rsid w:val="00AC05AF"/>
    <w:rsid w:val="00AC7372"/>
    <w:rsid w:val="00AC7586"/>
    <w:rsid w:val="00AD19D8"/>
    <w:rsid w:val="00AD40BD"/>
    <w:rsid w:val="00AD7DC8"/>
    <w:rsid w:val="00AF20DE"/>
    <w:rsid w:val="00B1099E"/>
    <w:rsid w:val="00B25209"/>
    <w:rsid w:val="00B27A9F"/>
    <w:rsid w:val="00BA6D0E"/>
    <w:rsid w:val="00BB707D"/>
    <w:rsid w:val="00BD02CB"/>
    <w:rsid w:val="00BF5DDD"/>
    <w:rsid w:val="00C004DE"/>
    <w:rsid w:val="00C26A24"/>
    <w:rsid w:val="00C27A46"/>
    <w:rsid w:val="00C464A9"/>
    <w:rsid w:val="00C64DD7"/>
    <w:rsid w:val="00C66A80"/>
    <w:rsid w:val="00C77229"/>
    <w:rsid w:val="00C77306"/>
    <w:rsid w:val="00C878EE"/>
    <w:rsid w:val="00C949FF"/>
    <w:rsid w:val="00C95A45"/>
    <w:rsid w:val="00CA73E4"/>
    <w:rsid w:val="00CC657F"/>
    <w:rsid w:val="00CE7D22"/>
    <w:rsid w:val="00CF031A"/>
    <w:rsid w:val="00D16717"/>
    <w:rsid w:val="00D174A0"/>
    <w:rsid w:val="00D21BC1"/>
    <w:rsid w:val="00D21C01"/>
    <w:rsid w:val="00D425E4"/>
    <w:rsid w:val="00D44CFF"/>
    <w:rsid w:val="00D70F2F"/>
    <w:rsid w:val="00D74FC2"/>
    <w:rsid w:val="00D7642C"/>
    <w:rsid w:val="00D87BA8"/>
    <w:rsid w:val="00D92141"/>
    <w:rsid w:val="00DA1774"/>
    <w:rsid w:val="00DA2F57"/>
    <w:rsid w:val="00DC5DF7"/>
    <w:rsid w:val="00DD350B"/>
    <w:rsid w:val="00DE615E"/>
    <w:rsid w:val="00E0075C"/>
    <w:rsid w:val="00E07553"/>
    <w:rsid w:val="00E2003D"/>
    <w:rsid w:val="00E27AE7"/>
    <w:rsid w:val="00E310B0"/>
    <w:rsid w:val="00E6292B"/>
    <w:rsid w:val="00E86D61"/>
    <w:rsid w:val="00E90AB5"/>
    <w:rsid w:val="00E9301C"/>
    <w:rsid w:val="00E9420F"/>
    <w:rsid w:val="00EC7DAE"/>
    <w:rsid w:val="00EF05FF"/>
    <w:rsid w:val="00EF3423"/>
    <w:rsid w:val="00F160DB"/>
    <w:rsid w:val="00F50DB5"/>
    <w:rsid w:val="00F538F8"/>
    <w:rsid w:val="00F610EB"/>
    <w:rsid w:val="00F67EE8"/>
    <w:rsid w:val="00F82776"/>
    <w:rsid w:val="00F9379F"/>
    <w:rsid w:val="00FD00CC"/>
    <w:rsid w:val="00FE04ED"/>
    <w:rsid w:val="00FE1398"/>
    <w:rsid w:val="00FE520A"/>
    <w:rsid w:val="0DB1041D"/>
    <w:rsid w:val="3E9D18C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7">
    <w:name w:val="p11"/>
    <w:basedOn w:val="5"/>
    <w:uiPriority w:val="0"/>
    <w:rPr>
      <w:rFonts w:cs="Times New Roman"/>
      <w:sz w:val="21"/>
      <w:szCs w:val="21"/>
    </w:rPr>
  </w:style>
  <w:style w:type="character" w:customStyle="1" w:styleId="8">
    <w:name w:val="页眉 Char"/>
    <w:basedOn w:val="5"/>
    <w:link w:val="3"/>
    <w:semiHidden/>
    <w:uiPriority w:val="99"/>
    <w:rPr>
      <w:sz w:val="18"/>
      <w:szCs w:val="18"/>
    </w:rPr>
  </w:style>
  <w:style w:type="character" w:customStyle="1" w:styleId="9">
    <w:name w:val="页脚 Char"/>
    <w:basedOn w:val="5"/>
    <w:link w:val="2"/>
    <w:qFormat/>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422</Words>
  <Characters>2406</Characters>
  <Lines>20</Lines>
  <Paragraphs>5</Paragraphs>
  <TotalTime>17</TotalTime>
  <ScaleCrop>false</ScaleCrop>
  <LinksUpToDate>false</LinksUpToDate>
  <CharactersWithSpaces>2823</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2019-04-12T01:42:00Z</dcterms:created>
  <dc:creator>Microsoft</dc:creator>
  <cp:lastModifiedBy>www</cp:lastModifiedBy>
  <dcterms:modified xsi:type="dcterms:W3CDTF">2021-05-18T01:48:50Z</dcterms:modified>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