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eastAsia="方正小标宋简体"/>
          <w:kern w:val="0"/>
          <w:sz w:val="40"/>
          <w:szCs w:val="40"/>
        </w:rPr>
      </w:pPr>
    </w:p>
    <w:p>
      <w:pPr>
        <w:spacing w:line="560" w:lineRule="exact"/>
        <w:jc w:val="center"/>
        <w:rPr>
          <w:rFonts w:hint="eastAsia" w:eastAsia="方正小标宋简体"/>
          <w:kern w:val="0"/>
          <w:sz w:val="40"/>
          <w:szCs w:val="40"/>
          <w:lang w:eastAsia="zh-CN"/>
        </w:rPr>
      </w:pPr>
      <w:r>
        <w:rPr>
          <w:rFonts w:hint="eastAsia" w:ascii="仿宋" w:hAnsi="仿宋" w:eastAsia="仿宋" w:cs="仿宋"/>
          <w:kern w:val="0"/>
          <w:sz w:val="40"/>
          <w:szCs w:val="40"/>
          <w:lang w:val="en-US" w:eastAsia="zh-CN"/>
        </w:rPr>
        <w:t>2019</w:t>
      </w:r>
      <w:r>
        <w:rPr>
          <w:rFonts w:hint="eastAsia" w:eastAsia="方正小标宋简体"/>
          <w:kern w:val="0"/>
          <w:sz w:val="40"/>
          <w:szCs w:val="40"/>
          <w:lang w:val="en-US" w:eastAsia="zh-CN"/>
        </w:rPr>
        <w:t>年度</w:t>
      </w:r>
      <w:r>
        <w:rPr>
          <w:rFonts w:eastAsia="方正小标宋简体"/>
          <w:kern w:val="0"/>
          <w:sz w:val="40"/>
          <w:szCs w:val="40"/>
        </w:rPr>
        <w:t>部门整体支出绩效</w:t>
      </w:r>
      <w:r>
        <w:rPr>
          <w:rFonts w:hint="eastAsia" w:eastAsia="方正小标宋简体"/>
          <w:kern w:val="0"/>
          <w:sz w:val="40"/>
          <w:szCs w:val="40"/>
          <w:lang w:eastAsia="zh-CN"/>
        </w:rPr>
        <w:t>自</w:t>
      </w:r>
      <w:r>
        <w:rPr>
          <w:rFonts w:eastAsia="方正小标宋简体"/>
          <w:kern w:val="0"/>
          <w:sz w:val="40"/>
          <w:szCs w:val="40"/>
        </w:rPr>
        <w:t>评表</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b w:val="0"/>
          <w:bCs w:val="0"/>
          <w:kern w:val="0"/>
          <w:sz w:val="21"/>
          <w:szCs w:val="21"/>
          <w:lang w:eastAsia="zh-CN"/>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b w:val="0"/>
          <w:bCs w:val="0"/>
          <w:kern w:val="0"/>
          <w:sz w:val="21"/>
          <w:szCs w:val="21"/>
          <w:lang w:eastAsia="zh-CN"/>
        </w:rPr>
      </w:pPr>
    </w:p>
    <w:tbl>
      <w:tblPr>
        <w:tblStyle w:val="5"/>
        <w:tblW w:w="9063"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0" w:type="dxa"/>
          <w:bottom w:w="0" w:type="dxa"/>
          <w:right w:w="0" w:type="dxa"/>
        </w:tblCellMar>
      </w:tblPr>
      <w:tblGrid>
        <w:gridCol w:w="503"/>
        <w:gridCol w:w="503"/>
        <w:gridCol w:w="91"/>
        <w:gridCol w:w="412"/>
        <w:gridCol w:w="180"/>
        <w:gridCol w:w="323"/>
        <w:gridCol w:w="156"/>
        <w:gridCol w:w="627"/>
        <w:gridCol w:w="517"/>
        <w:gridCol w:w="537"/>
        <w:gridCol w:w="1231"/>
        <w:gridCol w:w="569"/>
        <w:gridCol w:w="146"/>
        <w:gridCol w:w="363"/>
        <w:gridCol w:w="1593"/>
        <w:gridCol w:w="717"/>
        <w:gridCol w:w="595"/>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部门名称</w:t>
            </w:r>
          </w:p>
        </w:tc>
        <w:tc>
          <w:tcPr>
            <w:tcW w:w="3960" w:type="dxa"/>
            <w:gridSpan w:val="7"/>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lang w:eastAsia="zh-CN"/>
              </w:rPr>
              <w:t>湖南望城国家农业科技园区管理委员会</w:t>
            </w:r>
            <w:r>
              <w:rPr>
                <w:rFonts w:hint="eastAsia" w:asciiTheme="minorEastAsia" w:hAnsiTheme="minorEastAsia" w:eastAsiaTheme="minorEastAsia" w:cstheme="minorEastAsia"/>
                <w:color w:val="000000"/>
                <w:sz w:val="21"/>
                <w:szCs w:val="21"/>
              </w:rPr>
              <w:t>　</w:t>
            </w:r>
          </w:p>
        </w:tc>
        <w:tc>
          <w:tcPr>
            <w:tcW w:w="2102" w:type="dxa"/>
            <w:gridSpan w:val="3"/>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下属单位个数</w:t>
            </w:r>
          </w:p>
        </w:tc>
        <w:tc>
          <w:tcPr>
            <w:tcW w:w="1312" w:type="dxa"/>
            <w:gridSpan w:val="2"/>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vMerge w:val="restart"/>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整体支出规模</w:t>
            </w:r>
          </w:p>
        </w:tc>
        <w:tc>
          <w:tcPr>
            <w:tcW w:w="2160" w:type="dxa"/>
            <w:gridSpan w:val="5"/>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rPr>
              <w:t>　</w:t>
            </w:r>
            <w:r>
              <w:rPr>
                <w:rFonts w:hint="eastAsia" w:asciiTheme="minorEastAsia" w:hAnsiTheme="minorEastAsia" w:eastAsiaTheme="minorEastAsia" w:cstheme="minorEastAsia"/>
                <w:color w:val="000000"/>
                <w:sz w:val="21"/>
                <w:szCs w:val="21"/>
                <w:lang w:eastAsia="zh-CN"/>
              </w:rPr>
              <w:t>项</w:t>
            </w:r>
            <w:r>
              <w:rPr>
                <w:rFonts w:hint="eastAsia" w:asciiTheme="minorEastAsia" w:hAnsiTheme="minorEastAsia" w:eastAsiaTheme="minorEastAsia" w:cstheme="minorEastAsia"/>
                <w:color w:val="000000"/>
                <w:sz w:val="21"/>
                <w:szCs w:val="21"/>
                <w:lang w:val="en-US" w:eastAsia="zh-CN"/>
              </w:rPr>
              <w:t xml:space="preserve">   </w:t>
            </w:r>
            <w:r>
              <w:rPr>
                <w:rFonts w:hint="eastAsia" w:asciiTheme="minorEastAsia" w:hAnsiTheme="minorEastAsia" w:eastAsiaTheme="minorEastAsia" w:cstheme="minorEastAsia"/>
                <w:color w:val="000000"/>
                <w:sz w:val="21"/>
                <w:szCs w:val="21"/>
                <w:lang w:eastAsia="zh-CN"/>
              </w:rPr>
              <w:t>目</w:t>
            </w:r>
          </w:p>
        </w:tc>
        <w:tc>
          <w:tcPr>
            <w:tcW w:w="2309" w:type="dxa"/>
            <w:gridSpan w:val="4"/>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全年预算数</w:t>
            </w:r>
          </w:p>
        </w:tc>
        <w:tc>
          <w:tcPr>
            <w:tcW w:w="2310" w:type="dxa"/>
            <w:gridSpan w:val="2"/>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全年执行数</w:t>
            </w:r>
          </w:p>
        </w:tc>
        <w:tc>
          <w:tcPr>
            <w:tcW w:w="595" w:type="dxa"/>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执行率</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vMerge w:val="continue"/>
            <w:tcBorders>
              <w:tl2br w:val="nil"/>
              <w:tr2bl w:val="nil"/>
            </w:tcBorders>
            <w:vAlign w:val="center"/>
          </w:tcPr>
          <w:p>
            <w:pPr>
              <w:spacing w:line="250" w:lineRule="exact"/>
              <w:rPr>
                <w:rFonts w:hint="eastAsia" w:asciiTheme="minorEastAsia" w:hAnsiTheme="minorEastAsia" w:eastAsiaTheme="minorEastAsia" w:cstheme="minorEastAsia"/>
                <w:color w:val="000000"/>
                <w:sz w:val="21"/>
                <w:szCs w:val="21"/>
              </w:rPr>
            </w:pPr>
          </w:p>
        </w:tc>
        <w:tc>
          <w:tcPr>
            <w:tcW w:w="479" w:type="dxa"/>
            <w:gridSpan w:val="2"/>
            <w:vMerge w:val="restart"/>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资</w:t>
            </w:r>
          </w:p>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金</w:t>
            </w:r>
          </w:p>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来</w:t>
            </w:r>
          </w:p>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源</w:t>
            </w:r>
          </w:p>
          <w:p>
            <w:pPr>
              <w:spacing w:line="250" w:lineRule="exact"/>
              <w:jc w:val="center"/>
              <w:rPr>
                <w:rFonts w:hint="eastAsia" w:asciiTheme="minorEastAsia" w:hAnsiTheme="minorEastAsia" w:eastAsia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lang w:eastAsia="zh-CN"/>
              </w:rPr>
            </w:pPr>
            <w:r>
              <w:rPr>
                <w:rFonts w:hint="eastAsia" w:asciiTheme="minorEastAsia" w:hAnsiTheme="minorEastAsia" w:eastAsiaTheme="minorEastAsia" w:cstheme="minorEastAsia"/>
                <w:color w:val="000000"/>
                <w:sz w:val="21"/>
                <w:szCs w:val="21"/>
                <w:lang w:eastAsia="zh-CN"/>
              </w:rPr>
              <w:t>合计</w:t>
            </w:r>
          </w:p>
        </w:tc>
        <w:tc>
          <w:tcPr>
            <w:tcW w:w="2309" w:type="dxa"/>
            <w:gridSpan w:val="4"/>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lang w:val="en-US" w:eastAsia="zh-CN"/>
              </w:rPr>
              <w:t>2589.99万</w:t>
            </w:r>
            <w:r>
              <w:rPr>
                <w:rFonts w:hint="eastAsia" w:asciiTheme="minorEastAsia" w:hAnsiTheme="minorEastAsia" w:eastAsiaTheme="minorEastAsia" w:cstheme="minorEastAsia"/>
                <w:color w:val="000000"/>
                <w:sz w:val="21"/>
                <w:szCs w:val="21"/>
              </w:rPr>
              <w:t>　</w:t>
            </w:r>
          </w:p>
        </w:tc>
        <w:tc>
          <w:tcPr>
            <w:tcW w:w="2310" w:type="dxa"/>
            <w:gridSpan w:val="2"/>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lang w:val="en-US" w:eastAsia="zh-CN"/>
              </w:rPr>
              <w:t>2589.99万</w:t>
            </w:r>
            <w:r>
              <w:rPr>
                <w:rFonts w:hint="eastAsia" w:asciiTheme="minorEastAsia" w:hAnsiTheme="minorEastAsia" w:eastAsiaTheme="minorEastAsia" w:cstheme="minorEastAsia"/>
                <w:color w:val="000000"/>
                <w:sz w:val="21"/>
                <w:szCs w:val="21"/>
              </w:rPr>
              <w:t>　</w:t>
            </w:r>
          </w:p>
        </w:tc>
        <w:tc>
          <w:tcPr>
            <w:tcW w:w="595" w:type="dxa"/>
            <w:tcBorders>
              <w:tl2br w:val="nil"/>
              <w:tr2bl w:val="nil"/>
            </w:tcBorders>
            <w:tcMar>
              <w:top w:w="15" w:type="dxa"/>
              <w:left w:w="15" w:type="dxa"/>
              <w:bottom w:w="0" w:type="dxa"/>
              <w:right w:w="15" w:type="dxa"/>
            </w:tcMar>
            <w:vAlign w:val="center"/>
          </w:tcPr>
          <w:p>
            <w:pPr>
              <w:spacing w:line="250" w:lineRule="exact"/>
              <w:jc w:val="center"/>
              <w:rPr>
                <w:rFonts w:hint="default"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vMerge w:val="continue"/>
            <w:tcBorders>
              <w:tl2br w:val="nil"/>
              <w:tr2bl w:val="nil"/>
            </w:tcBorders>
            <w:vAlign w:val="center"/>
          </w:tcPr>
          <w:p>
            <w:pPr>
              <w:spacing w:line="250" w:lineRule="exact"/>
              <w:rPr>
                <w:rFonts w:hint="eastAsia" w:asciiTheme="minorEastAsia" w:hAnsiTheme="minorEastAsia" w:eastAsiaTheme="minorEastAsia" w:cstheme="minorEastAsia"/>
                <w:color w:val="000000"/>
                <w:sz w:val="21"/>
                <w:szCs w:val="21"/>
              </w:rPr>
            </w:pPr>
          </w:p>
        </w:tc>
        <w:tc>
          <w:tcPr>
            <w:tcW w:w="479" w:type="dxa"/>
            <w:gridSpan w:val="2"/>
            <w:vMerge w:val="continue"/>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lang w:eastAsia="zh-CN"/>
              </w:rPr>
            </w:pPr>
            <w:r>
              <w:rPr>
                <w:rFonts w:hint="eastAsia" w:asciiTheme="minorEastAsia" w:hAnsiTheme="minorEastAsia" w:eastAsiaTheme="minorEastAsia" w:cstheme="minorEastAsia"/>
                <w:color w:val="000000"/>
                <w:sz w:val="21"/>
                <w:szCs w:val="21"/>
              </w:rPr>
              <w:t>（1）财政拨</w:t>
            </w:r>
            <w:r>
              <w:rPr>
                <w:rFonts w:hint="eastAsia" w:asciiTheme="minorEastAsia" w:hAnsiTheme="minorEastAsia" w:eastAsiaTheme="minorEastAsia" w:cstheme="minorEastAsia"/>
                <w:color w:val="000000"/>
                <w:sz w:val="21"/>
                <w:szCs w:val="21"/>
                <w:lang w:eastAsia="zh-CN"/>
              </w:rPr>
              <w:t>款</w:t>
            </w:r>
          </w:p>
        </w:tc>
        <w:tc>
          <w:tcPr>
            <w:tcW w:w="2309" w:type="dxa"/>
            <w:gridSpan w:val="4"/>
            <w:tcBorders>
              <w:tl2br w:val="nil"/>
              <w:tr2bl w:val="nil"/>
            </w:tcBorders>
            <w:tcMar>
              <w:top w:w="15" w:type="dxa"/>
              <w:left w:w="15" w:type="dxa"/>
              <w:bottom w:w="0" w:type="dxa"/>
              <w:right w:w="15" w:type="dxa"/>
            </w:tcMar>
            <w:vAlign w:val="center"/>
          </w:tcPr>
          <w:p>
            <w:pPr>
              <w:spacing w:line="250" w:lineRule="exact"/>
              <w:jc w:val="center"/>
              <w:rPr>
                <w:rFonts w:hint="default"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2449.99万</w:t>
            </w:r>
          </w:p>
        </w:tc>
        <w:tc>
          <w:tcPr>
            <w:tcW w:w="2310" w:type="dxa"/>
            <w:gridSpan w:val="2"/>
            <w:tcBorders>
              <w:tl2br w:val="nil"/>
              <w:tr2bl w:val="nil"/>
            </w:tcBorders>
            <w:tcMar>
              <w:top w:w="15" w:type="dxa"/>
              <w:left w:w="15" w:type="dxa"/>
              <w:bottom w:w="0" w:type="dxa"/>
              <w:right w:w="15" w:type="dxa"/>
            </w:tcMar>
            <w:vAlign w:val="center"/>
          </w:tcPr>
          <w:p>
            <w:pPr>
              <w:spacing w:line="250" w:lineRule="exact"/>
              <w:jc w:val="center"/>
              <w:rPr>
                <w:rFonts w:hint="default"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2449.99万</w:t>
            </w:r>
          </w:p>
        </w:tc>
        <w:tc>
          <w:tcPr>
            <w:tcW w:w="595" w:type="dxa"/>
            <w:tcBorders>
              <w:tl2br w:val="nil"/>
              <w:tr2bl w:val="nil"/>
            </w:tcBorders>
            <w:tcMar>
              <w:top w:w="15" w:type="dxa"/>
              <w:left w:w="15" w:type="dxa"/>
              <w:bottom w:w="0" w:type="dxa"/>
              <w:right w:w="15" w:type="dxa"/>
            </w:tcMar>
            <w:vAlign w:val="center"/>
          </w:tcPr>
          <w:p>
            <w:pPr>
              <w:spacing w:line="250" w:lineRule="exact"/>
              <w:jc w:val="center"/>
              <w:rPr>
                <w:rFonts w:hint="default"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vMerge w:val="continue"/>
            <w:tcBorders>
              <w:tl2br w:val="nil"/>
              <w:tr2bl w:val="nil"/>
            </w:tcBorders>
            <w:vAlign w:val="center"/>
          </w:tcPr>
          <w:p>
            <w:pPr>
              <w:spacing w:line="250" w:lineRule="exact"/>
              <w:rPr>
                <w:rFonts w:hint="eastAsia" w:asciiTheme="minorEastAsia" w:hAnsiTheme="minorEastAsia" w:eastAsiaTheme="minorEastAsia" w:cstheme="minorEastAsia"/>
                <w:color w:val="000000"/>
                <w:sz w:val="21"/>
                <w:szCs w:val="21"/>
              </w:rPr>
            </w:pPr>
          </w:p>
        </w:tc>
        <w:tc>
          <w:tcPr>
            <w:tcW w:w="479" w:type="dxa"/>
            <w:gridSpan w:val="2"/>
            <w:vMerge w:val="continue"/>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（2）其他资金</w:t>
            </w:r>
          </w:p>
        </w:tc>
        <w:tc>
          <w:tcPr>
            <w:tcW w:w="2309" w:type="dxa"/>
            <w:gridSpan w:val="4"/>
            <w:tcBorders>
              <w:tl2br w:val="nil"/>
              <w:tr2bl w:val="nil"/>
            </w:tcBorders>
            <w:tcMar>
              <w:top w:w="15" w:type="dxa"/>
              <w:left w:w="15" w:type="dxa"/>
              <w:bottom w:w="0" w:type="dxa"/>
              <w:right w:w="15" w:type="dxa"/>
            </w:tcMar>
            <w:vAlign w:val="center"/>
          </w:tcPr>
          <w:p>
            <w:pPr>
              <w:spacing w:line="250" w:lineRule="exact"/>
              <w:jc w:val="center"/>
              <w:rPr>
                <w:rFonts w:hint="default"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140万</w:t>
            </w:r>
          </w:p>
        </w:tc>
        <w:tc>
          <w:tcPr>
            <w:tcW w:w="2310" w:type="dxa"/>
            <w:gridSpan w:val="2"/>
            <w:tcBorders>
              <w:tl2br w:val="nil"/>
              <w:tr2bl w:val="nil"/>
            </w:tcBorders>
            <w:tcMar>
              <w:top w:w="15" w:type="dxa"/>
              <w:left w:w="15" w:type="dxa"/>
              <w:bottom w:w="0" w:type="dxa"/>
              <w:right w:w="15" w:type="dxa"/>
            </w:tcMar>
            <w:vAlign w:val="center"/>
          </w:tcPr>
          <w:p>
            <w:pPr>
              <w:spacing w:line="250" w:lineRule="exact"/>
              <w:jc w:val="center"/>
              <w:rPr>
                <w:rFonts w:hint="default"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140万</w:t>
            </w:r>
          </w:p>
        </w:tc>
        <w:tc>
          <w:tcPr>
            <w:tcW w:w="595" w:type="dxa"/>
            <w:tcBorders>
              <w:tl2br w:val="nil"/>
              <w:tr2bl w:val="nil"/>
            </w:tcBorders>
            <w:tcMar>
              <w:top w:w="15" w:type="dxa"/>
              <w:left w:w="15" w:type="dxa"/>
              <w:bottom w:w="0" w:type="dxa"/>
              <w:right w:w="15" w:type="dxa"/>
            </w:tcMar>
            <w:vAlign w:val="center"/>
          </w:tcPr>
          <w:p>
            <w:pPr>
              <w:spacing w:line="250" w:lineRule="exact"/>
              <w:jc w:val="center"/>
              <w:rPr>
                <w:rFonts w:hint="default"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vMerge w:val="continue"/>
            <w:tcBorders>
              <w:tl2br w:val="nil"/>
              <w:tr2bl w:val="nil"/>
            </w:tcBorders>
            <w:vAlign w:val="center"/>
          </w:tcPr>
          <w:p>
            <w:pPr>
              <w:spacing w:line="250" w:lineRule="exact"/>
              <w:rPr>
                <w:rFonts w:hint="eastAsia" w:asciiTheme="minorEastAsia" w:hAnsiTheme="minorEastAsia" w:eastAsiaTheme="minorEastAsia" w:cstheme="minorEastAsia"/>
                <w:color w:val="000000"/>
                <w:sz w:val="21"/>
                <w:szCs w:val="21"/>
              </w:rPr>
            </w:pPr>
          </w:p>
        </w:tc>
        <w:tc>
          <w:tcPr>
            <w:tcW w:w="479" w:type="dxa"/>
            <w:gridSpan w:val="2"/>
            <w:vMerge w:val="restart"/>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资</w:t>
            </w:r>
          </w:p>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金</w:t>
            </w:r>
          </w:p>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结</w:t>
            </w:r>
          </w:p>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构</w:t>
            </w:r>
          </w:p>
          <w:p>
            <w:pPr>
              <w:spacing w:line="250" w:lineRule="exact"/>
              <w:jc w:val="center"/>
              <w:rPr>
                <w:rFonts w:hint="eastAsia" w:asciiTheme="minorEastAsia" w:hAnsiTheme="minorEastAsia" w:eastAsia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lang w:eastAsia="zh-CN"/>
              </w:rPr>
            </w:pPr>
            <w:r>
              <w:rPr>
                <w:rFonts w:hint="eastAsia" w:asciiTheme="minorEastAsia" w:hAnsiTheme="minorEastAsia" w:eastAsiaTheme="minorEastAsia" w:cstheme="minorEastAsia"/>
                <w:color w:val="000000"/>
                <w:sz w:val="21"/>
                <w:szCs w:val="21"/>
                <w:lang w:eastAsia="zh-CN"/>
              </w:rPr>
              <w:t>合计</w:t>
            </w:r>
          </w:p>
        </w:tc>
        <w:tc>
          <w:tcPr>
            <w:tcW w:w="2309" w:type="dxa"/>
            <w:gridSpan w:val="4"/>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lang w:val="en-US" w:eastAsia="zh-CN"/>
              </w:rPr>
              <w:t>2532.22万</w:t>
            </w:r>
            <w:r>
              <w:rPr>
                <w:rFonts w:hint="eastAsia" w:asciiTheme="minorEastAsia" w:hAnsiTheme="minorEastAsia" w:eastAsiaTheme="minorEastAsia" w:cstheme="minorEastAsia"/>
                <w:color w:val="000000"/>
                <w:sz w:val="21"/>
                <w:szCs w:val="21"/>
              </w:rPr>
              <w:t>　</w:t>
            </w:r>
          </w:p>
        </w:tc>
        <w:tc>
          <w:tcPr>
            <w:tcW w:w="2310" w:type="dxa"/>
            <w:gridSpan w:val="2"/>
            <w:tcBorders>
              <w:tl2br w:val="nil"/>
              <w:tr2bl w:val="nil"/>
            </w:tcBorders>
            <w:tcMar>
              <w:top w:w="15" w:type="dxa"/>
              <w:left w:w="15" w:type="dxa"/>
              <w:bottom w:w="0" w:type="dxa"/>
              <w:right w:w="15" w:type="dxa"/>
            </w:tcMar>
            <w:vAlign w:val="center"/>
          </w:tcPr>
          <w:p>
            <w:pPr>
              <w:spacing w:line="250" w:lineRule="exact"/>
              <w:jc w:val="center"/>
              <w:rPr>
                <w:rFonts w:hint="default"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2532.22万</w:t>
            </w:r>
          </w:p>
        </w:tc>
        <w:tc>
          <w:tcPr>
            <w:tcW w:w="595" w:type="dxa"/>
            <w:tcBorders>
              <w:tl2br w:val="nil"/>
              <w:tr2bl w:val="nil"/>
            </w:tcBorders>
            <w:tcMar>
              <w:top w:w="15" w:type="dxa"/>
              <w:left w:w="15" w:type="dxa"/>
              <w:bottom w:w="0" w:type="dxa"/>
              <w:right w:w="15" w:type="dxa"/>
            </w:tcMar>
            <w:vAlign w:val="center"/>
          </w:tcPr>
          <w:p>
            <w:pPr>
              <w:spacing w:line="250" w:lineRule="exact"/>
              <w:jc w:val="center"/>
              <w:rPr>
                <w:rFonts w:hint="default"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vMerge w:val="continue"/>
            <w:tcBorders>
              <w:tl2br w:val="nil"/>
              <w:tr2bl w:val="nil"/>
            </w:tcBorders>
            <w:vAlign w:val="center"/>
          </w:tcPr>
          <w:p>
            <w:pPr>
              <w:spacing w:line="250" w:lineRule="exact"/>
              <w:rPr>
                <w:rFonts w:hint="eastAsia" w:asciiTheme="minorEastAsia" w:hAnsiTheme="minorEastAsia" w:eastAsiaTheme="minorEastAsia" w:cstheme="minorEastAsia"/>
                <w:color w:val="000000"/>
                <w:sz w:val="21"/>
                <w:szCs w:val="21"/>
              </w:rPr>
            </w:pPr>
          </w:p>
        </w:tc>
        <w:tc>
          <w:tcPr>
            <w:tcW w:w="479" w:type="dxa"/>
            <w:gridSpan w:val="2"/>
            <w:vMerge w:val="continue"/>
            <w:tcBorders>
              <w:tl2br w:val="nil"/>
              <w:tr2bl w:val="nil"/>
            </w:tcBorders>
            <w:tcMar>
              <w:top w:w="15" w:type="dxa"/>
              <w:left w:w="15" w:type="dxa"/>
              <w:bottom w:w="0" w:type="dxa"/>
              <w:right w:w="15" w:type="dxa"/>
            </w:tcMar>
            <w:vAlign w:val="center"/>
          </w:tcPr>
          <w:p>
            <w:pPr>
              <w:spacing w:line="250" w:lineRule="exact"/>
              <w:jc w:val="right"/>
              <w:rPr>
                <w:rFonts w:hint="eastAsia" w:asciiTheme="minorEastAsia" w:hAnsiTheme="minorEastAsia" w:eastAsia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lang w:eastAsia="zh-CN"/>
              </w:rPr>
            </w:pPr>
            <w:r>
              <w:rPr>
                <w:rFonts w:hint="eastAsia" w:asciiTheme="minorEastAsia" w:hAnsiTheme="minorEastAsia" w:eastAsiaTheme="minorEastAsia" w:cstheme="minorEastAsia"/>
                <w:color w:val="000000"/>
                <w:sz w:val="21"/>
                <w:szCs w:val="21"/>
              </w:rPr>
              <w:t>（1）基本支</w:t>
            </w:r>
            <w:r>
              <w:rPr>
                <w:rFonts w:hint="eastAsia" w:asciiTheme="minorEastAsia" w:hAnsiTheme="minorEastAsia" w:eastAsiaTheme="minorEastAsia" w:cstheme="minorEastAsia"/>
                <w:color w:val="000000"/>
                <w:sz w:val="21"/>
                <w:szCs w:val="21"/>
                <w:lang w:eastAsia="zh-CN"/>
              </w:rPr>
              <w:t>出</w:t>
            </w:r>
          </w:p>
        </w:tc>
        <w:tc>
          <w:tcPr>
            <w:tcW w:w="2309" w:type="dxa"/>
            <w:gridSpan w:val="4"/>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lang w:val="en-US" w:eastAsia="zh-CN"/>
              </w:rPr>
              <w:t>427.08万</w:t>
            </w:r>
            <w:r>
              <w:rPr>
                <w:rFonts w:hint="eastAsia" w:asciiTheme="minorEastAsia" w:hAnsiTheme="minorEastAsia" w:eastAsiaTheme="minorEastAsia" w:cstheme="minorEastAsia"/>
                <w:color w:val="000000"/>
                <w:sz w:val="21"/>
                <w:szCs w:val="21"/>
              </w:rPr>
              <w:t>　</w:t>
            </w:r>
          </w:p>
        </w:tc>
        <w:tc>
          <w:tcPr>
            <w:tcW w:w="2310" w:type="dxa"/>
            <w:gridSpan w:val="2"/>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lang w:val="en-US" w:eastAsia="zh-CN"/>
              </w:rPr>
              <w:t>427.08万</w:t>
            </w:r>
            <w:r>
              <w:rPr>
                <w:rFonts w:hint="eastAsia" w:asciiTheme="minorEastAsia" w:hAnsiTheme="minorEastAsia" w:eastAsiaTheme="minorEastAsia" w:cstheme="minorEastAsia"/>
                <w:color w:val="000000"/>
                <w:sz w:val="21"/>
                <w:szCs w:val="21"/>
              </w:rPr>
              <w:t>　</w:t>
            </w:r>
          </w:p>
        </w:tc>
        <w:tc>
          <w:tcPr>
            <w:tcW w:w="595" w:type="dxa"/>
            <w:tcBorders>
              <w:tl2br w:val="nil"/>
              <w:tr2bl w:val="nil"/>
            </w:tcBorders>
            <w:tcMar>
              <w:top w:w="15" w:type="dxa"/>
              <w:left w:w="15" w:type="dxa"/>
              <w:bottom w:w="0" w:type="dxa"/>
              <w:right w:w="15" w:type="dxa"/>
            </w:tcMar>
            <w:vAlign w:val="center"/>
          </w:tcPr>
          <w:p>
            <w:pPr>
              <w:spacing w:line="250" w:lineRule="exact"/>
              <w:jc w:val="center"/>
              <w:rPr>
                <w:rFonts w:hint="default"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vMerge w:val="continue"/>
            <w:tcBorders>
              <w:tl2br w:val="nil"/>
              <w:tr2bl w:val="nil"/>
            </w:tcBorders>
            <w:vAlign w:val="center"/>
          </w:tcPr>
          <w:p>
            <w:pPr>
              <w:spacing w:line="250" w:lineRule="exact"/>
              <w:rPr>
                <w:rFonts w:hint="eastAsia" w:asciiTheme="minorEastAsia" w:hAnsiTheme="minorEastAsia" w:eastAsiaTheme="minorEastAsia" w:cstheme="minorEastAsia"/>
                <w:color w:val="000000"/>
                <w:sz w:val="21"/>
                <w:szCs w:val="21"/>
              </w:rPr>
            </w:pPr>
          </w:p>
        </w:tc>
        <w:tc>
          <w:tcPr>
            <w:tcW w:w="479" w:type="dxa"/>
            <w:gridSpan w:val="2"/>
            <w:vMerge w:val="continue"/>
            <w:tcBorders>
              <w:tl2br w:val="nil"/>
              <w:tr2bl w:val="nil"/>
            </w:tcBorders>
            <w:tcMar>
              <w:top w:w="15" w:type="dxa"/>
              <w:left w:w="15" w:type="dxa"/>
              <w:bottom w:w="0" w:type="dxa"/>
              <w:right w:w="15" w:type="dxa"/>
            </w:tcMar>
            <w:vAlign w:val="center"/>
          </w:tcPr>
          <w:p>
            <w:pPr>
              <w:spacing w:line="250" w:lineRule="exact"/>
              <w:jc w:val="right"/>
              <w:rPr>
                <w:rFonts w:hint="eastAsia" w:asciiTheme="minorEastAsia" w:hAnsiTheme="minorEastAsia" w:eastAsia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pPr>
              <w:tabs>
                <w:tab w:val="left" w:pos="567"/>
              </w:tabs>
              <w:spacing w:line="250" w:lineRule="exact"/>
              <w:jc w:val="center"/>
              <w:rPr>
                <w:rFonts w:hint="eastAsia" w:asciiTheme="minorEastAsia" w:hAnsiTheme="minorEastAsia" w:eastAsiaTheme="minorEastAsia" w:cstheme="minorEastAsia"/>
                <w:color w:val="000000"/>
                <w:sz w:val="21"/>
                <w:szCs w:val="21"/>
                <w:lang w:eastAsia="zh-CN"/>
              </w:rPr>
            </w:pPr>
            <w:r>
              <w:rPr>
                <w:rFonts w:hint="eastAsia" w:asciiTheme="minorEastAsia" w:hAnsiTheme="minorEastAsia" w:eastAsiaTheme="minorEastAsia" w:cstheme="minorEastAsia"/>
                <w:color w:val="000000"/>
                <w:sz w:val="21"/>
                <w:szCs w:val="21"/>
              </w:rPr>
              <w:t>（2）项目支</w:t>
            </w:r>
            <w:r>
              <w:rPr>
                <w:rFonts w:hint="eastAsia" w:asciiTheme="minorEastAsia" w:hAnsiTheme="minorEastAsia" w:eastAsiaTheme="minorEastAsia" w:cstheme="minorEastAsia"/>
                <w:color w:val="000000"/>
                <w:sz w:val="21"/>
                <w:szCs w:val="21"/>
                <w:lang w:eastAsia="zh-CN"/>
              </w:rPr>
              <w:t>出</w:t>
            </w:r>
          </w:p>
        </w:tc>
        <w:tc>
          <w:tcPr>
            <w:tcW w:w="2309" w:type="dxa"/>
            <w:gridSpan w:val="4"/>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lang w:val="en-US" w:eastAsia="zh-CN"/>
              </w:rPr>
              <w:t>2105.14万</w:t>
            </w:r>
            <w:r>
              <w:rPr>
                <w:rFonts w:hint="eastAsia" w:asciiTheme="minorEastAsia" w:hAnsiTheme="minorEastAsia" w:eastAsiaTheme="minorEastAsia" w:cstheme="minorEastAsia"/>
                <w:color w:val="000000"/>
                <w:sz w:val="21"/>
                <w:szCs w:val="21"/>
              </w:rPr>
              <w:t>　</w:t>
            </w:r>
          </w:p>
        </w:tc>
        <w:tc>
          <w:tcPr>
            <w:tcW w:w="2310" w:type="dxa"/>
            <w:gridSpan w:val="2"/>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lang w:val="en-US" w:eastAsia="zh-CN"/>
              </w:rPr>
              <w:t>2105.14万</w:t>
            </w:r>
            <w:r>
              <w:rPr>
                <w:rFonts w:hint="eastAsia" w:asciiTheme="minorEastAsia" w:hAnsiTheme="minorEastAsia" w:eastAsiaTheme="minorEastAsia" w:cstheme="minorEastAsia"/>
                <w:color w:val="000000"/>
                <w:sz w:val="21"/>
                <w:szCs w:val="21"/>
              </w:rPr>
              <w:t>　</w:t>
            </w:r>
          </w:p>
        </w:tc>
        <w:tc>
          <w:tcPr>
            <w:tcW w:w="595" w:type="dxa"/>
            <w:tcBorders>
              <w:tl2br w:val="nil"/>
              <w:tr2bl w:val="nil"/>
            </w:tcBorders>
            <w:tcMar>
              <w:top w:w="15" w:type="dxa"/>
              <w:left w:w="15" w:type="dxa"/>
              <w:bottom w:w="0" w:type="dxa"/>
              <w:right w:w="15" w:type="dxa"/>
            </w:tcMar>
            <w:vAlign w:val="center"/>
          </w:tcPr>
          <w:p>
            <w:pPr>
              <w:spacing w:line="250" w:lineRule="exact"/>
              <w:jc w:val="center"/>
              <w:rPr>
                <w:rFonts w:hint="default"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628" w:hRule="atLeast"/>
          <w:jc w:val="center"/>
        </w:trPr>
        <w:tc>
          <w:tcPr>
            <w:tcW w:w="1097" w:type="dxa"/>
            <w:gridSpan w:val="3"/>
            <w:vMerge w:val="restart"/>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年度总</w:t>
            </w:r>
          </w:p>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体目标</w:t>
            </w:r>
          </w:p>
        </w:tc>
        <w:tc>
          <w:tcPr>
            <w:tcW w:w="3983" w:type="dxa"/>
            <w:gridSpan w:val="8"/>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年初设定目标</w:t>
            </w:r>
          </w:p>
        </w:tc>
        <w:tc>
          <w:tcPr>
            <w:tcW w:w="3983" w:type="dxa"/>
            <w:gridSpan w:val="6"/>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全年完成情况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350" w:hRule="atLeast"/>
          <w:jc w:val="center"/>
        </w:trPr>
        <w:tc>
          <w:tcPr>
            <w:tcW w:w="1097" w:type="dxa"/>
            <w:gridSpan w:val="3"/>
            <w:vMerge w:val="continue"/>
            <w:tcBorders>
              <w:tl2br w:val="nil"/>
              <w:tr2bl w:val="nil"/>
            </w:tcBorders>
            <w:vAlign w:val="center"/>
          </w:tcPr>
          <w:p>
            <w:pPr>
              <w:spacing w:line="250" w:lineRule="exact"/>
              <w:rPr>
                <w:rFonts w:hint="eastAsia" w:asciiTheme="minorEastAsia" w:hAnsiTheme="minorEastAsia" w:eastAsiaTheme="minorEastAsia" w:cstheme="minorEastAsia"/>
                <w:color w:val="000000"/>
                <w:sz w:val="18"/>
                <w:szCs w:val="18"/>
              </w:rPr>
            </w:pPr>
          </w:p>
        </w:tc>
        <w:tc>
          <w:tcPr>
            <w:tcW w:w="3983" w:type="dxa"/>
            <w:gridSpan w:val="8"/>
            <w:tcBorders>
              <w:tl2br w:val="nil"/>
              <w:tr2bl w:val="nil"/>
            </w:tcBorders>
            <w:tcMar>
              <w:top w:w="15" w:type="dxa"/>
              <w:left w:w="15" w:type="dxa"/>
              <w:bottom w:w="0" w:type="dxa"/>
              <w:right w:w="15" w:type="dxa"/>
            </w:tcMar>
            <w:vAlign w:val="center"/>
          </w:tcPr>
          <w:p>
            <w:pPr>
              <w:spacing w:line="250" w:lineRule="exact"/>
              <w:jc w:val="both"/>
              <w:rPr>
                <w:rFonts w:hint="eastAsia"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21"/>
                <w:szCs w:val="21"/>
                <w:lang w:eastAsia="zh-CN"/>
              </w:rPr>
              <w:t>补农村短板，促农业增效，增农民收入。帮</w:t>
            </w:r>
            <w:r>
              <w:rPr>
                <w:rFonts w:hint="eastAsia" w:asciiTheme="minorEastAsia" w:hAnsiTheme="minorEastAsia" w:eastAsiaTheme="minorEastAsia" w:cstheme="minorEastAsia"/>
                <w:color w:val="000000"/>
                <w:sz w:val="21"/>
                <w:szCs w:val="21"/>
              </w:rPr>
              <w:t>助企业健康快速发展、</w:t>
            </w:r>
            <w:r>
              <w:rPr>
                <w:rFonts w:hint="eastAsia" w:asciiTheme="minorEastAsia" w:hAnsiTheme="minorEastAsia" w:eastAsiaTheme="minorEastAsia" w:cstheme="minorEastAsia"/>
                <w:color w:val="000000"/>
                <w:sz w:val="21"/>
                <w:szCs w:val="21"/>
                <w:lang w:eastAsia="zh-CN"/>
              </w:rPr>
              <w:t>增加劳动群众</w:t>
            </w:r>
            <w:r>
              <w:rPr>
                <w:rFonts w:hint="eastAsia" w:asciiTheme="minorEastAsia" w:hAnsiTheme="minorEastAsia" w:eastAsiaTheme="minorEastAsia" w:cstheme="minorEastAsia"/>
                <w:color w:val="000000"/>
                <w:sz w:val="21"/>
                <w:szCs w:val="21"/>
              </w:rPr>
              <w:t>就业率，加快推进园区产业发展和农业现代化进程，最后形成良好的经济、社会、</w:t>
            </w:r>
            <w:r>
              <w:rPr>
                <w:rFonts w:hint="eastAsia" w:asciiTheme="minorEastAsia" w:hAnsiTheme="minorEastAsia" w:eastAsiaTheme="minorEastAsia" w:cstheme="minorEastAsia"/>
                <w:color w:val="000000"/>
                <w:sz w:val="21"/>
                <w:szCs w:val="21"/>
                <w:lang w:eastAsia="zh-CN"/>
              </w:rPr>
              <w:t>生态</w:t>
            </w:r>
            <w:r>
              <w:rPr>
                <w:rFonts w:hint="eastAsia" w:asciiTheme="minorEastAsia" w:hAnsiTheme="minorEastAsia" w:eastAsiaTheme="minorEastAsia" w:cstheme="minorEastAsia"/>
                <w:color w:val="000000"/>
                <w:sz w:val="21"/>
                <w:szCs w:val="21"/>
              </w:rPr>
              <w:t>效益。</w:t>
            </w:r>
            <w:r>
              <w:rPr>
                <w:rFonts w:hint="eastAsia" w:asciiTheme="minorEastAsia" w:hAnsiTheme="minorEastAsia" w:eastAsiaTheme="minorEastAsia" w:cstheme="minorEastAsia"/>
                <w:color w:val="000000"/>
                <w:sz w:val="18"/>
                <w:szCs w:val="18"/>
              </w:rPr>
              <w:t>　</w:t>
            </w:r>
          </w:p>
        </w:tc>
        <w:tc>
          <w:tcPr>
            <w:tcW w:w="3983" w:type="dxa"/>
            <w:gridSpan w:val="6"/>
            <w:tcBorders>
              <w:tl2br w:val="nil"/>
              <w:tr2bl w:val="nil"/>
            </w:tcBorders>
            <w:tcMar>
              <w:top w:w="15" w:type="dxa"/>
              <w:left w:w="15" w:type="dxa"/>
              <w:bottom w:w="0" w:type="dxa"/>
              <w:right w:w="15" w:type="dxa"/>
            </w:tcMar>
            <w:vAlign w:val="center"/>
          </w:tcPr>
          <w:p>
            <w:pPr>
              <w:spacing w:line="250" w:lineRule="exact"/>
              <w:jc w:val="both"/>
              <w:rPr>
                <w:rFonts w:hint="eastAsia"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21"/>
                <w:szCs w:val="21"/>
                <w:lang w:eastAsia="zh-CN"/>
              </w:rPr>
              <w:t>帮助企业健康快速发展、增加劳动群众就业率，着重推进了望城蔬菜产业链发展；有效整合</w:t>
            </w:r>
            <w:r>
              <w:rPr>
                <w:rFonts w:hint="eastAsia" w:asciiTheme="minorEastAsia" w:hAnsiTheme="minorEastAsia" w:eastAsiaTheme="minorEastAsia" w:cstheme="minorEastAsia"/>
                <w:color w:val="000000"/>
                <w:sz w:val="21"/>
                <w:szCs w:val="21"/>
                <w:lang w:val="en-US" w:eastAsia="zh-CN"/>
              </w:rPr>
              <w:t>资源，搭建服务平台；</w:t>
            </w:r>
            <w:r>
              <w:rPr>
                <w:rFonts w:hint="eastAsia" w:asciiTheme="minorEastAsia" w:hAnsiTheme="minorEastAsia" w:eastAsiaTheme="minorEastAsia" w:cstheme="minorEastAsia"/>
                <w:color w:val="000000"/>
                <w:sz w:val="21"/>
                <w:szCs w:val="21"/>
                <w:lang w:eastAsia="zh-CN"/>
              </w:rPr>
              <w:t>完善产业链条，推进品牌提升；加快推进农业现代化进程，带来了良好的经济、社会、生态效益。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451" w:hRule="atLeast"/>
          <w:jc w:val="center"/>
        </w:trPr>
        <w:tc>
          <w:tcPr>
            <w:tcW w:w="9063" w:type="dxa"/>
            <w:gridSpan w:val="17"/>
            <w:tcBorders>
              <w:tl2br w:val="nil"/>
              <w:tr2bl w:val="nil"/>
            </w:tcBorders>
            <w:vAlign w:val="center"/>
          </w:tcPr>
          <w:p>
            <w:pPr>
              <w:spacing w:line="250" w:lineRule="exact"/>
              <w:jc w:val="center"/>
              <w:rPr>
                <w:rFonts w:hint="eastAsia"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rPr>
              <w:t>分解目标自评</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blHeader/>
          <w:jc w:val="center"/>
        </w:trPr>
        <w:tc>
          <w:tcPr>
            <w:tcW w:w="50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一级指标</w:t>
            </w:r>
          </w:p>
        </w:tc>
        <w:tc>
          <w:tcPr>
            <w:tcW w:w="50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分值</w:t>
            </w:r>
          </w:p>
        </w:tc>
        <w:tc>
          <w:tcPr>
            <w:tcW w:w="503" w:type="dxa"/>
            <w:gridSpan w:val="2"/>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二级</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指标</w:t>
            </w:r>
          </w:p>
        </w:tc>
        <w:tc>
          <w:tcPr>
            <w:tcW w:w="503" w:type="dxa"/>
            <w:gridSpan w:val="2"/>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分值</w:t>
            </w:r>
          </w:p>
        </w:tc>
        <w:tc>
          <w:tcPr>
            <w:tcW w:w="783" w:type="dxa"/>
            <w:gridSpan w:val="2"/>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三级</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指标</w:t>
            </w:r>
          </w:p>
        </w:tc>
        <w:tc>
          <w:tcPr>
            <w:tcW w:w="51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分值</w:t>
            </w:r>
          </w:p>
        </w:tc>
        <w:tc>
          <w:tcPr>
            <w:tcW w:w="2483" w:type="dxa"/>
            <w:gridSpan w:val="4"/>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评价标准</w:t>
            </w:r>
          </w:p>
        </w:tc>
        <w:tc>
          <w:tcPr>
            <w:tcW w:w="2673" w:type="dxa"/>
            <w:gridSpan w:val="3"/>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指标说明</w:t>
            </w:r>
          </w:p>
        </w:tc>
        <w:tc>
          <w:tcPr>
            <w:tcW w:w="59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得分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680" w:hRule="atLeast"/>
          <w:jc w:val="center"/>
        </w:trPr>
        <w:tc>
          <w:tcPr>
            <w:tcW w:w="503" w:type="dxa"/>
            <w:vMerge w:val="restart"/>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投入</w:t>
            </w:r>
          </w:p>
        </w:tc>
        <w:tc>
          <w:tcPr>
            <w:tcW w:w="503" w:type="dxa"/>
            <w:vMerge w:val="restart"/>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w:t>
            </w:r>
          </w:p>
        </w:tc>
        <w:tc>
          <w:tcPr>
            <w:tcW w:w="503" w:type="dxa"/>
            <w:gridSpan w:val="2"/>
            <w:vMerge w:val="restart"/>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预算配置</w:t>
            </w:r>
          </w:p>
        </w:tc>
        <w:tc>
          <w:tcPr>
            <w:tcW w:w="503" w:type="dxa"/>
            <w:gridSpan w:val="2"/>
            <w:vMerge w:val="restart"/>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w:t>
            </w:r>
          </w:p>
        </w:tc>
        <w:tc>
          <w:tcPr>
            <w:tcW w:w="783" w:type="dxa"/>
            <w:gridSpan w:val="2"/>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在职人员控制率</w:t>
            </w:r>
          </w:p>
        </w:tc>
        <w:tc>
          <w:tcPr>
            <w:tcW w:w="517" w:type="dxa"/>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4"/>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以100%为标准。在职人员控制率≦100%，计5分；每超过一个百分点扣0.5分，扣完为止。</w:t>
            </w:r>
          </w:p>
        </w:tc>
        <w:tc>
          <w:tcPr>
            <w:tcW w:w="2673" w:type="dxa"/>
            <w:gridSpan w:val="3"/>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在职人员控制率=（在职人员数/编制数）×100%，在职人员数：部门（单位）实际在职人数，以财政厅确定的部门决算编制口径为准。</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编制数：机构编制部门核定批复的部门（单位）的人员编制数。</w:t>
            </w:r>
          </w:p>
        </w:tc>
        <w:tc>
          <w:tcPr>
            <w:tcW w:w="595" w:type="dxa"/>
            <w:tcBorders>
              <w:tl2br w:val="nil"/>
              <w:tr2bl w:val="nil"/>
            </w:tcBorders>
            <w:vAlign w:val="center"/>
          </w:tcPr>
          <w:p>
            <w:pPr>
              <w:spacing w:line="240" w:lineRule="exact"/>
              <w:jc w:val="center"/>
              <w:rPr>
                <w:rFonts w:hint="eastAsia"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849" w:hRule="atLeast"/>
          <w:jc w:val="center"/>
        </w:trPr>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“三公经费”变动率</w:t>
            </w:r>
          </w:p>
        </w:tc>
        <w:tc>
          <w:tcPr>
            <w:tcW w:w="517" w:type="dxa"/>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4"/>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“三公经费”变动率≦0,计5分；“三公经费”＞0，每超过一个百分点扣0.8分，扣完为止。</w:t>
            </w:r>
          </w:p>
        </w:tc>
        <w:tc>
          <w:tcPr>
            <w:tcW w:w="2673" w:type="dxa"/>
            <w:gridSpan w:val="3"/>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“三公经费”变动率=[（本年度“三公经费”预算数-上年度“三公经费”预算数）/上年度“三公经费”预算数]×100%</w:t>
            </w:r>
          </w:p>
        </w:tc>
        <w:tc>
          <w:tcPr>
            <w:tcW w:w="595" w:type="dxa"/>
            <w:tcBorders>
              <w:tl2br w:val="nil"/>
              <w:tr2bl w:val="nil"/>
            </w:tcBorders>
            <w:vAlign w:val="center"/>
          </w:tcPr>
          <w:p>
            <w:pPr>
              <w:spacing w:line="240" w:lineRule="exact"/>
              <w:jc w:val="center"/>
              <w:rPr>
                <w:rFonts w:hint="default"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restart"/>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过</w:t>
            </w:r>
          </w:p>
          <w:p>
            <w:pPr>
              <w:spacing w:line="240" w:lineRule="exact"/>
              <w:jc w:val="center"/>
              <w:rPr>
                <w:rFonts w:hint="eastAsia" w:asciiTheme="minorEastAsia" w:hAnsiTheme="minorEastAsia" w:eastAsiaTheme="minorEastAsia" w:cstheme="minorEastAsia"/>
                <w:kern w:val="0"/>
                <w:sz w:val="18"/>
                <w:szCs w:val="18"/>
              </w:rPr>
            </w:pPr>
          </w:p>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程</w:t>
            </w:r>
          </w:p>
        </w:tc>
        <w:tc>
          <w:tcPr>
            <w:tcW w:w="503" w:type="dxa"/>
            <w:vMerge w:val="restart"/>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60</w:t>
            </w:r>
          </w:p>
        </w:tc>
        <w:tc>
          <w:tcPr>
            <w:tcW w:w="503" w:type="dxa"/>
            <w:gridSpan w:val="2"/>
            <w:vMerge w:val="restart"/>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预算执行</w:t>
            </w:r>
          </w:p>
        </w:tc>
        <w:tc>
          <w:tcPr>
            <w:tcW w:w="503" w:type="dxa"/>
            <w:gridSpan w:val="2"/>
            <w:vMerge w:val="restart"/>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20</w:t>
            </w:r>
          </w:p>
        </w:tc>
        <w:tc>
          <w:tcPr>
            <w:tcW w:w="783" w:type="dxa"/>
            <w:gridSpan w:val="2"/>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预算完成率</w:t>
            </w:r>
          </w:p>
        </w:tc>
        <w:tc>
          <w:tcPr>
            <w:tcW w:w="517" w:type="dxa"/>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4"/>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100%计满分，每低于5%扣2分，扣完为止。</w:t>
            </w:r>
          </w:p>
        </w:tc>
        <w:tc>
          <w:tcPr>
            <w:tcW w:w="2673" w:type="dxa"/>
            <w:gridSpan w:val="3"/>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预算完成率=（上年结转+年初预算+本年追加预算-年末结余）/（上年结转+年初预算+本年追加预算）×100%。</w:t>
            </w:r>
          </w:p>
        </w:tc>
        <w:tc>
          <w:tcPr>
            <w:tcW w:w="595" w:type="dxa"/>
            <w:tcBorders>
              <w:tl2br w:val="nil"/>
              <w:tr2bl w:val="nil"/>
            </w:tcBorders>
            <w:vAlign w:val="center"/>
          </w:tcPr>
          <w:p>
            <w:pPr>
              <w:spacing w:line="240" w:lineRule="exact"/>
              <w:jc w:val="center"/>
              <w:rPr>
                <w:rFonts w:hint="eastAsia"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预算控制率</w:t>
            </w:r>
          </w:p>
        </w:tc>
        <w:tc>
          <w:tcPr>
            <w:tcW w:w="517" w:type="dxa"/>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4"/>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预算控制率=0，计5分；0-10%（含），计4分；10-20%（含），计3分；20-30%（含），计2分；大于30%不得分。</w:t>
            </w:r>
          </w:p>
        </w:tc>
        <w:tc>
          <w:tcPr>
            <w:tcW w:w="2673" w:type="dxa"/>
            <w:gridSpan w:val="3"/>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预算控制率=（本年追加预算/年初预算）×100%。</w:t>
            </w:r>
          </w:p>
        </w:tc>
        <w:tc>
          <w:tcPr>
            <w:tcW w:w="595" w:type="dxa"/>
            <w:tcBorders>
              <w:tl2br w:val="nil"/>
              <w:tr2bl w:val="nil"/>
            </w:tcBorders>
            <w:vAlign w:val="center"/>
          </w:tcPr>
          <w:p>
            <w:pPr>
              <w:spacing w:line="240" w:lineRule="exact"/>
              <w:jc w:val="center"/>
              <w:rPr>
                <w:rFonts w:hint="eastAsia"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新建楼堂馆所面积控制率</w:t>
            </w:r>
          </w:p>
        </w:tc>
        <w:tc>
          <w:tcPr>
            <w:tcW w:w="517" w:type="dxa"/>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4"/>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100%以下（含）计满分，每超出5%扣2分，扣完为止。没有楼堂馆所项目的部门按满分计算。</w:t>
            </w:r>
          </w:p>
        </w:tc>
        <w:tc>
          <w:tcPr>
            <w:tcW w:w="2673" w:type="dxa"/>
            <w:gridSpan w:val="3"/>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楼堂馆所面积控制率=实际建设面积/批准建设面积×100% 。</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该指标以当年完工的新建楼堂馆所为评价内容。</w:t>
            </w:r>
          </w:p>
        </w:tc>
        <w:tc>
          <w:tcPr>
            <w:tcW w:w="595" w:type="dxa"/>
            <w:tcBorders>
              <w:tl2br w:val="nil"/>
              <w:tr2bl w:val="nil"/>
            </w:tcBorders>
            <w:vAlign w:val="center"/>
          </w:tcPr>
          <w:p>
            <w:pPr>
              <w:spacing w:line="240" w:lineRule="exact"/>
              <w:jc w:val="center"/>
              <w:rPr>
                <w:rFonts w:hint="eastAsia"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新建楼堂馆所投资概算控制率</w:t>
            </w:r>
          </w:p>
        </w:tc>
        <w:tc>
          <w:tcPr>
            <w:tcW w:w="517" w:type="dxa"/>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4"/>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100%以下（含）计满分，每超出5%扣2分，扣完为止。</w:t>
            </w:r>
          </w:p>
        </w:tc>
        <w:tc>
          <w:tcPr>
            <w:tcW w:w="2673" w:type="dxa"/>
            <w:gridSpan w:val="3"/>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楼堂馆所投资预算控制率=实际投资金额/批准投资金额×100% 。</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该指标以当年完工的新建楼堂馆所为评价内容。</w:t>
            </w:r>
          </w:p>
        </w:tc>
        <w:tc>
          <w:tcPr>
            <w:tcW w:w="595" w:type="dxa"/>
            <w:tcBorders>
              <w:tl2br w:val="nil"/>
              <w:tr2bl w:val="nil"/>
            </w:tcBorders>
            <w:vAlign w:val="center"/>
          </w:tcPr>
          <w:p>
            <w:pPr>
              <w:spacing w:line="240" w:lineRule="exact"/>
              <w:jc w:val="center"/>
              <w:rPr>
                <w:rFonts w:hint="eastAsia"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gridSpan w:val="2"/>
            <w:vMerge w:val="restart"/>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预算管理</w:t>
            </w:r>
          </w:p>
        </w:tc>
        <w:tc>
          <w:tcPr>
            <w:tcW w:w="503" w:type="dxa"/>
            <w:gridSpan w:val="2"/>
            <w:vMerge w:val="restart"/>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40</w:t>
            </w:r>
          </w:p>
        </w:tc>
        <w:tc>
          <w:tcPr>
            <w:tcW w:w="783" w:type="dxa"/>
            <w:gridSpan w:val="2"/>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公用经费控制率</w:t>
            </w:r>
          </w:p>
        </w:tc>
        <w:tc>
          <w:tcPr>
            <w:tcW w:w="517" w:type="dxa"/>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8</w:t>
            </w:r>
          </w:p>
        </w:tc>
        <w:tc>
          <w:tcPr>
            <w:tcW w:w="2483" w:type="dxa"/>
            <w:gridSpan w:val="4"/>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100%以下（含）计满分，每超出1%扣1分，扣完为止。</w:t>
            </w:r>
          </w:p>
        </w:tc>
        <w:tc>
          <w:tcPr>
            <w:tcW w:w="2673" w:type="dxa"/>
            <w:gridSpan w:val="3"/>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公用经费控制率=（实际支出公用经费总额/预算安排公用经费总额）×100%。</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公用经费支出是指部门基本支出中的一般商品和服务支出。</w:t>
            </w:r>
          </w:p>
        </w:tc>
        <w:tc>
          <w:tcPr>
            <w:tcW w:w="595" w:type="dxa"/>
            <w:tcBorders>
              <w:tl2br w:val="nil"/>
              <w:tr2bl w:val="nil"/>
            </w:tcBorders>
            <w:vAlign w:val="center"/>
          </w:tcPr>
          <w:p>
            <w:pPr>
              <w:spacing w:line="240" w:lineRule="exact"/>
              <w:jc w:val="center"/>
              <w:rPr>
                <w:rFonts w:hint="eastAsia"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“三公经费”控制率</w:t>
            </w:r>
          </w:p>
        </w:tc>
        <w:tc>
          <w:tcPr>
            <w:tcW w:w="517" w:type="dxa"/>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7</w:t>
            </w:r>
          </w:p>
        </w:tc>
        <w:tc>
          <w:tcPr>
            <w:tcW w:w="2483" w:type="dxa"/>
            <w:gridSpan w:val="4"/>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100%以下（含）计满分，每超出1%扣1分，扣完为止。</w:t>
            </w:r>
          </w:p>
        </w:tc>
        <w:tc>
          <w:tcPr>
            <w:tcW w:w="2673" w:type="dxa"/>
            <w:gridSpan w:val="3"/>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“三公经费”控制率=（“三公经费”实际支出数/“三公经费”预算安排数）×100%。</w:t>
            </w:r>
          </w:p>
        </w:tc>
        <w:tc>
          <w:tcPr>
            <w:tcW w:w="595" w:type="dxa"/>
            <w:tcBorders>
              <w:tl2br w:val="nil"/>
              <w:tr2bl w:val="nil"/>
            </w:tcBorders>
            <w:vAlign w:val="center"/>
          </w:tcPr>
          <w:p>
            <w:pPr>
              <w:spacing w:line="240" w:lineRule="exact"/>
              <w:jc w:val="center"/>
              <w:rPr>
                <w:rFonts w:hint="eastAsia"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7</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政府采购执行率</w:t>
            </w:r>
          </w:p>
        </w:tc>
        <w:tc>
          <w:tcPr>
            <w:tcW w:w="517" w:type="dxa"/>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6</w:t>
            </w:r>
          </w:p>
        </w:tc>
        <w:tc>
          <w:tcPr>
            <w:tcW w:w="2483" w:type="dxa"/>
            <w:gridSpan w:val="4"/>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100%计满分，每超过（降低）5%扣2分。扣完为止。</w:t>
            </w:r>
          </w:p>
        </w:tc>
        <w:tc>
          <w:tcPr>
            <w:tcW w:w="2673" w:type="dxa"/>
            <w:gridSpan w:val="3"/>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政府采购执行率=（实际政府采购金额/政府采购预算数）×100%</w:t>
            </w:r>
          </w:p>
        </w:tc>
        <w:tc>
          <w:tcPr>
            <w:tcW w:w="595" w:type="dxa"/>
            <w:tcBorders>
              <w:tl2br w:val="nil"/>
              <w:tr2bl w:val="nil"/>
            </w:tcBorders>
            <w:vAlign w:val="center"/>
          </w:tcPr>
          <w:p>
            <w:pPr>
              <w:spacing w:line="240" w:lineRule="exact"/>
              <w:jc w:val="center"/>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kern w:val="0"/>
                <w:sz w:val="18"/>
                <w:szCs w:val="18"/>
                <w:lang w:val="en-US" w:eastAsia="zh-CN"/>
              </w:rPr>
              <w:t>2</w:t>
            </w:r>
            <w:r>
              <w:rPr>
                <w:rFonts w:hint="eastAsia" w:asciiTheme="minorEastAsia" w:hAnsiTheme="minorEastAsia" w:eastAsiaTheme="minorEastAsia" w:cstheme="minorEastAsia"/>
                <w:kern w:val="0"/>
                <w:sz w:val="18"/>
                <w:szCs w:val="18"/>
                <w:shd w:val="clear" w:color="auto" w:fill="FFFFFF"/>
              </w:rPr>
              <w:fldChar w:fldCharType="begin">
                <w:fldData xml:space="preserve">QQAyADgAOAA0ADIANgBBAEUANwBDADYANABEADMARABCADQAQgA1ADEAQgAzAEIAQgBBAEIARAAy
ADcARQAzAA==
</w:fldData>
              </w:fldChar>
            </w:r>
            <w:r>
              <w:rPr>
                <w:rFonts w:hint="eastAsia" w:asciiTheme="minorEastAsia" w:hAnsiTheme="minorEastAsia" w:eastAsiaTheme="minorEastAsia" w:cstheme="minorEastAsia"/>
                <w:kern w:val="0"/>
                <w:sz w:val="18"/>
                <w:szCs w:val="18"/>
                <w:shd w:val="clear" w:color="auto" w:fill="FFFFFF"/>
              </w:rPr>
              <w:instrText xml:space="preserve">Addin PF9</w:instrText>
            </w:r>
            <w:r>
              <w:rPr>
                <w:rFonts w:hint="eastAsia" w:asciiTheme="minorEastAsia" w:hAnsiTheme="minorEastAsia" w:eastAsiaTheme="minorEastAsia" w:cstheme="minorEastAsia"/>
                <w:kern w:val="0"/>
                <w:sz w:val="18"/>
                <w:szCs w:val="18"/>
                <w:shd w:val="clear" w:color="auto" w:fill="FFFFFF"/>
              </w:rPr>
              <w:fldChar w:fldCharType="separate"/>
            </w:r>
            <w:r>
              <w:rPr>
                <w:rFonts w:hint="eastAsia" w:asciiTheme="minorEastAsia" w:hAnsiTheme="minorEastAsia" w:eastAsiaTheme="minorEastAsia" w:cstheme="minorEastAsia"/>
                <w:kern w:val="0"/>
                <w:sz w:val="18"/>
                <w:szCs w:val="18"/>
                <w:shd w:val="clear" w:color="auto" w:fill="FFFFFF"/>
              </w:rPr>
              <w:fldChar w:fldCharType="end"/>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2016" w:hRule="atLeast"/>
          <w:jc w:val="center"/>
        </w:trPr>
        <w:tc>
          <w:tcPr>
            <w:tcW w:w="503" w:type="dxa"/>
            <w:vMerge w:val="continue"/>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管理制度健全性</w:t>
            </w:r>
          </w:p>
        </w:tc>
        <w:tc>
          <w:tcPr>
            <w:tcW w:w="517" w:type="dxa"/>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8</w:t>
            </w:r>
          </w:p>
        </w:tc>
        <w:tc>
          <w:tcPr>
            <w:tcW w:w="2483" w:type="dxa"/>
            <w:gridSpan w:val="4"/>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60" w:lineRule="exact"/>
              <w:jc w:val="left"/>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①有内部财务管理制度、会计核算制度等管理制度，2分；</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②有本部门厉行节约制度,2分；</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③相关管理制度合法、合规、完整，2分；④相关管理制度得到有效执行，2分。</w:t>
            </w:r>
          </w:p>
        </w:tc>
        <w:tc>
          <w:tcPr>
            <w:tcW w:w="2673" w:type="dxa"/>
            <w:gridSpan w:val="3"/>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　</w:t>
            </w:r>
          </w:p>
        </w:tc>
        <w:tc>
          <w:tcPr>
            <w:tcW w:w="595" w:type="dxa"/>
            <w:tcBorders>
              <w:tl2br w:val="nil"/>
              <w:tr2bl w:val="nil"/>
            </w:tcBorders>
            <w:vAlign w:val="center"/>
          </w:tcPr>
          <w:p>
            <w:pPr>
              <w:spacing w:line="280" w:lineRule="exact"/>
              <w:jc w:val="center"/>
              <w:rPr>
                <w:rFonts w:hint="eastAsia"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2485" w:hRule="atLeast"/>
          <w:jc w:val="center"/>
        </w:trPr>
        <w:tc>
          <w:tcPr>
            <w:tcW w:w="503" w:type="dxa"/>
            <w:vMerge w:val="restart"/>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过</w:t>
            </w:r>
          </w:p>
          <w:p>
            <w:pPr>
              <w:spacing w:line="240" w:lineRule="exact"/>
              <w:jc w:val="center"/>
              <w:rPr>
                <w:rFonts w:hint="eastAsia" w:asciiTheme="minorEastAsia" w:hAnsiTheme="minorEastAsia" w:eastAsiaTheme="minorEastAsia" w:cstheme="minorEastAsia"/>
                <w:kern w:val="0"/>
                <w:sz w:val="18"/>
                <w:szCs w:val="18"/>
              </w:rPr>
            </w:pPr>
          </w:p>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程</w:t>
            </w:r>
          </w:p>
        </w:tc>
        <w:tc>
          <w:tcPr>
            <w:tcW w:w="503" w:type="dxa"/>
            <w:vMerge w:val="restart"/>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lang w:val="en-US" w:eastAsia="zh-CN"/>
              </w:rPr>
            </w:pPr>
            <w:r>
              <w:rPr>
                <w:rFonts w:hint="eastAsia" w:asciiTheme="minorEastAsia" w:hAnsiTheme="minorEastAsia" w:eastAsiaTheme="minorEastAsia" w:cstheme="minorEastAsia"/>
                <w:kern w:val="0"/>
                <w:sz w:val="18"/>
                <w:szCs w:val="18"/>
                <w:lang w:val="en-US" w:eastAsia="zh-CN"/>
              </w:rPr>
              <w:t>60</w:t>
            </w:r>
          </w:p>
        </w:tc>
        <w:tc>
          <w:tcPr>
            <w:tcW w:w="503" w:type="dxa"/>
            <w:gridSpan w:val="2"/>
            <w:vMerge w:val="restart"/>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预算管理</w:t>
            </w:r>
          </w:p>
        </w:tc>
        <w:tc>
          <w:tcPr>
            <w:tcW w:w="503" w:type="dxa"/>
            <w:gridSpan w:val="2"/>
            <w:vMerge w:val="restart"/>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lang w:val="en-US" w:eastAsia="zh-CN"/>
              </w:rPr>
            </w:pPr>
            <w:r>
              <w:rPr>
                <w:rFonts w:hint="eastAsia" w:asciiTheme="minorEastAsia" w:hAnsiTheme="minorEastAsia" w:eastAsiaTheme="minorEastAsia" w:cstheme="minorEastAsia"/>
                <w:kern w:val="0"/>
                <w:sz w:val="18"/>
                <w:szCs w:val="18"/>
                <w:lang w:val="en-US" w:eastAsia="zh-CN"/>
              </w:rPr>
              <w:t>40</w:t>
            </w:r>
          </w:p>
        </w:tc>
        <w:tc>
          <w:tcPr>
            <w:tcW w:w="783" w:type="dxa"/>
            <w:gridSpan w:val="2"/>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资金使用合规性</w:t>
            </w:r>
          </w:p>
        </w:tc>
        <w:tc>
          <w:tcPr>
            <w:tcW w:w="517" w:type="dxa"/>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6</w:t>
            </w:r>
          </w:p>
        </w:tc>
        <w:tc>
          <w:tcPr>
            <w:tcW w:w="2483" w:type="dxa"/>
            <w:gridSpan w:val="4"/>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60" w:lineRule="exact"/>
              <w:jc w:val="left"/>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①支出符合国家财经法规和财务管理制度规定以及有关专项资金管理办法的规定；②资金拨付有完整的审批程序和手续；③项目支出按规定经过评估论证；④支出符合部门预算批复的用途；⑤资金使用无截留、挤占、挪用、虚列支出等情况。</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以上情况每出现一例不符合要求的扣1分，扣完为止。</w:t>
            </w:r>
          </w:p>
        </w:tc>
        <w:tc>
          <w:tcPr>
            <w:tcW w:w="2673" w:type="dxa"/>
            <w:gridSpan w:val="3"/>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　</w:t>
            </w:r>
          </w:p>
        </w:tc>
        <w:tc>
          <w:tcPr>
            <w:tcW w:w="595" w:type="dxa"/>
            <w:tcBorders>
              <w:tl2br w:val="nil"/>
              <w:tr2bl w:val="nil"/>
            </w:tcBorders>
            <w:vAlign w:val="center"/>
          </w:tcPr>
          <w:p>
            <w:pPr>
              <w:spacing w:line="280" w:lineRule="exact"/>
              <w:jc w:val="center"/>
              <w:rPr>
                <w:rFonts w:hint="eastAsia"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865" w:hRule="atLeast"/>
          <w:jc w:val="center"/>
        </w:trPr>
        <w:tc>
          <w:tcPr>
            <w:tcW w:w="503"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预决算信息公开性</w:t>
            </w:r>
          </w:p>
        </w:tc>
        <w:tc>
          <w:tcPr>
            <w:tcW w:w="517" w:type="dxa"/>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4"/>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60" w:lineRule="exact"/>
              <w:jc w:val="left"/>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 xml:space="preserve">①按规定内容公开预决算信息，1分；②按规定时限公开预决算信息，1分；③基础数据信息和会计信息资料真实，1分；④基础数据信息和会计信息资料完整，1分；⑤基础数据信息和汇集信息资料准确，1分。  </w:t>
            </w:r>
          </w:p>
        </w:tc>
        <w:tc>
          <w:tcPr>
            <w:tcW w:w="2673" w:type="dxa"/>
            <w:gridSpan w:val="3"/>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预决算信息是指与部门预算、执行、决算、监督、绩效等管理相关的信息。</w:t>
            </w:r>
          </w:p>
        </w:tc>
        <w:tc>
          <w:tcPr>
            <w:tcW w:w="595" w:type="dxa"/>
            <w:tcBorders>
              <w:tl2br w:val="nil"/>
              <w:tr2bl w:val="nil"/>
            </w:tcBorders>
            <w:vAlign w:val="center"/>
          </w:tcPr>
          <w:p>
            <w:pPr>
              <w:spacing w:line="280" w:lineRule="exact"/>
              <w:jc w:val="center"/>
              <w:rPr>
                <w:rFonts w:hint="eastAsia"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735" w:hRule="atLeast"/>
          <w:jc w:val="center"/>
        </w:trPr>
        <w:tc>
          <w:tcPr>
            <w:tcW w:w="503" w:type="dxa"/>
            <w:vMerge w:val="restart"/>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产出及效率</w:t>
            </w:r>
          </w:p>
        </w:tc>
        <w:tc>
          <w:tcPr>
            <w:tcW w:w="503" w:type="dxa"/>
            <w:vMerge w:val="restart"/>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30</w:t>
            </w:r>
          </w:p>
        </w:tc>
        <w:tc>
          <w:tcPr>
            <w:tcW w:w="503" w:type="dxa"/>
            <w:gridSpan w:val="2"/>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职责履行</w:t>
            </w:r>
          </w:p>
        </w:tc>
        <w:tc>
          <w:tcPr>
            <w:tcW w:w="503" w:type="dxa"/>
            <w:gridSpan w:val="2"/>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8</w:t>
            </w:r>
          </w:p>
        </w:tc>
        <w:tc>
          <w:tcPr>
            <w:tcW w:w="783" w:type="dxa"/>
            <w:gridSpan w:val="2"/>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重点工作实际完成率</w:t>
            </w:r>
          </w:p>
        </w:tc>
        <w:tc>
          <w:tcPr>
            <w:tcW w:w="517" w:type="dxa"/>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8</w:t>
            </w:r>
          </w:p>
        </w:tc>
        <w:tc>
          <w:tcPr>
            <w:tcW w:w="2483" w:type="dxa"/>
            <w:gridSpan w:val="4"/>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lang w:val="en-US" w:eastAsia="zh-CN"/>
              </w:rPr>
            </w:pPr>
            <w:r>
              <w:rPr>
                <w:rFonts w:hint="eastAsia" w:asciiTheme="minorEastAsia" w:hAnsiTheme="minorEastAsia" w:eastAsiaTheme="minorEastAsia" w:cstheme="minorEastAsia"/>
                <w:kern w:val="0"/>
                <w:sz w:val="18"/>
                <w:szCs w:val="18"/>
                <w:lang w:eastAsia="zh-CN"/>
              </w:rPr>
              <w:t>根据履职情况，结合绩效目标和项目性质，对重点工作计划完成、产出质量、产出时效和有关成本控制情况评价，实现</w:t>
            </w:r>
            <w:r>
              <w:rPr>
                <w:rFonts w:hint="eastAsia" w:asciiTheme="minorEastAsia" w:hAnsiTheme="minorEastAsia" w:eastAsiaTheme="minorEastAsia" w:cstheme="minorEastAsia"/>
                <w:kern w:val="0"/>
                <w:sz w:val="18"/>
                <w:szCs w:val="18"/>
                <w:lang w:val="en-US" w:eastAsia="zh-CN"/>
              </w:rPr>
              <w:t>70%以上得4分，70%以下不得分。</w:t>
            </w:r>
          </w:p>
        </w:tc>
        <w:tc>
          <w:tcPr>
            <w:tcW w:w="2673" w:type="dxa"/>
            <w:gridSpan w:val="3"/>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　</w:t>
            </w:r>
          </w:p>
        </w:tc>
        <w:tc>
          <w:tcPr>
            <w:tcW w:w="595" w:type="dxa"/>
            <w:tcBorders>
              <w:tl2br w:val="nil"/>
              <w:tr2bl w:val="nil"/>
            </w:tcBorders>
            <w:vAlign w:val="center"/>
          </w:tcPr>
          <w:p>
            <w:pPr>
              <w:spacing w:line="280" w:lineRule="exact"/>
              <w:jc w:val="center"/>
              <w:rPr>
                <w:rFonts w:hint="eastAsia"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754" w:hRule="atLeast"/>
          <w:jc w:val="center"/>
        </w:trPr>
        <w:tc>
          <w:tcPr>
            <w:tcW w:w="503"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gridSpan w:val="2"/>
            <w:vMerge w:val="restart"/>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履职 效益</w:t>
            </w:r>
          </w:p>
        </w:tc>
        <w:tc>
          <w:tcPr>
            <w:tcW w:w="503" w:type="dxa"/>
            <w:gridSpan w:val="2"/>
            <w:vMerge w:val="restart"/>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w:t>
            </w:r>
          </w:p>
        </w:tc>
        <w:tc>
          <w:tcPr>
            <w:tcW w:w="783" w:type="dxa"/>
            <w:gridSpan w:val="2"/>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经济</w:t>
            </w:r>
          </w:p>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效益</w:t>
            </w:r>
          </w:p>
        </w:tc>
        <w:tc>
          <w:tcPr>
            <w:tcW w:w="517" w:type="dxa"/>
            <w:vMerge w:val="restart"/>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w:t>
            </w:r>
          </w:p>
        </w:tc>
        <w:tc>
          <w:tcPr>
            <w:tcW w:w="2483" w:type="dxa"/>
            <w:gridSpan w:val="4"/>
            <w:vMerge w:val="restart"/>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此两项指标为设置部门整体支出绩效评价指标时必须考虑的共性要素，可根据部门实际情况有选择的进行设置，并将其细化为相应的个性化指标。</w:t>
            </w:r>
          </w:p>
        </w:tc>
        <w:tc>
          <w:tcPr>
            <w:tcW w:w="2673" w:type="dxa"/>
            <w:gridSpan w:val="3"/>
            <w:vMerge w:val="restart"/>
            <w:tcBorders>
              <w:tl2br w:val="nil"/>
              <w:tr2bl w:val="nil"/>
            </w:tcBorders>
            <w:vAlign w:val="center"/>
          </w:tcPr>
          <w:p>
            <w:pPr>
              <w:spacing w:line="280" w:lineRule="exact"/>
              <w:jc w:val="left"/>
              <w:rPr>
                <w:rFonts w:hint="eastAsia" w:asciiTheme="minorEastAsia" w:hAnsiTheme="minorEastAsia" w:eastAsiaTheme="minorEastAsia" w:cstheme="minorEastAsia"/>
                <w:color w:val="000000"/>
                <w:kern w:val="0"/>
                <w:sz w:val="18"/>
                <w:szCs w:val="18"/>
              </w:rPr>
            </w:pPr>
          </w:p>
        </w:tc>
        <w:tc>
          <w:tcPr>
            <w:tcW w:w="595" w:type="dxa"/>
            <w:vMerge w:val="restart"/>
            <w:tcBorders>
              <w:tl2br w:val="nil"/>
              <w:tr2bl w:val="nil"/>
            </w:tcBorders>
            <w:vAlign w:val="center"/>
          </w:tcPr>
          <w:p>
            <w:pPr>
              <w:spacing w:line="280" w:lineRule="exact"/>
              <w:jc w:val="center"/>
              <w:rPr>
                <w:rFonts w:hint="default"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10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69" w:hRule="atLeast"/>
          <w:jc w:val="center"/>
        </w:trPr>
        <w:tc>
          <w:tcPr>
            <w:tcW w:w="503"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社会</w:t>
            </w:r>
          </w:p>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效益</w:t>
            </w:r>
          </w:p>
        </w:tc>
        <w:tc>
          <w:tcPr>
            <w:tcW w:w="517"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2483" w:type="dxa"/>
            <w:gridSpan w:val="4"/>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2673" w:type="dxa"/>
            <w:gridSpan w:val="3"/>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95" w:type="dxa"/>
            <w:vMerge w:val="continue"/>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84" w:hRule="atLeast"/>
          <w:jc w:val="center"/>
        </w:trPr>
        <w:tc>
          <w:tcPr>
            <w:tcW w:w="503"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gridSpan w:val="2"/>
            <w:vMerge w:val="restart"/>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12</w:t>
            </w:r>
          </w:p>
        </w:tc>
        <w:tc>
          <w:tcPr>
            <w:tcW w:w="783" w:type="dxa"/>
            <w:gridSpan w:val="2"/>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行政</w:t>
            </w:r>
          </w:p>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效能</w:t>
            </w:r>
          </w:p>
        </w:tc>
        <w:tc>
          <w:tcPr>
            <w:tcW w:w="517" w:type="dxa"/>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6</w:t>
            </w:r>
          </w:p>
        </w:tc>
        <w:tc>
          <w:tcPr>
            <w:tcW w:w="2483" w:type="dxa"/>
            <w:gridSpan w:val="4"/>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促进部门改进文风会风，加强经费及资产管理，推动网上办事，提高行政效率，降低行政成本效果较好的计6分；一般3分；无效果或者效果不明显0分。</w:t>
            </w:r>
          </w:p>
        </w:tc>
        <w:tc>
          <w:tcPr>
            <w:tcW w:w="2673" w:type="dxa"/>
            <w:gridSpan w:val="3"/>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根据部门自评材料评定。</w:t>
            </w:r>
          </w:p>
        </w:tc>
        <w:tc>
          <w:tcPr>
            <w:tcW w:w="595" w:type="dxa"/>
            <w:tcBorders>
              <w:tl2br w:val="nil"/>
              <w:tr2bl w:val="nil"/>
            </w:tcBorders>
            <w:vAlign w:val="center"/>
          </w:tcPr>
          <w:p>
            <w:pPr>
              <w:spacing w:line="280" w:lineRule="exact"/>
              <w:jc w:val="center"/>
              <w:rPr>
                <w:rFonts w:hint="eastAsia"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84" w:hRule="atLeast"/>
          <w:jc w:val="center"/>
        </w:trPr>
        <w:tc>
          <w:tcPr>
            <w:tcW w:w="503"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社会公众或服务对象满意度</w:t>
            </w:r>
          </w:p>
        </w:tc>
        <w:tc>
          <w:tcPr>
            <w:tcW w:w="517" w:type="dxa"/>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6</w:t>
            </w:r>
          </w:p>
        </w:tc>
        <w:tc>
          <w:tcPr>
            <w:tcW w:w="2483" w:type="dxa"/>
            <w:gridSpan w:val="4"/>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90%（含）以上计6分；</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80%（含）-90%，计4分；</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70%（含）-80%，计2分；</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低于70%计0分。</w:t>
            </w:r>
          </w:p>
        </w:tc>
        <w:tc>
          <w:tcPr>
            <w:tcW w:w="2673" w:type="dxa"/>
            <w:gridSpan w:val="3"/>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社会公众或服务对象是指部门（单位）履行职责而影响到的部门、群体或个人，一般采取社会调查的方式。</w:t>
            </w:r>
          </w:p>
        </w:tc>
        <w:tc>
          <w:tcPr>
            <w:tcW w:w="595" w:type="dxa"/>
            <w:tcBorders>
              <w:tl2br w:val="nil"/>
              <w:tr2bl w:val="nil"/>
            </w:tcBorders>
            <w:vAlign w:val="center"/>
          </w:tcPr>
          <w:p>
            <w:pPr>
              <w:spacing w:line="280" w:lineRule="exact"/>
              <w:jc w:val="center"/>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kern w:val="0"/>
                <w:sz w:val="18"/>
                <w:szCs w:val="18"/>
                <w:lang w:val="en-US" w:eastAsia="zh-CN"/>
              </w:rPr>
              <w:t>6</w:t>
            </w:r>
            <w:r>
              <w:rPr>
                <w:rFonts w:hint="eastAsia" w:asciiTheme="minorEastAsia" w:hAnsiTheme="minorEastAsia" w:eastAsiaTheme="minorEastAsia" w:cstheme="minorEastAsia"/>
                <w:kern w:val="0"/>
                <w:sz w:val="18"/>
                <w:szCs w:val="18"/>
                <w:shd w:val="clear" w:color="auto" w:fill="FFFFFF"/>
              </w:rPr>
              <w:fldChar w:fldCharType="begin">
                <w:fldData xml:space="preserve">QgAzADUAMgBGADUAMgBDADkAMAAzADAANAA1ADMAOABCADAARgA0ADAANAA5AEEAOQA0AEUAMgA0
ADQARQAxAA==
</w:fldData>
              </w:fldChar>
            </w:r>
            <w:r>
              <w:rPr>
                <w:rFonts w:hint="eastAsia" w:asciiTheme="minorEastAsia" w:hAnsiTheme="minorEastAsia" w:eastAsiaTheme="minorEastAsia" w:cstheme="minorEastAsia"/>
                <w:kern w:val="0"/>
                <w:sz w:val="18"/>
                <w:szCs w:val="18"/>
                <w:shd w:val="clear" w:color="auto" w:fill="FFFFFF"/>
              </w:rPr>
              <w:instrText xml:space="preserve">Addin PF16</w:instrText>
            </w:r>
            <w:r>
              <w:rPr>
                <w:rFonts w:hint="eastAsia" w:asciiTheme="minorEastAsia" w:hAnsiTheme="minorEastAsia" w:eastAsiaTheme="minorEastAsia" w:cstheme="minorEastAsia"/>
                <w:kern w:val="0"/>
                <w:sz w:val="18"/>
                <w:szCs w:val="18"/>
                <w:shd w:val="clear" w:color="auto" w:fill="FFFFFF"/>
              </w:rPr>
              <w:fldChar w:fldCharType="separate"/>
            </w:r>
            <w:r>
              <w:rPr>
                <w:rFonts w:hint="eastAsia" w:asciiTheme="minorEastAsia" w:hAnsiTheme="minorEastAsia" w:eastAsiaTheme="minorEastAsia" w:cstheme="minorEastAsia"/>
                <w:kern w:val="0"/>
                <w:sz w:val="18"/>
                <w:szCs w:val="18"/>
                <w:shd w:val="clear" w:color="auto" w:fill="FFFFFF"/>
              </w:rPr>
              <w:fldChar w:fldCharType="end"/>
            </w:r>
          </w:p>
        </w:tc>
      </w:tr>
    </w:tbl>
    <w:p>
      <w:pPr>
        <w:adjustRightInd w:val="0"/>
        <w:snapToGrid w:val="0"/>
        <w:spacing w:line="600" w:lineRule="exact"/>
        <w:jc w:val="center"/>
        <w:rPr>
          <w:rFonts w:hint="default" w:ascii="Times New Roman" w:hAnsi="Times New Roman" w:eastAsia="方正小标宋简体" w:cs="Times New Roman"/>
          <w:bCs/>
          <w:color w:val="000000"/>
          <w:kern w:val="0"/>
          <w:sz w:val="36"/>
          <w:szCs w:val="36"/>
        </w:rPr>
      </w:pPr>
    </w:p>
    <w:p>
      <w:pPr>
        <w:adjustRightInd w:val="0"/>
        <w:snapToGrid w:val="0"/>
        <w:spacing w:line="600" w:lineRule="exact"/>
        <w:jc w:val="center"/>
        <w:rPr>
          <w:rFonts w:hint="default" w:ascii="Times New Roman" w:hAnsi="Times New Roman" w:eastAsia="方正小标宋简体" w:cs="Times New Roman"/>
          <w:bCs/>
          <w:color w:val="000000"/>
          <w:kern w:val="0"/>
          <w:sz w:val="36"/>
          <w:szCs w:val="36"/>
        </w:rPr>
      </w:pPr>
    </w:p>
    <w:p>
      <w:pPr>
        <w:adjustRightInd w:val="0"/>
        <w:snapToGrid w:val="0"/>
        <w:spacing w:line="600" w:lineRule="exact"/>
        <w:jc w:val="center"/>
        <w:rPr>
          <w:rFonts w:hint="default" w:ascii="Times New Roman" w:hAnsi="Times New Roman" w:eastAsia="方正小标宋简体" w:cs="Times New Roman"/>
          <w:bCs/>
          <w:color w:val="000000"/>
          <w:kern w:val="0"/>
          <w:sz w:val="36"/>
          <w:szCs w:val="36"/>
        </w:rPr>
      </w:pPr>
    </w:p>
    <w:p>
      <w:pPr>
        <w:adjustRightInd w:val="0"/>
        <w:snapToGrid w:val="0"/>
        <w:spacing w:line="600" w:lineRule="exact"/>
        <w:jc w:val="center"/>
        <w:rPr>
          <w:rFonts w:hint="default" w:ascii="Times New Roman" w:hAnsi="Times New Roman" w:eastAsia="方正小标宋简体" w:cs="Times New Roman"/>
          <w:bCs/>
          <w:color w:val="000000"/>
          <w:kern w:val="0"/>
          <w:sz w:val="36"/>
          <w:szCs w:val="36"/>
        </w:rPr>
      </w:pPr>
    </w:p>
    <w:p>
      <w:pPr>
        <w:spacing w:line="600" w:lineRule="exact"/>
        <w:jc w:val="center"/>
        <w:rPr>
          <w:rFonts w:hint="default" w:ascii="Times New Roman" w:hAnsi="Times New Roman" w:eastAsia="方正小标宋简体" w:cs="Times New Roman"/>
          <w:sz w:val="36"/>
          <w:szCs w:val="36"/>
        </w:rPr>
      </w:pPr>
    </w:p>
    <w:p>
      <w:pPr>
        <w:spacing w:line="600" w:lineRule="exact"/>
        <w:jc w:val="center"/>
        <w:rPr>
          <w:rFonts w:hint="eastAsia" w:ascii="仿宋" w:hAnsi="仿宋" w:eastAsia="仿宋" w:cs="仿宋"/>
          <w:sz w:val="36"/>
          <w:szCs w:val="36"/>
          <w:lang w:eastAsia="zh-CN"/>
        </w:rPr>
      </w:pPr>
      <w:r>
        <w:rPr>
          <w:rFonts w:hint="eastAsia" w:ascii="仿宋" w:hAnsi="仿宋" w:eastAsia="仿宋" w:cs="仿宋"/>
          <w:sz w:val="36"/>
          <w:szCs w:val="36"/>
          <w:lang w:val="en-US" w:eastAsia="zh-CN"/>
        </w:rPr>
        <w:t>2019</w:t>
      </w:r>
      <w:r>
        <w:rPr>
          <w:rFonts w:hint="eastAsia" w:ascii="方正小标宋_GBK" w:hAnsi="方正小标宋_GBK" w:eastAsia="方正小标宋_GBK" w:cs="方正小标宋_GBK"/>
          <w:sz w:val="36"/>
          <w:szCs w:val="36"/>
        </w:rPr>
        <w:t>年度</w:t>
      </w:r>
      <w:r>
        <w:rPr>
          <w:rFonts w:hint="eastAsia" w:ascii="仿宋" w:hAnsi="仿宋" w:eastAsia="仿宋" w:cs="仿宋"/>
          <w:sz w:val="36"/>
          <w:szCs w:val="36"/>
          <w:lang w:eastAsia="zh-CN"/>
        </w:rPr>
        <w:t>湖南望城国家农业科技园区管理委员会</w:t>
      </w:r>
    </w:p>
    <w:p>
      <w:pPr>
        <w:spacing w:line="600" w:lineRule="exact"/>
        <w:jc w:val="center"/>
        <w:rPr>
          <w:rFonts w:hint="default" w:ascii="Times New Roman" w:hAnsi="Times New Roman" w:eastAsia="方正小标宋简体" w:cs="Times New Roman"/>
          <w:sz w:val="36"/>
          <w:szCs w:val="36"/>
        </w:rPr>
      </w:pPr>
      <w:r>
        <w:rPr>
          <w:rFonts w:hint="eastAsia" w:ascii="方正小标宋_GBK" w:hAnsi="方正小标宋_GBK" w:eastAsia="方正小标宋_GBK" w:cs="方正小标宋_GBK"/>
          <w:sz w:val="36"/>
          <w:szCs w:val="36"/>
        </w:rPr>
        <w:t>部门整体支出预算绩效</w:t>
      </w:r>
      <w:r>
        <w:rPr>
          <w:rFonts w:hint="default" w:ascii="仿宋" w:hAnsi="仿宋" w:eastAsia="仿宋" w:cs="仿宋"/>
          <w:sz w:val="36"/>
          <w:szCs w:val="36"/>
          <w:lang w:eastAsia="zh-CN"/>
        </w:rPr>
        <w:t>自评报告</w:t>
      </w:r>
    </w:p>
    <w:p>
      <w:pPr>
        <w:spacing w:line="600" w:lineRule="exact"/>
        <w:jc w:val="both"/>
        <w:rPr>
          <w:rFonts w:hint="default" w:ascii="Times New Roman" w:hAnsi="Times New Roman" w:eastAsia="仿宋_GB2312" w:cs="Times New Roman"/>
          <w:sz w:val="32"/>
          <w:szCs w:val="32"/>
        </w:rPr>
      </w:pPr>
    </w:p>
    <w:p>
      <w:pPr>
        <w:keepNext w:val="0"/>
        <w:keepLines w:val="0"/>
        <w:pageBreakBefore w:val="0"/>
        <w:numPr>
          <w:ilvl w:val="0"/>
          <w:numId w:val="1"/>
        </w:numPr>
        <w:kinsoku/>
        <w:wordWrap/>
        <w:overflowPunct/>
        <w:topLinePunct w:val="0"/>
        <w:autoSpaceDE/>
        <w:autoSpaceDN/>
        <w:bidi w:val="0"/>
        <w:adjustRightInd/>
        <w:spacing w:line="576" w:lineRule="exact"/>
        <w:ind w:firstLine="600" w:firstLineChars="200"/>
        <w:jc w:val="both"/>
        <w:textAlignment w:val="auto"/>
        <w:rPr>
          <w:rFonts w:hint="default" w:ascii="Times New Roman" w:hAnsi="Times New Roman" w:eastAsia="黑体" w:cs="Times New Roman"/>
          <w:sz w:val="30"/>
        </w:rPr>
      </w:pPr>
      <w:r>
        <w:rPr>
          <w:rFonts w:hint="default" w:ascii="Times New Roman" w:hAnsi="Times New Roman" w:eastAsia="黑体" w:cs="Times New Roman"/>
          <w:sz w:val="30"/>
        </w:rPr>
        <w:t>部门基本情况</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b w:val="0"/>
          <w:bCs w:val="0"/>
          <w:color w:val="000000"/>
          <w:kern w:val="0"/>
          <w:sz w:val="32"/>
          <w:szCs w:val="32"/>
          <w:lang w:val="en-US" w:eastAsia="zh-CN"/>
        </w:rPr>
      </w:pPr>
      <w:r>
        <w:rPr>
          <w:rFonts w:hint="eastAsia" w:ascii="仿宋_GB2312" w:hAnsi="仿宋_GB2312" w:eastAsia="仿宋_GB2312" w:cs="仿宋_GB2312"/>
          <w:b w:val="0"/>
          <w:bCs w:val="0"/>
          <w:color w:val="000000"/>
          <w:kern w:val="0"/>
          <w:sz w:val="32"/>
          <w:szCs w:val="32"/>
          <w:lang w:val="en-US" w:eastAsia="zh-CN"/>
        </w:rPr>
        <w:t>（一）主要职能</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b w:val="0"/>
          <w:bCs w:val="0"/>
          <w:color w:val="000000"/>
          <w:kern w:val="0"/>
          <w:sz w:val="32"/>
          <w:szCs w:val="32"/>
          <w:lang w:val="en-US" w:eastAsia="zh-CN"/>
        </w:rPr>
      </w:pPr>
      <w:r>
        <w:rPr>
          <w:rFonts w:hint="eastAsia" w:ascii="仿宋_GB2312" w:hAnsi="仿宋_GB2312" w:eastAsia="仿宋_GB2312" w:cs="仿宋_GB2312"/>
          <w:b w:val="0"/>
          <w:bCs w:val="0"/>
          <w:color w:val="000000"/>
          <w:kern w:val="0"/>
          <w:sz w:val="32"/>
          <w:szCs w:val="32"/>
          <w:lang w:val="en-US" w:eastAsia="zh-CN"/>
        </w:rPr>
        <w:t>湖南望城国家农业科技园区党工委、管委会（以下简称“农科园”）主要职责职能是：</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b w:val="0"/>
          <w:bCs w:val="0"/>
          <w:color w:val="000000"/>
          <w:kern w:val="0"/>
          <w:sz w:val="32"/>
          <w:szCs w:val="32"/>
          <w:lang w:val="en-US" w:eastAsia="zh-CN"/>
        </w:rPr>
      </w:pPr>
      <w:r>
        <w:rPr>
          <w:rFonts w:hint="eastAsia" w:ascii="仿宋_GB2312" w:hAnsi="仿宋_GB2312" w:eastAsia="仿宋_GB2312" w:cs="仿宋_GB2312"/>
          <w:b w:val="0"/>
          <w:bCs w:val="0"/>
          <w:color w:val="000000"/>
          <w:kern w:val="0"/>
          <w:sz w:val="32"/>
          <w:szCs w:val="32"/>
          <w:lang w:val="en-US" w:eastAsia="zh-CN"/>
        </w:rPr>
        <w:t>1.负责国家和省、市有关农业园区发展的法律、法规和政策的贯彻实施。</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b w:val="0"/>
          <w:bCs w:val="0"/>
          <w:color w:val="000000"/>
          <w:kern w:val="0"/>
          <w:sz w:val="32"/>
          <w:szCs w:val="32"/>
          <w:lang w:val="en-US" w:eastAsia="zh-CN"/>
        </w:rPr>
      </w:pPr>
      <w:r>
        <w:rPr>
          <w:rFonts w:hint="eastAsia" w:ascii="仿宋_GB2312" w:hAnsi="仿宋_GB2312" w:eastAsia="仿宋_GB2312" w:cs="仿宋_GB2312"/>
          <w:b w:val="0"/>
          <w:bCs w:val="0"/>
          <w:color w:val="000000"/>
          <w:kern w:val="0"/>
          <w:sz w:val="32"/>
          <w:szCs w:val="32"/>
          <w:lang w:val="en-US" w:eastAsia="zh-CN"/>
        </w:rPr>
        <w:t>2.负责编制湖南望城国家农业科技园区发展规划和年度工作计划并组织实施。</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b w:val="0"/>
          <w:bCs w:val="0"/>
          <w:color w:val="000000"/>
          <w:kern w:val="0"/>
          <w:sz w:val="32"/>
          <w:szCs w:val="32"/>
          <w:lang w:val="en-US" w:eastAsia="zh-CN"/>
        </w:rPr>
      </w:pPr>
      <w:r>
        <w:rPr>
          <w:rFonts w:hint="eastAsia" w:ascii="仿宋_GB2312" w:hAnsi="仿宋_GB2312" w:eastAsia="仿宋_GB2312" w:cs="仿宋_GB2312"/>
          <w:b w:val="0"/>
          <w:bCs w:val="0"/>
          <w:color w:val="000000"/>
          <w:kern w:val="0"/>
          <w:sz w:val="32"/>
          <w:szCs w:val="32"/>
          <w:lang w:val="en-US" w:eastAsia="zh-CN"/>
        </w:rPr>
        <w:t>3.负责湖南望城国家农业科技园区科技成果、先进实用技术的引进、示范、创新和推广，推广优质农产品生产标准化和经营产业化建设。</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b w:val="0"/>
          <w:bCs w:val="0"/>
          <w:color w:val="000000"/>
          <w:kern w:val="0"/>
          <w:sz w:val="32"/>
          <w:szCs w:val="32"/>
          <w:lang w:val="en-US" w:eastAsia="zh-CN"/>
        </w:rPr>
      </w:pPr>
      <w:r>
        <w:rPr>
          <w:rFonts w:hint="eastAsia" w:ascii="仿宋_GB2312" w:hAnsi="仿宋_GB2312" w:eastAsia="仿宋_GB2312" w:cs="仿宋_GB2312"/>
          <w:b w:val="0"/>
          <w:bCs w:val="0"/>
          <w:color w:val="000000"/>
          <w:kern w:val="0"/>
          <w:sz w:val="32"/>
          <w:szCs w:val="32"/>
          <w:lang w:val="en-US" w:eastAsia="zh-CN"/>
        </w:rPr>
        <w:t>4.负责组织湖南望城国家农业科技园区科技项目的申报、实施和高新技术企业、产品的申报、认定，以及科研成果的鉴定、验收、管理和奖励。</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b w:val="0"/>
          <w:bCs w:val="0"/>
          <w:color w:val="000000"/>
          <w:kern w:val="0"/>
          <w:sz w:val="32"/>
          <w:szCs w:val="32"/>
          <w:lang w:val="en-US" w:eastAsia="zh-CN"/>
        </w:rPr>
      </w:pPr>
      <w:r>
        <w:rPr>
          <w:rFonts w:hint="eastAsia" w:ascii="仿宋_GB2312" w:hAnsi="仿宋_GB2312" w:eastAsia="仿宋_GB2312" w:cs="仿宋_GB2312"/>
          <w:b w:val="0"/>
          <w:bCs w:val="0"/>
          <w:color w:val="000000"/>
          <w:kern w:val="0"/>
          <w:sz w:val="32"/>
          <w:szCs w:val="32"/>
          <w:lang w:val="en-US" w:eastAsia="zh-CN"/>
        </w:rPr>
        <w:t>5.负责组织湖南望城国家农业科技园区招商引资工作。</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b w:val="0"/>
          <w:bCs w:val="0"/>
          <w:color w:val="000000"/>
          <w:kern w:val="0"/>
          <w:sz w:val="32"/>
          <w:szCs w:val="32"/>
          <w:lang w:val="en-US" w:eastAsia="zh-CN"/>
        </w:rPr>
      </w:pPr>
      <w:r>
        <w:rPr>
          <w:rFonts w:hint="eastAsia" w:ascii="仿宋_GB2312" w:hAnsi="仿宋_GB2312" w:eastAsia="仿宋_GB2312" w:cs="仿宋_GB2312"/>
          <w:b w:val="0"/>
          <w:bCs w:val="0"/>
          <w:color w:val="000000"/>
          <w:kern w:val="0"/>
          <w:sz w:val="32"/>
          <w:szCs w:val="32"/>
          <w:lang w:val="en-US" w:eastAsia="zh-CN"/>
        </w:rPr>
        <w:t>6.负责湖南望城国家农业科技园区基础设施规划、建设、协调和管理。</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b w:val="0"/>
          <w:bCs w:val="0"/>
          <w:color w:val="000000"/>
          <w:kern w:val="0"/>
          <w:sz w:val="32"/>
          <w:szCs w:val="32"/>
          <w:lang w:val="en-US" w:eastAsia="zh-CN"/>
        </w:rPr>
      </w:pPr>
      <w:r>
        <w:rPr>
          <w:rFonts w:hint="eastAsia" w:ascii="仿宋_GB2312" w:hAnsi="仿宋_GB2312" w:eastAsia="仿宋_GB2312" w:cs="仿宋_GB2312"/>
          <w:b w:val="0"/>
          <w:bCs w:val="0"/>
          <w:color w:val="000000"/>
          <w:kern w:val="0"/>
          <w:sz w:val="32"/>
          <w:szCs w:val="32"/>
          <w:lang w:val="en-US" w:eastAsia="zh-CN"/>
        </w:rPr>
        <w:t>7.负责湖南望城国家农业科技园各类专业技术人才的引进、培训、培养工作。</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b w:val="0"/>
          <w:bCs w:val="0"/>
          <w:color w:val="000000"/>
          <w:kern w:val="0"/>
          <w:sz w:val="32"/>
          <w:szCs w:val="32"/>
          <w:lang w:val="en-US" w:eastAsia="zh-CN"/>
        </w:rPr>
      </w:pPr>
      <w:r>
        <w:rPr>
          <w:rFonts w:hint="eastAsia" w:ascii="仿宋_GB2312" w:hAnsi="仿宋_GB2312" w:eastAsia="仿宋_GB2312" w:cs="仿宋_GB2312"/>
          <w:b w:val="0"/>
          <w:bCs w:val="0"/>
          <w:color w:val="000000"/>
          <w:kern w:val="0"/>
          <w:sz w:val="32"/>
          <w:szCs w:val="32"/>
          <w:lang w:val="en-US" w:eastAsia="zh-CN"/>
        </w:rPr>
        <w:t>8.负责湖南望城国家农业科技园区综合、制度、信息、审计、统计、财务及国有资产管理。</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b w:val="0"/>
          <w:bCs w:val="0"/>
          <w:color w:val="000000"/>
          <w:kern w:val="0"/>
          <w:sz w:val="32"/>
          <w:szCs w:val="32"/>
          <w:lang w:val="en-US" w:eastAsia="zh-CN"/>
        </w:rPr>
      </w:pPr>
      <w:r>
        <w:rPr>
          <w:rFonts w:hint="eastAsia" w:ascii="仿宋_GB2312" w:hAnsi="仿宋_GB2312" w:eastAsia="仿宋_GB2312" w:cs="仿宋_GB2312"/>
          <w:b w:val="0"/>
          <w:bCs w:val="0"/>
          <w:color w:val="000000"/>
          <w:kern w:val="0"/>
          <w:sz w:val="32"/>
          <w:szCs w:val="32"/>
          <w:lang w:val="en-US" w:eastAsia="zh-CN"/>
        </w:rPr>
        <w:t>9.负责湖南望城国家农业科技园区党群、组织、纪检监察、机构编制、人力资源和社会保障等工作。</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b w:val="0"/>
          <w:bCs w:val="0"/>
          <w:color w:val="000000"/>
          <w:kern w:val="0"/>
          <w:sz w:val="32"/>
          <w:szCs w:val="32"/>
          <w:lang w:val="en-US" w:eastAsia="zh-CN"/>
        </w:rPr>
      </w:pPr>
      <w:r>
        <w:rPr>
          <w:rFonts w:hint="eastAsia" w:ascii="仿宋_GB2312" w:hAnsi="仿宋_GB2312" w:eastAsia="仿宋_GB2312" w:cs="仿宋_GB2312"/>
          <w:b w:val="0"/>
          <w:bCs w:val="0"/>
          <w:color w:val="000000"/>
          <w:kern w:val="0"/>
          <w:sz w:val="32"/>
          <w:szCs w:val="32"/>
          <w:lang w:val="en-US" w:eastAsia="zh-CN"/>
        </w:rPr>
        <w:t>10.承办望城区委、区人民政府及有关部门交办的其他事项。</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b w:val="0"/>
          <w:bCs w:val="0"/>
          <w:color w:val="000000"/>
          <w:kern w:val="0"/>
          <w:sz w:val="32"/>
          <w:szCs w:val="32"/>
          <w:lang w:val="en-US" w:eastAsia="zh-CN"/>
        </w:rPr>
      </w:pPr>
      <w:r>
        <w:rPr>
          <w:rFonts w:hint="eastAsia" w:ascii="仿宋_GB2312" w:hAnsi="仿宋_GB2312" w:eastAsia="仿宋_GB2312" w:cs="仿宋_GB2312"/>
          <w:b w:val="0"/>
          <w:bCs w:val="0"/>
          <w:color w:val="000000"/>
          <w:kern w:val="0"/>
          <w:sz w:val="32"/>
          <w:szCs w:val="32"/>
          <w:lang w:val="en-US" w:eastAsia="zh-CN"/>
        </w:rPr>
        <w:t>（二）机构情况</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b w:val="0"/>
          <w:bCs w:val="0"/>
          <w:color w:val="000000"/>
          <w:kern w:val="0"/>
          <w:sz w:val="32"/>
          <w:szCs w:val="32"/>
          <w:lang w:val="en-US" w:eastAsia="zh-CN"/>
        </w:rPr>
      </w:pPr>
      <w:r>
        <w:rPr>
          <w:rFonts w:hint="eastAsia" w:ascii="仿宋_GB2312" w:hAnsi="仿宋_GB2312" w:eastAsia="仿宋_GB2312" w:cs="仿宋_GB2312"/>
          <w:b w:val="0"/>
          <w:bCs w:val="0"/>
          <w:color w:val="000000"/>
          <w:kern w:val="0"/>
          <w:sz w:val="32"/>
          <w:szCs w:val="32"/>
          <w:lang w:val="en-US" w:eastAsia="zh-CN"/>
        </w:rPr>
        <w:t>中共湖南望城国家农业科技园区工作委员会、湖南望城国家农业科技园区管理委员会（以下简称湖南望城国家农业科技园区党工委、管委会），分别为中共长沙市委、长沙市人民政府的派出机构，合署办公，为副处级机构，委托中共望城区委、望城区人民政府管理。</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b w:val="0"/>
          <w:bCs w:val="0"/>
          <w:color w:val="000000"/>
          <w:kern w:val="0"/>
          <w:sz w:val="32"/>
          <w:szCs w:val="32"/>
          <w:lang w:val="en-US" w:eastAsia="zh-CN"/>
        </w:rPr>
      </w:pPr>
      <w:r>
        <w:rPr>
          <w:rFonts w:hint="eastAsia" w:ascii="仿宋_GB2312" w:hAnsi="仿宋_GB2312" w:eastAsia="仿宋_GB2312" w:cs="仿宋_GB2312"/>
          <w:b w:val="0"/>
          <w:bCs w:val="0"/>
          <w:color w:val="000000"/>
          <w:kern w:val="0"/>
          <w:sz w:val="32"/>
          <w:szCs w:val="32"/>
          <w:lang w:val="en-US" w:eastAsia="zh-CN"/>
        </w:rPr>
        <w:t>湖南望城国家农业科技园区党工委、管委会内设5个局（室），均为副科级机构。分别为办公室、产业发展局、招商合作局（加挂对外交流合作办公室牌子）、科技人才局（加挂专家委员会办公室牌子）、社会事务局（加挂湖南望城国家农业科技园区综合研发服务中心牌子）。</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b w:val="0"/>
          <w:bCs w:val="0"/>
          <w:color w:val="000000"/>
          <w:kern w:val="0"/>
          <w:sz w:val="32"/>
          <w:szCs w:val="32"/>
          <w:lang w:val="en-US" w:eastAsia="zh-CN"/>
        </w:rPr>
      </w:pPr>
      <w:r>
        <w:rPr>
          <w:rFonts w:hint="eastAsia" w:ascii="仿宋_GB2312" w:hAnsi="仿宋_GB2312" w:eastAsia="仿宋_GB2312" w:cs="仿宋_GB2312"/>
          <w:b w:val="0"/>
          <w:bCs w:val="0"/>
          <w:color w:val="000000"/>
          <w:kern w:val="0"/>
          <w:sz w:val="32"/>
          <w:szCs w:val="32"/>
          <w:lang w:val="en-US" w:eastAsia="zh-CN"/>
        </w:rPr>
        <w:t>（三）人员情况</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default" w:ascii="仿宋_GB2312" w:hAnsi="仿宋_GB2312" w:eastAsia="仿宋_GB2312" w:cs="仿宋_GB2312"/>
          <w:b w:val="0"/>
          <w:bCs w:val="0"/>
          <w:color w:val="000000"/>
          <w:kern w:val="0"/>
          <w:sz w:val="32"/>
          <w:szCs w:val="32"/>
          <w:lang w:val="en-US" w:eastAsia="zh-CN"/>
        </w:rPr>
      </w:pPr>
      <w:r>
        <w:rPr>
          <w:rFonts w:hint="eastAsia" w:ascii="仿宋_GB2312" w:hAnsi="仿宋_GB2312" w:eastAsia="仿宋_GB2312" w:cs="仿宋_GB2312"/>
          <w:b w:val="0"/>
          <w:bCs w:val="0"/>
          <w:color w:val="000000"/>
          <w:kern w:val="0"/>
          <w:sz w:val="32"/>
          <w:szCs w:val="32"/>
          <w:lang w:val="en-US" w:eastAsia="zh-CN"/>
        </w:rPr>
        <w:t>湖南望城国家农业科技园区党工委、管委会机关开发区专项编制22名，现有在职在编人员16人。在编人数与2018年持平。</w:t>
      </w:r>
    </w:p>
    <w:p>
      <w:pPr>
        <w:keepNext w:val="0"/>
        <w:keepLines w:val="0"/>
        <w:pageBreakBefore w:val="0"/>
        <w:numPr>
          <w:ilvl w:val="0"/>
          <w:numId w:val="1"/>
        </w:numPr>
        <w:kinsoku/>
        <w:wordWrap/>
        <w:overflowPunct/>
        <w:topLinePunct w:val="0"/>
        <w:autoSpaceDE/>
        <w:autoSpaceDN/>
        <w:bidi w:val="0"/>
        <w:adjustRightInd/>
        <w:spacing w:line="576" w:lineRule="exact"/>
        <w:ind w:left="0" w:leftChars="0" w:firstLine="600" w:firstLineChars="200"/>
        <w:jc w:val="both"/>
        <w:textAlignment w:val="auto"/>
        <w:rPr>
          <w:rFonts w:hint="default" w:ascii="Times New Roman" w:hAnsi="Times New Roman" w:eastAsia="黑体" w:cs="Times New Roman"/>
          <w:sz w:val="30"/>
        </w:rPr>
      </w:pPr>
      <w:r>
        <w:rPr>
          <w:rFonts w:hint="default" w:ascii="Times New Roman" w:hAnsi="Times New Roman" w:eastAsia="黑体" w:cs="Times New Roman"/>
          <w:sz w:val="30"/>
        </w:rPr>
        <w:t>部门预算管理及执行情况</w:t>
      </w:r>
    </w:p>
    <w:p>
      <w:pPr>
        <w:keepNext w:val="0"/>
        <w:keepLines w:val="0"/>
        <w:pageBreakBefore w:val="0"/>
        <w:kinsoku/>
        <w:wordWrap/>
        <w:overflowPunct/>
        <w:topLinePunct w:val="0"/>
        <w:autoSpaceDE/>
        <w:autoSpaceDN/>
        <w:bidi w:val="0"/>
        <w:adjustRightInd/>
        <w:snapToGrid w:val="0"/>
        <w:spacing w:line="576" w:lineRule="exact"/>
        <w:ind w:firstLine="643" w:firstLineChars="200"/>
        <w:jc w:val="both"/>
        <w:textAlignment w:val="auto"/>
        <w:rPr>
          <w:rFonts w:hint="eastAsia" w:ascii="楷体_GB2312" w:hAnsi="仿宋" w:eastAsia="楷体_GB2312"/>
          <w:b/>
          <w:sz w:val="32"/>
          <w:szCs w:val="32"/>
        </w:rPr>
      </w:pPr>
      <w:r>
        <w:rPr>
          <w:rFonts w:hint="eastAsia" w:ascii="楷体_GB2312" w:hAnsi="仿宋" w:eastAsia="楷体_GB2312"/>
          <w:b/>
          <w:sz w:val="32"/>
          <w:szCs w:val="32"/>
        </w:rPr>
        <w:t>（一）收入支出预算安排情况。</w:t>
      </w:r>
    </w:p>
    <w:p>
      <w:pPr>
        <w:keepNext w:val="0"/>
        <w:keepLines w:val="0"/>
        <w:pageBreakBefore w:val="0"/>
        <w:kinsoku/>
        <w:wordWrap/>
        <w:overflowPunct/>
        <w:topLinePunct w:val="0"/>
        <w:autoSpaceDE/>
        <w:autoSpaceDN/>
        <w:bidi w:val="0"/>
        <w:adjustRightInd/>
        <w:spacing w:line="576" w:lineRule="exact"/>
        <w:ind w:firstLine="640" w:firstLineChars="200"/>
        <w:jc w:val="both"/>
        <w:textAlignment w:val="auto"/>
        <w:rPr>
          <w:rFonts w:hint="eastAsia" w:ascii="仿宋_GB2312" w:hAnsi="仿宋_GB2312" w:eastAsia="仿宋_GB2312" w:cs="仿宋_GB2312"/>
          <w:b w:val="0"/>
          <w:bCs w:val="0"/>
          <w:color w:val="000000"/>
          <w:kern w:val="0"/>
          <w:sz w:val="32"/>
          <w:szCs w:val="32"/>
        </w:rPr>
      </w:pPr>
      <w:r>
        <w:rPr>
          <w:rFonts w:hint="eastAsia" w:ascii="仿宋_GB2312" w:hAnsi="仿宋_GB2312" w:eastAsia="仿宋_GB2312" w:cs="仿宋_GB2312"/>
          <w:b w:val="0"/>
          <w:bCs w:val="0"/>
          <w:color w:val="000000"/>
          <w:kern w:val="0"/>
          <w:sz w:val="32"/>
          <w:szCs w:val="32"/>
          <w:lang w:val="en-US" w:eastAsia="zh-CN"/>
        </w:rPr>
        <w:t>2019年部门收入预算为620.15万元，全部来源于财政拨款，其中基本收入预算为320.15万元、项目收入预算为300万元。</w:t>
      </w:r>
      <w:r>
        <w:rPr>
          <w:rFonts w:hint="eastAsia" w:ascii="仿宋_GB2312" w:hAnsi="仿宋_GB2312" w:eastAsia="仿宋_GB2312" w:cs="仿宋_GB2312"/>
          <w:b w:val="0"/>
          <w:bCs w:val="0"/>
          <w:color w:val="000000"/>
          <w:kern w:val="0"/>
          <w:sz w:val="32"/>
          <w:szCs w:val="32"/>
        </w:rPr>
        <w:t>201</w:t>
      </w:r>
      <w:r>
        <w:rPr>
          <w:rFonts w:hint="eastAsia" w:ascii="仿宋_GB2312" w:hAnsi="仿宋_GB2312" w:eastAsia="仿宋_GB2312" w:cs="仿宋_GB2312"/>
          <w:b w:val="0"/>
          <w:bCs w:val="0"/>
          <w:color w:val="000000"/>
          <w:kern w:val="0"/>
          <w:sz w:val="32"/>
          <w:szCs w:val="32"/>
          <w:lang w:val="en-US" w:eastAsia="zh-CN"/>
        </w:rPr>
        <w:t>9</w:t>
      </w:r>
      <w:r>
        <w:rPr>
          <w:rFonts w:hint="eastAsia" w:ascii="仿宋_GB2312" w:hAnsi="仿宋_GB2312" w:eastAsia="仿宋_GB2312" w:cs="仿宋_GB2312"/>
          <w:b w:val="0"/>
          <w:bCs w:val="0"/>
          <w:color w:val="000000"/>
          <w:kern w:val="0"/>
          <w:sz w:val="32"/>
          <w:szCs w:val="32"/>
        </w:rPr>
        <w:t>年基本支出预算为</w:t>
      </w:r>
      <w:r>
        <w:rPr>
          <w:rFonts w:hint="eastAsia" w:ascii="仿宋_GB2312" w:hAnsi="仿宋_GB2312" w:eastAsia="仿宋_GB2312" w:cs="仿宋_GB2312"/>
          <w:b w:val="0"/>
          <w:bCs w:val="0"/>
          <w:color w:val="000000"/>
          <w:kern w:val="0"/>
          <w:sz w:val="32"/>
          <w:szCs w:val="32"/>
          <w:lang w:val="en-US" w:eastAsia="zh-CN"/>
        </w:rPr>
        <w:t>320.15</w:t>
      </w:r>
      <w:r>
        <w:rPr>
          <w:rFonts w:hint="eastAsia" w:ascii="仿宋_GB2312" w:hAnsi="仿宋_GB2312" w:eastAsia="仿宋_GB2312" w:cs="仿宋_GB2312"/>
          <w:b w:val="0"/>
          <w:bCs w:val="0"/>
          <w:color w:val="000000"/>
          <w:kern w:val="0"/>
          <w:sz w:val="32"/>
          <w:szCs w:val="32"/>
        </w:rPr>
        <w:t>万元，项目支出预算为</w:t>
      </w:r>
      <w:r>
        <w:rPr>
          <w:rFonts w:hint="eastAsia" w:ascii="仿宋_GB2312" w:hAnsi="仿宋_GB2312" w:eastAsia="仿宋_GB2312" w:cs="仿宋_GB2312"/>
          <w:b w:val="0"/>
          <w:bCs w:val="0"/>
          <w:color w:val="000000"/>
          <w:kern w:val="0"/>
          <w:sz w:val="32"/>
          <w:szCs w:val="32"/>
          <w:lang w:val="en-US" w:eastAsia="zh-CN"/>
        </w:rPr>
        <w:t>300</w:t>
      </w:r>
      <w:r>
        <w:rPr>
          <w:rFonts w:hint="eastAsia" w:ascii="仿宋_GB2312" w:hAnsi="仿宋_GB2312" w:eastAsia="仿宋_GB2312" w:cs="仿宋_GB2312"/>
          <w:b w:val="0"/>
          <w:bCs w:val="0"/>
          <w:color w:val="000000"/>
          <w:kern w:val="0"/>
          <w:sz w:val="32"/>
          <w:szCs w:val="32"/>
        </w:rPr>
        <w:t>万元。</w:t>
      </w:r>
    </w:p>
    <w:p>
      <w:pPr>
        <w:keepNext w:val="0"/>
        <w:keepLines w:val="0"/>
        <w:pageBreakBefore w:val="0"/>
        <w:kinsoku/>
        <w:wordWrap/>
        <w:overflowPunct/>
        <w:topLinePunct w:val="0"/>
        <w:autoSpaceDE/>
        <w:autoSpaceDN/>
        <w:bidi w:val="0"/>
        <w:adjustRightInd/>
        <w:spacing w:line="576" w:lineRule="exact"/>
        <w:ind w:firstLine="640" w:firstLineChars="200"/>
        <w:jc w:val="both"/>
        <w:textAlignment w:val="auto"/>
        <w:rPr>
          <w:rFonts w:hint="eastAsia" w:ascii="仿宋_GB2312" w:hAnsi="仿宋_GB2312" w:eastAsia="仿宋_GB2312" w:cs="仿宋_GB2312"/>
          <w:b w:val="0"/>
          <w:bCs w:val="0"/>
          <w:color w:val="000000"/>
          <w:kern w:val="0"/>
          <w:sz w:val="32"/>
          <w:szCs w:val="32"/>
          <w:lang w:val="en-US" w:eastAsia="zh-CN"/>
        </w:rPr>
      </w:pPr>
      <w:r>
        <w:rPr>
          <w:rFonts w:hint="eastAsia" w:ascii="仿宋_GB2312" w:hAnsi="仿宋_GB2312" w:eastAsia="仿宋_GB2312" w:cs="仿宋_GB2312"/>
          <w:b w:val="0"/>
          <w:bCs w:val="0"/>
          <w:color w:val="000000"/>
          <w:kern w:val="0"/>
          <w:sz w:val="32"/>
          <w:szCs w:val="32"/>
          <w:lang w:val="en-US" w:eastAsia="zh-CN"/>
        </w:rPr>
        <w:t>2019年部门财政拨款预算收入调整预算数为2450万元，其他收入预算调整数为140万。2019年基本支出调整预算数为427.08万元，调整的原因为工资福利支出的基本工资的调标等方面；项目支出调整预算数为2105.14万元，主要原因在于2019年蔬菜产业发展资金的投入，主要用于万亩蔬菜示范片和设施蔬菜示范园项目的建设。</w:t>
      </w:r>
    </w:p>
    <w:p>
      <w:pPr>
        <w:keepNext w:val="0"/>
        <w:keepLines w:val="0"/>
        <w:pageBreakBefore w:val="0"/>
        <w:kinsoku/>
        <w:wordWrap/>
        <w:overflowPunct/>
        <w:topLinePunct w:val="0"/>
        <w:autoSpaceDE/>
        <w:autoSpaceDN/>
        <w:bidi w:val="0"/>
        <w:adjustRightInd/>
        <w:snapToGrid w:val="0"/>
        <w:spacing w:line="576" w:lineRule="exact"/>
        <w:ind w:firstLine="643" w:firstLineChars="200"/>
        <w:jc w:val="both"/>
        <w:textAlignment w:val="auto"/>
        <w:rPr>
          <w:rFonts w:hint="eastAsia" w:ascii="楷体_GB2312" w:hAnsi="仿宋" w:eastAsia="楷体_GB2312"/>
          <w:b/>
          <w:sz w:val="32"/>
          <w:szCs w:val="32"/>
        </w:rPr>
      </w:pPr>
      <w:r>
        <w:rPr>
          <w:rFonts w:hint="eastAsia" w:ascii="楷体_GB2312" w:hAnsi="仿宋" w:eastAsia="楷体_GB2312"/>
          <w:b/>
          <w:sz w:val="32"/>
          <w:szCs w:val="32"/>
        </w:rPr>
        <w:t>（二）收入支出预算执行情况。</w:t>
      </w:r>
    </w:p>
    <w:p>
      <w:pPr>
        <w:keepNext w:val="0"/>
        <w:keepLines w:val="0"/>
        <w:pageBreakBefore w:val="0"/>
        <w:kinsoku/>
        <w:wordWrap/>
        <w:overflowPunct/>
        <w:topLinePunct w:val="0"/>
        <w:autoSpaceDE/>
        <w:autoSpaceDN/>
        <w:bidi w:val="0"/>
        <w:adjustRightInd/>
        <w:spacing w:line="576" w:lineRule="exact"/>
        <w:ind w:firstLine="640" w:firstLineChars="200"/>
        <w:jc w:val="both"/>
        <w:textAlignment w:val="auto"/>
        <w:rPr>
          <w:rFonts w:hint="eastAsia" w:ascii="仿宋_GB2312" w:hAnsi="仿宋_GB2312" w:eastAsia="仿宋_GB2312" w:cs="仿宋_GB2312"/>
          <w:b w:val="0"/>
          <w:bCs w:val="0"/>
          <w:color w:val="000000"/>
          <w:kern w:val="0"/>
          <w:sz w:val="32"/>
          <w:szCs w:val="32"/>
          <w:lang w:eastAsia="zh-CN"/>
        </w:rPr>
      </w:pPr>
      <w:r>
        <w:rPr>
          <w:rFonts w:hint="eastAsia" w:ascii="仿宋_GB2312" w:hAnsi="仿宋_GB2312" w:eastAsia="仿宋_GB2312" w:cs="仿宋_GB2312"/>
          <w:b w:val="0"/>
          <w:bCs w:val="0"/>
          <w:color w:val="000000"/>
          <w:kern w:val="0"/>
          <w:sz w:val="32"/>
          <w:szCs w:val="32"/>
        </w:rPr>
        <w:t>201</w:t>
      </w:r>
      <w:r>
        <w:rPr>
          <w:rFonts w:hint="eastAsia" w:ascii="仿宋_GB2312" w:hAnsi="仿宋_GB2312" w:eastAsia="仿宋_GB2312" w:cs="仿宋_GB2312"/>
          <w:b w:val="0"/>
          <w:bCs w:val="0"/>
          <w:color w:val="000000"/>
          <w:kern w:val="0"/>
          <w:sz w:val="32"/>
          <w:szCs w:val="32"/>
          <w:lang w:val="en-US" w:eastAsia="zh-CN"/>
        </w:rPr>
        <w:t>9</w:t>
      </w:r>
      <w:r>
        <w:rPr>
          <w:rFonts w:hint="eastAsia" w:ascii="仿宋_GB2312" w:hAnsi="仿宋_GB2312" w:eastAsia="仿宋_GB2312" w:cs="仿宋_GB2312"/>
          <w:b w:val="0"/>
          <w:bCs w:val="0"/>
          <w:color w:val="000000"/>
          <w:kern w:val="0"/>
          <w:sz w:val="32"/>
          <w:szCs w:val="32"/>
        </w:rPr>
        <w:t>年度年初</w:t>
      </w:r>
      <w:r>
        <w:rPr>
          <w:rFonts w:hint="eastAsia" w:ascii="仿宋_GB2312" w:hAnsi="仿宋_GB2312" w:eastAsia="仿宋_GB2312" w:cs="仿宋_GB2312"/>
          <w:b w:val="0"/>
          <w:bCs w:val="0"/>
          <w:color w:val="000000"/>
          <w:kern w:val="0"/>
          <w:sz w:val="32"/>
          <w:szCs w:val="32"/>
          <w:lang w:eastAsia="zh-CN"/>
        </w:rPr>
        <w:t>收入</w:t>
      </w:r>
      <w:r>
        <w:rPr>
          <w:rFonts w:hint="eastAsia" w:ascii="仿宋_GB2312" w:hAnsi="仿宋_GB2312" w:eastAsia="仿宋_GB2312" w:cs="仿宋_GB2312"/>
          <w:b w:val="0"/>
          <w:bCs w:val="0"/>
          <w:color w:val="000000"/>
          <w:kern w:val="0"/>
          <w:sz w:val="32"/>
          <w:szCs w:val="32"/>
        </w:rPr>
        <w:t>预算为</w:t>
      </w:r>
      <w:r>
        <w:rPr>
          <w:rFonts w:hint="eastAsia" w:ascii="仿宋_GB2312" w:hAnsi="仿宋_GB2312" w:eastAsia="仿宋_GB2312" w:cs="仿宋_GB2312"/>
          <w:b w:val="0"/>
          <w:bCs w:val="0"/>
          <w:color w:val="000000"/>
          <w:kern w:val="0"/>
          <w:sz w:val="32"/>
          <w:szCs w:val="32"/>
          <w:lang w:val="en-US" w:eastAsia="zh-CN"/>
        </w:rPr>
        <w:t>620.15</w:t>
      </w:r>
      <w:r>
        <w:rPr>
          <w:rFonts w:hint="eastAsia" w:ascii="仿宋_GB2312" w:hAnsi="仿宋_GB2312" w:eastAsia="仿宋_GB2312" w:cs="仿宋_GB2312"/>
          <w:b w:val="0"/>
          <w:bCs w:val="0"/>
          <w:color w:val="000000"/>
          <w:kern w:val="0"/>
          <w:sz w:val="32"/>
          <w:szCs w:val="32"/>
        </w:rPr>
        <w:t>万元，调整预算数为</w:t>
      </w:r>
      <w:r>
        <w:rPr>
          <w:rFonts w:hint="eastAsia" w:ascii="仿宋_GB2312" w:hAnsi="仿宋_GB2312" w:eastAsia="仿宋_GB2312" w:cs="仿宋_GB2312"/>
          <w:b w:val="0"/>
          <w:bCs w:val="0"/>
          <w:color w:val="000000"/>
          <w:kern w:val="0"/>
          <w:sz w:val="32"/>
          <w:szCs w:val="32"/>
          <w:lang w:val="en-US" w:eastAsia="zh-CN"/>
        </w:rPr>
        <w:t>2590</w:t>
      </w:r>
      <w:r>
        <w:rPr>
          <w:rFonts w:hint="eastAsia" w:ascii="仿宋_GB2312" w:hAnsi="仿宋_GB2312" w:eastAsia="仿宋_GB2312" w:cs="仿宋_GB2312"/>
          <w:b w:val="0"/>
          <w:bCs w:val="0"/>
          <w:color w:val="000000"/>
          <w:kern w:val="0"/>
          <w:sz w:val="32"/>
          <w:szCs w:val="32"/>
        </w:rPr>
        <w:t>万元，20</w:t>
      </w:r>
      <w:r>
        <w:rPr>
          <w:rFonts w:hint="eastAsia" w:ascii="仿宋_GB2312" w:hAnsi="仿宋_GB2312" w:eastAsia="仿宋_GB2312" w:cs="仿宋_GB2312"/>
          <w:b w:val="0"/>
          <w:bCs w:val="0"/>
          <w:color w:val="000000"/>
          <w:kern w:val="0"/>
          <w:sz w:val="32"/>
          <w:szCs w:val="32"/>
          <w:lang w:val="en-US" w:eastAsia="zh-CN"/>
        </w:rPr>
        <w:t>19</w:t>
      </w:r>
      <w:r>
        <w:rPr>
          <w:rFonts w:hint="eastAsia" w:ascii="仿宋_GB2312" w:hAnsi="仿宋_GB2312" w:eastAsia="仿宋_GB2312" w:cs="仿宋_GB2312"/>
          <w:b w:val="0"/>
          <w:bCs w:val="0"/>
          <w:color w:val="000000"/>
          <w:kern w:val="0"/>
          <w:sz w:val="32"/>
          <w:szCs w:val="32"/>
        </w:rPr>
        <w:t>年度决算数为</w:t>
      </w:r>
      <w:r>
        <w:rPr>
          <w:rFonts w:hint="eastAsia" w:ascii="仿宋_GB2312" w:hAnsi="仿宋_GB2312" w:eastAsia="仿宋_GB2312" w:cs="仿宋_GB2312"/>
          <w:b w:val="0"/>
          <w:bCs w:val="0"/>
          <w:color w:val="000000"/>
          <w:kern w:val="0"/>
          <w:sz w:val="32"/>
          <w:szCs w:val="32"/>
          <w:lang w:val="en-US" w:eastAsia="zh-CN"/>
        </w:rPr>
        <w:t>2590</w:t>
      </w:r>
      <w:r>
        <w:rPr>
          <w:rFonts w:hint="eastAsia" w:ascii="仿宋_GB2312" w:hAnsi="仿宋_GB2312" w:eastAsia="仿宋_GB2312" w:cs="仿宋_GB2312"/>
          <w:b w:val="0"/>
          <w:bCs w:val="0"/>
          <w:color w:val="000000"/>
          <w:kern w:val="0"/>
          <w:sz w:val="32"/>
          <w:szCs w:val="32"/>
        </w:rPr>
        <w:t>万元</w:t>
      </w:r>
      <w:r>
        <w:rPr>
          <w:rFonts w:hint="eastAsia" w:ascii="仿宋_GB2312" w:hAnsi="仿宋_GB2312" w:eastAsia="仿宋_GB2312" w:cs="仿宋_GB2312"/>
          <w:b w:val="0"/>
          <w:bCs w:val="0"/>
          <w:color w:val="000000"/>
          <w:kern w:val="0"/>
          <w:sz w:val="32"/>
          <w:szCs w:val="32"/>
          <w:lang w:eastAsia="zh-CN"/>
        </w:rPr>
        <w:t>。</w:t>
      </w:r>
      <w:r>
        <w:rPr>
          <w:rFonts w:hint="eastAsia" w:ascii="仿宋_GB2312" w:hAnsi="仿宋_GB2312" w:eastAsia="仿宋_GB2312" w:cs="仿宋_GB2312"/>
          <w:b w:val="0"/>
          <w:bCs w:val="0"/>
          <w:color w:val="000000"/>
          <w:kern w:val="0"/>
          <w:sz w:val="32"/>
          <w:szCs w:val="32"/>
          <w:lang w:val="en-US" w:eastAsia="zh-CN"/>
        </w:rPr>
        <w:t>主要是万亩蔬菜示范片以及蔬菜产业链项目建设资金的增加</w:t>
      </w:r>
      <w:r>
        <w:rPr>
          <w:rFonts w:hint="eastAsia" w:ascii="仿宋_GB2312" w:hAnsi="仿宋_GB2312" w:eastAsia="仿宋_GB2312" w:cs="仿宋_GB2312"/>
          <w:b w:val="0"/>
          <w:bCs w:val="0"/>
          <w:color w:val="000000"/>
          <w:kern w:val="0"/>
          <w:sz w:val="32"/>
          <w:szCs w:val="32"/>
          <w:lang w:eastAsia="zh-CN"/>
        </w:rPr>
        <w:t>。</w:t>
      </w:r>
    </w:p>
    <w:p>
      <w:pPr>
        <w:keepNext w:val="0"/>
        <w:keepLines w:val="0"/>
        <w:pageBreakBefore w:val="0"/>
        <w:kinsoku/>
        <w:wordWrap/>
        <w:overflowPunct/>
        <w:topLinePunct w:val="0"/>
        <w:autoSpaceDE/>
        <w:autoSpaceDN/>
        <w:bidi w:val="0"/>
        <w:adjustRightInd/>
        <w:spacing w:line="576" w:lineRule="exact"/>
        <w:ind w:firstLine="640" w:firstLineChars="200"/>
        <w:jc w:val="both"/>
        <w:textAlignment w:val="auto"/>
        <w:rPr>
          <w:rFonts w:hint="default" w:ascii="仿宋_GB2312" w:hAnsi="仿宋_GB2312" w:eastAsia="仿宋_GB2312" w:cs="仿宋_GB2312"/>
          <w:b w:val="0"/>
          <w:bCs w:val="0"/>
          <w:color w:val="000000"/>
          <w:kern w:val="0"/>
          <w:sz w:val="32"/>
          <w:szCs w:val="32"/>
        </w:rPr>
      </w:pPr>
      <w:r>
        <w:rPr>
          <w:rFonts w:hint="eastAsia" w:ascii="仿宋_GB2312" w:hAnsi="仿宋_GB2312" w:eastAsia="仿宋_GB2312" w:cs="仿宋_GB2312"/>
          <w:b w:val="0"/>
          <w:bCs w:val="0"/>
          <w:color w:val="000000"/>
          <w:kern w:val="0"/>
          <w:sz w:val="32"/>
          <w:szCs w:val="32"/>
        </w:rPr>
        <w:t>201</w:t>
      </w:r>
      <w:r>
        <w:rPr>
          <w:rFonts w:hint="eastAsia" w:ascii="仿宋_GB2312" w:hAnsi="仿宋_GB2312" w:eastAsia="仿宋_GB2312" w:cs="仿宋_GB2312"/>
          <w:b w:val="0"/>
          <w:bCs w:val="0"/>
          <w:color w:val="000000"/>
          <w:kern w:val="0"/>
          <w:sz w:val="32"/>
          <w:szCs w:val="32"/>
          <w:lang w:val="en-US" w:eastAsia="zh-CN"/>
        </w:rPr>
        <w:t>9</w:t>
      </w:r>
      <w:r>
        <w:rPr>
          <w:rFonts w:hint="eastAsia" w:ascii="仿宋_GB2312" w:hAnsi="仿宋_GB2312" w:eastAsia="仿宋_GB2312" w:cs="仿宋_GB2312"/>
          <w:b w:val="0"/>
          <w:bCs w:val="0"/>
          <w:color w:val="000000"/>
          <w:kern w:val="0"/>
          <w:sz w:val="32"/>
          <w:szCs w:val="32"/>
        </w:rPr>
        <w:t>年度年初</w:t>
      </w:r>
      <w:r>
        <w:rPr>
          <w:rFonts w:hint="eastAsia" w:ascii="仿宋_GB2312" w:hAnsi="仿宋_GB2312" w:eastAsia="仿宋_GB2312" w:cs="仿宋_GB2312"/>
          <w:b w:val="0"/>
          <w:bCs w:val="0"/>
          <w:color w:val="000000"/>
          <w:kern w:val="0"/>
          <w:sz w:val="32"/>
          <w:szCs w:val="32"/>
          <w:lang w:eastAsia="zh-CN"/>
        </w:rPr>
        <w:t>支出</w:t>
      </w:r>
      <w:r>
        <w:rPr>
          <w:rFonts w:hint="eastAsia" w:ascii="仿宋_GB2312" w:hAnsi="仿宋_GB2312" w:eastAsia="仿宋_GB2312" w:cs="仿宋_GB2312"/>
          <w:b w:val="0"/>
          <w:bCs w:val="0"/>
          <w:color w:val="000000"/>
          <w:kern w:val="0"/>
          <w:sz w:val="32"/>
          <w:szCs w:val="32"/>
        </w:rPr>
        <w:t>预算为</w:t>
      </w:r>
      <w:r>
        <w:rPr>
          <w:rFonts w:hint="eastAsia" w:ascii="仿宋_GB2312" w:hAnsi="仿宋_GB2312" w:eastAsia="仿宋_GB2312" w:cs="仿宋_GB2312"/>
          <w:b w:val="0"/>
          <w:bCs w:val="0"/>
          <w:color w:val="000000"/>
          <w:kern w:val="0"/>
          <w:sz w:val="32"/>
          <w:szCs w:val="32"/>
          <w:lang w:val="en-US" w:eastAsia="zh-CN"/>
        </w:rPr>
        <w:t>620.15</w:t>
      </w:r>
      <w:r>
        <w:rPr>
          <w:rFonts w:hint="eastAsia" w:ascii="仿宋_GB2312" w:hAnsi="仿宋_GB2312" w:eastAsia="仿宋_GB2312" w:cs="仿宋_GB2312"/>
          <w:b w:val="0"/>
          <w:bCs w:val="0"/>
          <w:color w:val="000000"/>
          <w:kern w:val="0"/>
          <w:sz w:val="32"/>
          <w:szCs w:val="32"/>
        </w:rPr>
        <w:t>万元，调整预算数为</w:t>
      </w:r>
      <w:r>
        <w:rPr>
          <w:rFonts w:hint="eastAsia" w:ascii="仿宋_GB2312" w:hAnsi="仿宋_GB2312" w:eastAsia="仿宋_GB2312" w:cs="仿宋_GB2312"/>
          <w:b w:val="0"/>
          <w:bCs w:val="0"/>
          <w:color w:val="000000"/>
          <w:kern w:val="0"/>
          <w:sz w:val="32"/>
          <w:szCs w:val="32"/>
          <w:lang w:val="en-US" w:eastAsia="zh-CN"/>
        </w:rPr>
        <w:t>2532.22</w:t>
      </w:r>
      <w:r>
        <w:rPr>
          <w:rFonts w:hint="eastAsia" w:ascii="仿宋_GB2312" w:hAnsi="仿宋_GB2312" w:eastAsia="仿宋_GB2312" w:cs="仿宋_GB2312"/>
          <w:b w:val="0"/>
          <w:bCs w:val="0"/>
          <w:color w:val="000000"/>
          <w:kern w:val="0"/>
          <w:sz w:val="32"/>
          <w:szCs w:val="32"/>
        </w:rPr>
        <w:t>万元，20</w:t>
      </w:r>
      <w:r>
        <w:rPr>
          <w:rFonts w:hint="eastAsia" w:ascii="仿宋_GB2312" w:hAnsi="仿宋_GB2312" w:eastAsia="仿宋_GB2312" w:cs="仿宋_GB2312"/>
          <w:b w:val="0"/>
          <w:bCs w:val="0"/>
          <w:color w:val="000000"/>
          <w:kern w:val="0"/>
          <w:sz w:val="32"/>
          <w:szCs w:val="32"/>
          <w:lang w:val="en-US" w:eastAsia="zh-CN"/>
        </w:rPr>
        <w:t>19</w:t>
      </w:r>
      <w:r>
        <w:rPr>
          <w:rFonts w:hint="eastAsia" w:ascii="仿宋_GB2312" w:hAnsi="仿宋_GB2312" w:eastAsia="仿宋_GB2312" w:cs="仿宋_GB2312"/>
          <w:b w:val="0"/>
          <w:bCs w:val="0"/>
          <w:color w:val="000000"/>
          <w:kern w:val="0"/>
          <w:sz w:val="32"/>
          <w:szCs w:val="32"/>
        </w:rPr>
        <w:t>年度决算数为</w:t>
      </w:r>
      <w:r>
        <w:rPr>
          <w:rFonts w:hint="eastAsia" w:ascii="仿宋_GB2312" w:hAnsi="仿宋_GB2312" w:eastAsia="仿宋_GB2312" w:cs="仿宋_GB2312"/>
          <w:b w:val="0"/>
          <w:bCs w:val="0"/>
          <w:color w:val="000000"/>
          <w:kern w:val="0"/>
          <w:sz w:val="32"/>
          <w:szCs w:val="32"/>
          <w:lang w:val="en-US" w:eastAsia="zh-CN"/>
        </w:rPr>
        <w:t>2532.22</w:t>
      </w:r>
      <w:r>
        <w:rPr>
          <w:rFonts w:hint="eastAsia" w:ascii="仿宋_GB2312" w:hAnsi="仿宋_GB2312" w:eastAsia="仿宋_GB2312" w:cs="仿宋_GB2312"/>
          <w:b w:val="0"/>
          <w:bCs w:val="0"/>
          <w:color w:val="000000"/>
          <w:kern w:val="0"/>
          <w:sz w:val="32"/>
          <w:szCs w:val="32"/>
        </w:rPr>
        <w:t>万元</w:t>
      </w:r>
      <w:r>
        <w:rPr>
          <w:rFonts w:hint="eastAsia" w:ascii="仿宋_GB2312" w:hAnsi="仿宋_GB2312" w:eastAsia="仿宋_GB2312" w:cs="仿宋_GB2312"/>
          <w:b w:val="0"/>
          <w:bCs w:val="0"/>
          <w:color w:val="000000"/>
          <w:kern w:val="0"/>
          <w:sz w:val="32"/>
          <w:szCs w:val="32"/>
          <w:lang w:eastAsia="zh-CN"/>
        </w:rPr>
        <w:t>，非财政拨款结余结转资金为</w:t>
      </w:r>
      <w:r>
        <w:rPr>
          <w:rFonts w:hint="eastAsia" w:ascii="仿宋_GB2312" w:hAnsi="仿宋_GB2312" w:eastAsia="仿宋_GB2312" w:cs="仿宋_GB2312"/>
          <w:b w:val="0"/>
          <w:bCs w:val="0"/>
          <w:color w:val="000000"/>
          <w:kern w:val="0"/>
          <w:sz w:val="32"/>
          <w:szCs w:val="32"/>
          <w:lang w:val="en-US" w:eastAsia="zh-CN"/>
        </w:rPr>
        <w:t>131.38万元，</w:t>
      </w:r>
      <w:r>
        <w:rPr>
          <w:rFonts w:hint="eastAsia" w:ascii="仿宋_GB2312" w:hAnsi="仿宋_GB2312" w:eastAsia="仿宋_GB2312" w:cs="仿宋_GB2312"/>
          <w:b w:val="0"/>
          <w:bCs w:val="0"/>
          <w:color w:val="000000"/>
          <w:kern w:val="0"/>
          <w:sz w:val="32"/>
          <w:szCs w:val="32"/>
        </w:rPr>
        <w:t>当年预算支出完成率为</w:t>
      </w:r>
      <w:r>
        <w:rPr>
          <w:rFonts w:hint="eastAsia" w:ascii="仿宋_GB2312" w:hAnsi="仿宋_GB2312" w:eastAsia="仿宋_GB2312" w:cs="仿宋_GB2312"/>
          <w:b w:val="0"/>
          <w:bCs w:val="0"/>
          <w:color w:val="000000"/>
          <w:kern w:val="0"/>
          <w:sz w:val="32"/>
          <w:szCs w:val="32"/>
          <w:lang w:val="en-US" w:eastAsia="zh-CN"/>
        </w:rPr>
        <w:t>97.77</w:t>
      </w:r>
      <w:r>
        <w:rPr>
          <w:rFonts w:hint="eastAsia" w:ascii="仿宋_GB2312" w:hAnsi="仿宋_GB2312" w:eastAsia="仿宋_GB2312" w:cs="仿宋_GB2312"/>
          <w:b w:val="0"/>
          <w:bCs w:val="0"/>
          <w:color w:val="000000"/>
          <w:kern w:val="0"/>
          <w:sz w:val="32"/>
          <w:szCs w:val="32"/>
        </w:rPr>
        <w:t>%。</w:t>
      </w:r>
      <w:r>
        <w:rPr>
          <w:rFonts w:hint="eastAsia" w:ascii="仿宋_GB2312" w:hAnsi="仿宋_GB2312" w:eastAsia="仿宋_GB2312" w:cs="仿宋_GB2312"/>
          <w:b w:val="0"/>
          <w:bCs w:val="0"/>
          <w:color w:val="000000"/>
          <w:kern w:val="0"/>
          <w:sz w:val="32"/>
          <w:szCs w:val="32"/>
          <w:lang w:eastAsia="zh-CN"/>
        </w:rPr>
        <w:t>主要在于增加了</w:t>
      </w:r>
      <w:r>
        <w:rPr>
          <w:rFonts w:hint="eastAsia" w:ascii="仿宋_GB2312" w:hAnsi="仿宋_GB2312" w:eastAsia="仿宋_GB2312" w:cs="仿宋_GB2312"/>
          <w:b w:val="0"/>
          <w:bCs w:val="0"/>
          <w:color w:val="000000"/>
          <w:kern w:val="0"/>
          <w:sz w:val="32"/>
          <w:szCs w:val="32"/>
          <w:lang w:val="en-US" w:eastAsia="zh-CN"/>
        </w:rPr>
        <w:t>万亩蔬菜示范片和设施蔬菜示范园</w:t>
      </w:r>
      <w:r>
        <w:rPr>
          <w:rFonts w:hint="eastAsia" w:ascii="仿宋_GB2312" w:hAnsi="仿宋_GB2312" w:eastAsia="仿宋_GB2312" w:cs="仿宋_GB2312"/>
          <w:b w:val="0"/>
          <w:bCs w:val="0"/>
          <w:color w:val="000000"/>
          <w:kern w:val="0"/>
          <w:sz w:val="32"/>
          <w:szCs w:val="32"/>
          <w:lang w:eastAsia="zh-CN"/>
        </w:rPr>
        <w:t>项目建设资金拨付。</w:t>
      </w:r>
    </w:p>
    <w:p>
      <w:pPr>
        <w:keepNext w:val="0"/>
        <w:keepLines w:val="0"/>
        <w:pageBreakBefore w:val="0"/>
        <w:numPr>
          <w:ilvl w:val="0"/>
          <w:numId w:val="1"/>
        </w:numPr>
        <w:kinsoku/>
        <w:wordWrap/>
        <w:overflowPunct/>
        <w:topLinePunct w:val="0"/>
        <w:autoSpaceDE/>
        <w:autoSpaceDN/>
        <w:bidi w:val="0"/>
        <w:adjustRightInd/>
        <w:spacing w:line="576" w:lineRule="exact"/>
        <w:ind w:left="0" w:leftChars="0" w:firstLine="600" w:firstLineChars="200"/>
        <w:jc w:val="both"/>
        <w:textAlignment w:val="auto"/>
        <w:rPr>
          <w:rFonts w:hint="eastAsia" w:ascii="Times New Roman" w:hAnsi="Times New Roman" w:eastAsia="黑体" w:cs="Times New Roman"/>
          <w:sz w:val="30"/>
          <w:lang w:eastAsia="zh-CN"/>
        </w:rPr>
      </w:pPr>
      <w:r>
        <w:rPr>
          <w:rFonts w:hint="default" w:ascii="Times New Roman" w:hAnsi="Times New Roman" w:eastAsia="黑体" w:cs="Times New Roman"/>
          <w:sz w:val="30"/>
        </w:rPr>
        <w:t>部门</w:t>
      </w:r>
      <w:r>
        <w:rPr>
          <w:rFonts w:hint="eastAsia" w:ascii="Times New Roman" w:hAnsi="Times New Roman" w:eastAsia="黑体" w:cs="Times New Roman"/>
          <w:sz w:val="30"/>
          <w:lang w:eastAsia="zh-CN"/>
        </w:rPr>
        <w:t>资产管理情况</w:t>
      </w:r>
    </w:p>
    <w:p>
      <w:pPr>
        <w:keepNext w:val="0"/>
        <w:keepLines w:val="0"/>
        <w:pageBreakBefore w:val="0"/>
        <w:kinsoku/>
        <w:wordWrap/>
        <w:overflowPunct/>
        <w:topLinePunct w:val="0"/>
        <w:autoSpaceDE/>
        <w:autoSpaceDN/>
        <w:bidi w:val="0"/>
        <w:adjustRightInd/>
        <w:spacing w:line="576" w:lineRule="exact"/>
        <w:ind w:firstLine="640" w:firstLineChars="200"/>
        <w:jc w:val="both"/>
        <w:textAlignment w:val="auto"/>
        <w:rPr>
          <w:rFonts w:hint="eastAsia" w:ascii="仿宋_GB2312" w:hAnsi="仿宋_GB2312" w:eastAsia="仿宋_GB2312" w:cs="仿宋_GB2312"/>
          <w:b w:val="0"/>
          <w:bCs w:val="0"/>
          <w:color w:val="000000"/>
          <w:kern w:val="0"/>
          <w:sz w:val="32"/>
          <w:szCs w:val="32"/>
          <w:lang w:val="en-US" w:eastAsia="zh-CN"/>
        </w:rPr>
      </w:pPr>
      <w:r>
        <w:rPr>
          <w:rFonts w:hint="eastAsia" w:ascii="仿宋_GB2312" w:hAnsi="仿宋_GB2312" w:eastAsia="仿宋_GB2312" w:cs="仿宋_GB2312"/>
          <w:b w:val="0"/>
          <w:bCs w:val="0"/>
          <w:color w:val="000000"/>
          <w:kern w:val="0"/>
          <w:sz w:val="32"/>
          <w:szCs w:val="32"/>
          <w:lang w:val="en-US" w:eastAsia="zh-CN"/>
        </w:rPr>
        <w:t>截至2019年底，农科园资产总额总计2799.35万元，其中固定资产原值1970.02万元。单位按照湖南省行政事业单位国有资产管理实施暂行办法（湘政办发〔2008〕33号） 相关文件精神进行本单位资产管理。进行资产配置使用和处置管理时，严格按照相关区文件指示、规范化管理。并且，已对本单位所有资产统一贴标，建立电子化文档，所有资产进行信息化管理。</w:t>
      </w:r>
    </w:p>
    <w:p>
      <w:pPr>
        <w:keepNext w:val="0"/>
        <w:keepLines w:val="0"/>
        <w:pageBreakBefore w:val="0"/>
        <w:kinsoku/>
        <w:wordWrap/>
        <w:overflowPunct/>
        <w:topLinePunct w:val="0"/>
        <w:autoSpaceDE/>
        <w:autoSpaceDN/>
        <w:bidi w:val="0"/>
        <w:adjustRightInd/>
        <w:spacing w:line="576" w:lineRule="exact"/>
        <w:ind w:firstLine="640" w:firstLineChars="200"/>
        <w:jc w:val="both"/>
        <w:textAlignment w:val="auto"/>
        <w:rPr>
          <w:rFonts w:hint="eastAsia" w:ascii="仿宋_GB2312" w:hAnsi="仿宋_GB2312" w:eastAsia="仿宋_GB2312" w:cs="仿宋_GB2312"/>
          <w:b w:val="0"/>
          <w:bCs w:val="0"/>
          <w:color w:val="000000"/>
          <w:kern w:val="0"/>
          <w:sz w:val="32"/>
          <w:szCs w:val="32"/>
          <w:lang w:val="en-US" w:eastAsia="zh-CN"/>
        </w:rPr>
      </w:pPr>
      <w:r>
        <w:rPr>
          <w:rFonts w:hint="eastAsia" w:ascii="仿宋_GB2312" w:hAnsi="仿宋_GB2312" w:eastAsia="仿宋_GB2312" w:cs="仿宋_GB2312"/>
          <w:b w:val="0"/>
          <w:bCs w:val="0"/>
          <w:color w:val="000000"/>
          <w:kern w:val="0"/>
          <w:sz w:val="32"/>
          <w:szCs w:val="32"/>
          <w:lang w:val="en-US" w:eastAsia="zh-CN"/>
        </w:rPr>
        <w:t>单位所管理的公共基础设施为耕读园文化广场，属于市政工程，金额原价总计878.68万元。根据上级文件要求，耕读园文化广场属于市政工程，在进行会计制度新旧衔接时，从固定资产科目转换为公共基础设施科目，暂不进行折旧。随着使用年限的增加，运营维护费用也有所增加。</w:t>
      </w:r>
    </w:p>
    <w:p>
      <w:pPr>
        <w:keepNext w:val="0"/>
        <w:keepLines w:val="0"/>
        <w:pageBreakBefore w:val="0"/>
        <w:numPr>
          <w:ilvl w:val="0"/>
          <w:numId w:val="1"/>
        </w:numPr>
        <w:kinsoku/>
        <w:wordWrap/>
        <w:overflowPunct/>
        <w:topLinePunct w:val="0"/>
        <w:autoSpaceDE/>
        <w:autoSpaceDN/>
        <w:bidi w:val="0"/>
        <w:adjustRightInd/>
        <w:spacing w:line="576" w:lineRule="exact"/>
        <w:ind w:left="0" w:leftChars="0" w:firstLine="600" w:firstLineChars="200"/>
        <w:jc w:val="both"/>
        <w:textAlignment w:val="auto"/>
        <w:rPr>
          <w:rFonts w:hint="default" w:ascii="Times New Roman" w:hAnsi="Times New Roman" w:eastAsia="黑体" w:cs="Times New Roman"/>
          <w:sz w:val="30"/>
        </w:rPr>
      </w:pPr>
      <w:r>
        <w:rPr>
          <w:rFonts w:hint="default" w:ascii="Times New Roman" w:hAnsi="Times New Roman" w:eastAsia="黑体" w:cs="Times New Roman"/>
          <w:sz w:val="30"/>
        </w:rPr>
        <w:t>部门整体支出绩效目标及开展情况</w:t>
      </w:r>
    </w:p>
    <w:p>
      <w:pPr>
        <w:keepNext w:val="0"/>
        <w:keepLines w:val="0"/>
        <w:pageBreakBefore w:val="0"/>
        <w:kinsoku/>
        <w:wordWrap/>
        <w:overflowPunct/>
        <w:topLinePunct w:val="0"/>
        <w:autoSpaceDE/>
        <w:autoSpaceDN/>
        <w:bidi w:val="0"/>
        <w:adjustRightInd/>
        <w:spacing w:line="576" w:lineRule="exact"/>
        <w:ind w:firstLine="640" w:firstLineChars="200"/>
        <w:jc w:val="both"/>
        <w:textAlignment w:val="auto"/>
        <w:rPr>
          <w:rFonts w:hint="eastAsia" w:ascii="仿宋_GB2312" w:hAnsi="仿宋_GB2312" w:eastAsia="仿宋_GB2312" w:cs="仿宋_GB2312"/>
          <w:b w:val="0"/>
          <w:bCs w:val="0"/>
          <w:color w:val="000000"/>
          <w:kern w:val="0"/>
          <w:sz w:val="32"/>
          <w:szCs w:val="32"/>
          <w:lang w:val="en-US" w:eastAsia="zh-CN"/>
        </w:rPr>
      </w:pPr>
      <w:r>
        <w:rPr>
          <w:rFonts w:hint="eastAsia" w:ascii="仿宋_GB2312" w:hAnsi="仿宋_GB2312" w:eastAsia="仿宋_GB2312" w:cs="仿宋_GB2312"/>
          <w:b w:val="0"/>
          <w:bCs w:val="0"/>
          <w:color w:val="000000"/>
          <w:kern w:val="0"/>
          <w:sz w:val="32"/>
          <w:szCs w:val="32"/>
          <w:lang w:val="en-US" w:eastAsia="zh-CN"/>
        </w:rPr>
        <w:t>部门整体支出绩效目标</w:t>
      </w:r>
    </w:p>
    <w:p>
      <w:pPr>
        <w:keepNext w:val="0"/>
        <w:keepLines w:val="0"/>
        <w:pageBreakBefore w:val="0"/>
        <w:kinsoku/>
        <w:wordWrap/>
        <w:overflowPunct/>
        <w:topLinePunct w:val="0"/>
        <w:autoSpaceDE/>
        <w:autoSpaceDN/>
        <w:bidi w:val="0"/>
        <w:adjustRightInd/>
        <w:spacing w:line="576" w:lineRule="exact"/>
        <w:ind w:firstLine="640" w:firstLineChars="200"/>
        <w:jc w:val="both"/>
        <w:textAlignment w:val="auto"/>
        <w:rPr>
          <w:rFonts w:hint="eastAsia" w:ascii="仿宋_GB2312" w:hAnsi="仿宋_GB2312" w:eastAsia="仿宋_GB2312" w:cs="仿宋_GB2312"/>
          <w:b w:val="0"/>
          <w:bCs w:val="0"/>
          <w:color w:val="000000"/>
          <w:kern w:val="0"/>
          <w:sz w:val="32"/>
          <w:szCs w:val="32"/>
          <w:lang w:val="en-US" w:eastAsia="zh-CN"/>
        </w:rPr>
      </w:pPr>
      <w:r>
        <w:rPr>
          <w:rFonts w:hint="eastAsia" w:ascii="仿宋_GB2312" w:hAnsi="仿宋_GB2312" w:eastAsia="仿宋_GB2312" w:cs="仿宋_GB2312"/>
          <w:b w:val="0"/>
          <w:bCs w:val="0"/>
          <w:color w:val="000000"/>
          <w:kern w:val="0"/>
          <w:sz w:val="32"/>
          <w:szCs w:val="32"/>
          <w:lang w:val="en-US" w:eastAsia="zh-CN"/>
        </w:rPr>
        <w:t>1.资金的到位率</w:t>
      </w:r>
    </w:p>
    <w:p>
      <w:pPr>
        <w:keepNext w:val="0"/>
        <w:keepLines w:val="0"/>
        <w:pageBreakBefore w:val="0"/>
        <w:kinsoku/>
        <w:wordWrap/>
        <w:overflowPunct/>
        <w:topLinePunct w:val="0"/>
        <w:autoSpaceDE/>
        <w:autoSpaceDN/>
        <w:bidi w:val="0"/>
        <w:adjustRightInd/>
        <w:spacing w:line="576" w:lineRule="exact"/>
        <w:ind w:firstLine="640" w:firstLineChars="200"/>
        <w:jc w:val="both"/>
        <w:textAlignment w:val="auto"/>
        <w:rPr>
          <w:rFonts w:hint="eastAsia" w:ascii="仿宋_GB2312" w:hAnsi="仿宋_GB2312" w:eastAsia="仿宋_GB2312" w:cs="仿宋_GB2312"/>
          <w:b w:val="0"/>
          <w:bCs w:val="0"/>
          <w:color w:val="000000"/>
          <w:kern w:val="0"/>
          <w:sz w:val="32"/>
          <w:szCs w:val="32"/>
          <w:lang w:val="en-US" w:eastAsia="zh-CN"/>
        </w:rPr>
      </w:pPr>
      <w:r>
        <w:rPr>
          <w:rFonts w:hint="eastAsia" w:ascii="仿宋_GB2312" w:hAnsi="仿宋_GB2312" w:eastAsia="仿宋_GB2312" w:cs="仿宋_GB2312"/>
          <w:b w:val="0"/>
          <w:bCs w:val="0"/>
          <w:color w:val="000000"/>
          <w:kern w:val="0"/>
          <w:sz w:val="32"/>
          <w:szCs w:val="32"/>
          <w:lang w:val="en-US" w:eastAsia="zh-CN"/>
        </w:rPr>
        <w:t>2019年，部门预算资金额为620.15万元，调整预算资金金额为2590万元，部门预算实际到位资金为2590万元，资金到位率100%。</w:t>
      </w:r>
    </w:p>
    <w:p>
      <w:pPr>
        <w:keepNext w:val="0"/>
        <w:keepLines w:val="0"/>
        <w:pageBreakBefore w:val="0"/>
        <w:kinsoku/>
        <w:wordWrap/>
        <w:overflowPunct/>
        <w:topLinePunct w:val="0"/>
        <w:autoSpaceDE/>
        <w:autoSpaceDN/>
        <w:bidi w:val="0"/>
        <w:adjustRightInd/>
        <w:spacing w:line="576" w:lineRule="exact"/>
        <w:ind w:firstLine="640" w:firstLineChars="200"/>
        <w:jc w:val="both"/>
        <w:textAlignment w:val="auto"/>
        <w:rPr>
          <w:rFonts w:hint="eastAsia" w:ascii="仿宋_GB2312" w:hAnsi="仿宋_GB2312" w:eastAsia="仿宋_GB2312" w:cs="仿宋_GB2312"/>
          <w:b w:val="0"/>
          <w:bCs w:val="0"/>
          <w:color w:val="000000"/>
          <w:kern w:val="0"/>
          <w:sz w:val="32"/>
          <w:szCs w:val="32"/>
          <w:lang w:val="en-US" w:eastAsia="zh-CN"/>
        </w:rPr>
      </w:pPr>
      <w:r>
        <w:rPr>
          <w:rFonts w:hint="eastAsia" w:ascii="仿宋_GB2312" w:hAnsi="仿宋_GB2312" w:eastAsia="仿宋_GB2312" w:cs="仿宋_GB2312"/>
          <w:b w:val="0"/>
          <w:bCs w:val="0"/>
          <w:color w:val="000000"/>
          <w:kern w:val="0"/>
          <w:sz w:val="32"/>
          <w:szCs w:val="32"/>
          <w:lang w:val="en-US" w:eastAsia="zh-CN"/>
        </w:rPr>
        <w:t>2.产出指标绩效目标</w:t>
      </w:r>
    </w:p>
    <w:p>
      <w:pPr>
        <w:keepNext w:val="0"/>
        <w:keepLines w:val="0"/>
        <w:pageBreakBefore w:val="0"/>
        <w:kinsoku/>
        <w:wordWrap/>
        <w:overflowPunct/>
        <w:topLinePunct w:val="0"/>
        <w:autoSpaceDE/>
        <w:autoSpaceDN/>
        <w:bidi w:val="0"/>
        <w:adjustRightInd/>
        <w:spacing w:line="576" w:lineRule="exact"/>
        <w:ind w:firstLine="640" w:firstLineChars="200"/>
        <w:jc w:val="both"/>
        <w:textAlignment w:val="auto"/>
        <w:rPr>
          <w:rFonts w:hint="eastAsia" w:ascii="仿宋_GB2312" w:hAnsi="仿宋_GB2312" w:eastAsia="仿宋_GB2312" w:cs="仿宋_GB2312"/>
          <w:b w:val="0"/>
          <w:bCs w:val="0"/>
          <w:color w:val="000000"/>
          <w:kern w:val="0"/>
          <w:sz w:val="32"/>
          <w:szCs w:val="32"/>
          <w:lang w:val="en-US" w:eastAsia="zh-CN"/>
        </w:rPr>
      </w:pPr>
      <w:r>
        <w:rPr>
          <w:rFonts w:hint="eastAsia" w:ascii="仿宋_GB2312" w:hAnsi="仿宋_GB2312" w:eastAsia="仿宋_GB2312" w:cs="仿宋_GB2312"/>
          <w:b w:val="0"/>
          <w:bCs w:val="0"/>
          <w:color w:val="000000"/>
          <w:kern w:val="0"/>
          <w:sz w:val="32"/>
          <w:szCs w:val="32"/>
          <w:lang w:val="en-US" w:eastAsia="zh-CN"/>
        </w:rPr>
        <w:t>数量指标：辐射望城农业企业，扶持农企个数或项目数。质量指标：项目扶持制定了明确的扶持范围、扶持标准；项目申报范围、审核及验收程序合规；资金拨付符合标准。时效指标：按实施方案规定的时间节点启动；按实施方案规定的时间节点组织、实施、验收、拨付到位。成本指标：单个项目扶持按扶持标准执行。</w:t>
      </w:r>
    </w:p>
    <w:p>
      <w:pPr>
        <w:keepNext w:val="0"/>
        <w:keepLines w:val="0"/>
        <w:pageBreakBefore w:val="0"/>
        <w:kinsoku/>
        <w:wordWrap/>
        <w:overflowPunct/>
        <w:topLinePunct w:val="0"/>
        <w:autoSpaceDE/>
        <w:autoSpaceDN/>
        <w:bidi w:val="0"/>
        <w:adjustRightInd/>
        <w:spacing w:line="576" w:lineRule="exact"/>
        <w:ind w:firstLine="640" w:firstLineChars="200"/>
        <w:jc w:val="both"/>
        <w:textAlignment w:val="auto"/>
        <w:rPr>
          <w:rFonts w:hint="eastAsia" w:ascii="仿宋_GB2312" w:hAnsi="仿宋_GB2312" w:eastAsia="仿宋_GB2312" w:cs="仿宋_GB2312"/>
          <w:b w:val="0"/>
          <w:bCs w:val="0"/>
          <w:color w:val="000000"/>
          <w:kern w:val="0"/>
          <w:sz w:val="32"/>
          <w:szCs w:val="32"/>
          <w:lang w:val="en-US" w:eastAsia="zh-CN"/>
        </w:rPr>
      </w:pPr>
      <w:r>
        <w:rPr>
          <w:rFonts w:hint="eastAsia" w:ascii="仿宋_GB2312" w:hAnsi="仿宋_GB2312" w:eastAsia="仿宋_GB2312" w:cs="仿宋_GB2312"/>
          <w:b w:val="0"/>
          <w:bCs w:val="0"/>
          <w:color w:val="000000"/>
          <w:kern w:val="0"/>
          <w:sz w:val="32"/>
          <w:szCs w:val="32"/>
          <w:lang w:val="en-US" w:eastAsia="zh-CN"/>
        </w:rPr>
        <w:t>3.效益指标绩效目标</w:t>
      </w:r>
    </w:p>
    <w:p>
      <w:pPr>
        <w:keepNext w:val="0"/>
        <w:keepLines w:val="0"/>
        <w:pageBreakBefore w:val="0"/>
        <w:kinsoku/>
        <w:wordWrap/>
        <w:overflowPunct/>
        <w:topLinePunct w:val="0"/>
        <w:autoSpaceDE/>
        <w:autoSpaceDN/>
        <w:bidi w:val="0"/>
        <w:adjustRightInd/>
        <w:spacing w:line="576" w:lineRule="exact"/>
        <w:ind w:firstLine="640" w:firstLineChars="200"/>
        <w:jc w:val="both"/>
        <w:textAlignment w:val="auto"/>
        <w:rPr>
          <w:rFonts w:hint="eastAsia" w:ascii="仿宋_GB2312" w:hAnsi="仿宋_GB2312" w:eastAsia="仿宋_GB2312" w:cs="仿宋_GB2312"/>
          <w:b w:val="0"/>
          <w:bCs w:val="0"/>
          <w:color w:val="000000"/>
          <w:kern w:val="0"/>
          <w:sz w:val="32"/>
          <w:szCs w:val="32"/>
          <w:lang w:val="en-US" w:eastAsia="zh-CN"/>
        </w:rPr>
      </w:pPr>
      <w:r>
        <w:rPr>
          <w:rFonts w:hint="eastAsia" w:ascii="仿宋_GB2312" w:hAnsi="仿宋_GB2312" w:eastAsia="仿宋_GB2312" w:cs="仿宋_GB2312"/>
          <w:b w:val="0"/>
          <w:bCs w:val="0"/>
          <w:color w:val="000000"/>
          <w:kern w:val="0"/>
          <w:sz w:val="32"/>
          <w:szCs w:val="32"/>
          <w:lang w:val="en-US" w:eastAsia="zh-CN"/>
        </w:rPr>
        <w:t>经济效益指标：园区科技对产业的贡献值同比上升，受扶持企业产业</w:t>
      </w:r>
      <w:r>
        <w:rPr>
          <w:rFonts w:hint="eastAsia" w:hAnsi="仿宋_GB2312" w:cs="仿宋_GB2312"/>
          <w:b w:val="0"/>
          <w:bCs w:val="0"/>
          <w:color w:val="000000"/>
          <w:kern w:val="0"/>
          <w:sz w:val="32"/>
          <w:szCs w:val="32"/>
          <w:lang w:val="en-US" w:eastAsia="zh-CN"/>
        </w:rPr>
        <w:t>发展态势呈现良好状态</w:t>
      </w:r>
      <w:r>
        <w:rPr>
          <w:rFonts w:hint="eastAsia" w:ascii="仿宋_GB2312" w:hAnsi="仿宋_GB2312" w:eastAsia="仿宋_GB2312" w:cs="仿宋_GB2312"/>
          <w:b w:val="0"/>
          <w:bCs w:val="0"/>
          <w:color w:val="000000"/>
          <w:kern w:val="0"/>
          <w:sz w:val="32"/>
          <w:szCs w:val="32"/>
          <w:lang w:val="en-US" w:eastAsia="zh-CN"/>
        </w:rPr>
        <w:t>。社会效益指标：知识产权数</w:t>
      </w:r>
      <w:r>
        <w:rPr>
          <w:rFonts w:hint="eastAsia" w:hAnsi="仿宋_GB2312" w:cs="仿宋_GB2312"/>
          <w:b w:val="0"/>
          <w:bCs w:val="0"/>
          <w:color w:val="000000"/>
          <w:kern w:val="0"/>
          <w:sz w:val="32"/>
          <w:szCs w:val="32"/>
          <w:lang w:val="en-US" w:eastAsia="zh-CN"/>
        </w:rPr>
        <w:t>增加</w:t>
      </w:r>
      <w:r>
        <w:rPr>
          <w:rFonts w:hint="eastAsia" w:ascii="仿宋_GB2312" w:hAnsi="仿宋_GB2312" w:eastAsia="仿宋_GB2312" w:cs="仿宋_GB2312"/>
          <w:b w:val="0"/>
          <w:bCs w:val="0"/>
          <w:color w:val="000000"/>
          <w:kern w:val="0"/>
          <w:sz w:val="32"/>
          <w:szCs w:val="32"/>
          <w:lang w:val="en-US" w:eastAsia="zh-CN"/>
        </w:rPr>
        <w:t>至少一项，技术及品种引进推广数至少二个。生态效益指标：坚持生态与科技相融合,力争实现科技驱动、资源节约、生态安全、环境友好的目标。可持续影响指标：多措并举，持续提高涉农企业的科技含量，提高园区企业的核心竞争力。社会公众或服务对象满意度指标：提高公众及服务或服务对象满意度，高达95%。</w:t>
      </w:r>
    </w:p>
    <w:p>
      <w:pPr>
        <w:keepNext w:val="0"/>
        <w:keepLines w:val="0"/>
        <w:pageBreakBefore w:val="0"/>
        <w:kinsoku/>
        <w:wordWrap/>
        <w:overflowPunct/>
        <w:topLinePunct w:val="0"/>
        <w:autoSpaceDE/>
        <w:autoSpaceDN/>
        <w:bidi w:val="0"/>
        <w:adjustRightInd/>
        <w:spacing w:line="576" w:lineRule="exact"/>
        <w:ind w:firstLine="640" w:firstLineChars="200"/>
        <w:jc w:val="both"/>
        <w:textAlignment w:val="auto"/>
        <w:rPr>
          <w:rFonts w:hint="eastAsia" w:ascii="仿宋_GB2312" w:hAnsi="仿宋_GB2312" w:eastAsia="仿宋_GB2312" w:cs="仿宋_GB2312"/>
          <w:b w:val="0"/>
          <w:bCs w:val="0"/>
          <w:color w:val="000000"/>
          <w:kern w:val="0"/>
          <w:sz w:val="32"/>
          <w:szCs w:val="32"/>
          <w:lang w:val="en-US" w:eastAsia="zh-CN"/>
        </w:rPr>
      </w:pPr>
      <w:r>
        <w:rPr>
          <w:rFonts w:hint="eastAsia" w:ascii="仿宋_GB2312" w:hAnsi="仿宋_GB2312" w:eastAsia="仿宋_GB2312" w:cs="仿宋_GB2312"/>
          <w:b w:val="0"/>
          <w:bCs w:val="0"/>
          <w:color w:val="000000"/>
          <w:kern w:val="0"/>
          <w:sz w:val="32"/>
          <w:szCs w:val="32"/>
          <w:lang w:val="en-US" w:eastAsia="zh-CN"/>
        </w:rPr>
        <w:t>（二）本部门预算绩效管理开展情况</w:t>
      </w:r>
    </w:p>
    <w:p>
      <w:pPr>
        <w:keepNext w:val="0"/>
        <w:keepLines w:val="0"/>
        <w:pageBreakBefore w:val="0"/>
        <w:kinsoku/>
        <w:wordWrap/>
        <w:overflowPunct/>
        <w:topLinePunct w:val="0"/>
        <w:autoSpaceDE/>
        <w:autoSpaceDN/>
        <w:bidi w:val="0"/>
        <w:adjustRightInd/>
        <w:spacing w:line="576" w:lineRule="exact"/>
        <w:ind w:firstLine="640" w:firstLineChars="200"/>
        <w:jc w:val="both"/>
        <w:textAlignment w:val="auto"/>
        <w:rPr>
          <w:rFonts w:hint="eastAsia" w:ascii="仿宋_GB2312" w:hAnsi="仿宋_GB2312" w:eastAsia="仿宋_GB2312" w:cs="仿宋_GB2312"/>
          <w:b w:val="0"/>
          <w:bCs w:val="0"/>
          <w:color w:val="000000"/>
          <w:kern w:val="0"/>
          <w:sz w:val="32"/>
          <w:szCs w:val="32"/>
          <w:lang w:val="en-US" w:eastAsia="zh-CN"/>
        </w:rPr>
      </w:pPr>
      <w:r>
        <w:rPr>
          <w:rFonts w:hint="eastAsia" w:ascii="仿宋_GB2312" w:hAnsi="仿宋_GB2312" w:eastAsia="仿宋_GB2312" w:cs="仿宋_GB2312"/>
          <w:b w:val="0"/>
          <w:bCs w:val="0"/>
          <w:color w:val="000000"/>
          <w:kern w:val="0"/>
          <w:sz w:val="32"/>
          <w:szCs w:val="32"/>
          <w:lang w:val="en-US" w:eastAsia="zh-CN"/>
        </w:rPr>
        <w:t>1.制定绩效目标。根据同级财政部门的要求，2019年度我们制定了部门整体绩效目标，以目标为指引，强化资金绩效管理。另外对于社会投资财政奖补项目，我们要求各项目实施单位在规定时间内根据申报指南要求集中申报，同时要提交绩效目标。</w:t>
      </w:r>
    </w:p>
    <w:p>
      <w:pPr>
        <w:keepNext w:val="0"/>
        <w:keepLines w:val="0"/>
        <w:pageBreakBefore w:val="0"/>
        <w:kinsoku/>
        <w:wordWrap/>
        <w:overflowPunct/>
        <w:topLinePunct w:val="0"/>
        <w:autoSpaceDE/>
        <w:autoSpaceDN/>
        <w:bidi w:val="0"/>
        <w:adjustRightInd/>
        <w:spacing w:line="576" w:lineRule="exact"/>
        <w:ind w:firstLine="640" w:firstLineChars="200"/>
        <w:jc w:val="both"/>
        <w:textAlignment w:val="auto"/>
        <w:rPr>
          <w:rFonts w:hint="eastAsia" w:ascii="仿宋_GB2312" w:hAnsi="仿宋_GB2312" w:eastAsia="仿宋_GB2312" w:cs="仿宋_GB2312"/>
          <w:b w:val="0"/>
          <w:bCs w:val="0"/>
          <w:color w:val="000000"/>
          <w:kern w:val="0"/>
          <w:sz w:val="32"/>
          <w:szCs w:val="32"/>
          <w:lang w:val="en-US" w:eastAsia="zh-CN"/>
        </w:rPr>
      </w:pPr>
      <w:r>
        <w:rPr>
          <w:rFonts w:hint="eastAsia" w:ascii="仿宋_GB2312" w:hAnsi="仿宋_GB2312" w:eastAsia="仿宋_GB2312" w:cs="仿宋_GB2312"/>
          <w:b w:val="0"/>
          <w:bCs w:val="0"/>
          <w:color w:val="000000"/>
          <w:kern w:val="0"/>
          <w:sz w:val="32"/>
          <w:szCs w:val="32"/>
          <w:lang w:val="en-US" w:eastAsia="zh-CN"/>
        </w:rPr>
        <w:t>2.完善项目申报。根据相关要求，2019年度我们印发了《望城蔬菜产业发展专项资金管理办法（2019-2021年）》的通知，发布了2019年蔬菜产业项目申报细则。根据专项资金管理办法，按公开申报、初步审核、验收评审、资金安排等程序实施，在项目立项过程中和立项后，按要求对项目实施单位加强监督和管理，确保项目高效推进、高质量完成。</w:t>
      </w:r>
    </w:p>
    <w:p>
      <w:pPr>
        <w:keepNext w:val="0"/>
        <w:keepLines w:val="0"/>
        <w:pageBreakBefore w:val="0"/>
        <w:kinsoku/>
        <w:wordWrap/>
        <w:overflowPunct/>
        <w:topLinePunct w:val="0"/>
        <w:autoSpaceDE/>
        <w:autoSpaceDN/>
        <w:bidi w:val="0"/>
        <w:adjustRightInd/>
        <w:spacing w:line="576" w:lineRule="exact"/>
        <w:ind w:firstLine="640" w:firstLineChars="200"/>
        <w:jc w:val="both"/>
        <w:textAlignment w:val="auto"/>
        <w:rPr>
          <w:rFonts w:hint="eastAsia" w:ascii="仿宋_GB2312" w:hAnsi="仿宋_GB2312" w:eastAsia="仿宋_GB2312" w:cs="仿宋_GB2312"/>
          <w:b w:val="0"/>
          <w:bCs w:val="0"/>
          <w:color w:val="000000"/>
          <w:kern w:val="0"/>
          <w:sz w:val="32"/>
          <w:szCs w:val="32"/>
          <w:lang w:val="en-US" w:eastAsia="zh-CN"/>
        </w:rPr>
      </w:pPr>
      <w:r>
        <w:rPr>
          <w:rFonts w:hint="eastAsia" w:ascii="仿宋_GB2312" w:hAnsi="仿宋_GB2312" w:eastAsia="仿宋_GB2312" w:cs="仿宋_GB2312"/>
          <w:b w:val="0"/>
          <w:bCs w:val="0"/>
          <w:color w:val="000000"/>
          <w:kern w:val="0"/>
          <w:sz w:val="32"/>
          <w:szCs w:val="32"/>
          <w:lang w:val="en-US" w:eastAsia="zh-CN"/>
        </w:rPr>
        <w:t>3.严格项目验收。各街镇对辖区内申报企业初审筛查，形成初审合格项目汇总报农科园，农科园会同有关部门对通过初步审核的项目开展验收评审。</w:t>
      </w:r>
    </w:p>
    <w:p>
      <w:pPr>
        <w:keepNext w:val="0"/>
        <w:keepLines w:val="0"/>
        <w:pageBreakBefore w:val="0"/>
        <w:kinsoku/>
        <w:wordWrap/>
        <w:overflowPunct/>
        <w:topLinePunct w:val="0"/>
        <w:autoSpaceDE/>
        <w:autoSpaceDN/>
        <w:bidi w:val="0"/>
        <w:adjustRightInd/>
        <w:spacing w:line="576" w:lineRule="exact"/>
        <w:ind w:firstLine="640" w:firstLineChars="200"/>
        <w:jc w:val="both"/>
        <w:textAlignment w:val="auto"/>
        <w:rPr>
          <w:rFonts w:hint="eastAsia" w:ascii="仿宋_GB2312" w:hAnsi="仿宋_GB2312" w:eastAsia="仿宋_GB2312" w:cs="仿宋_GB2312"/>
          <w:b w:val="0"/>
          <w:bCs w:val="0"/>
          <w:color w:val="000000"/>
          <w:kern w:val="0"/>
          <w:sz w:val="32"/>
          <w:szCs w:val="32"/>
          <w:lang w:val="en-US" w:eastAsia="zh-CN"/>
        </w:rPr>
      </w:pPr>
      <w:r>
        <w:rPr>
          <w:rFonts w:hint="eastAsia" w:ascii="仿宋_GB2312" w:hAnsi="仿宋_GB2312" w:eastAsia="仿宋_GB2312" w:cs="仿宋_GB2312"/>
          <w:b w:val="0"/>
          <w:bCs w:val="0"/>
          <w:color w:val="000000"/>
          <w:kern w:val="0"/>
          <w:sz w:val="32"/>
          <w:szCs w:val="32"/>
          <w:lang w:val="en-US" w:eastAsia="zh-CN"/>
        </w:rPr>
        <w:t>4.加强资金监管。社会投资财政奖补项目的扶持方案在区政府门户网站向社会公示，公示无异议后，按相关程序下拨项目资金。对项目实施和专项资金使用情况加强监管，我们一方面采取农科园</w:t>
      </w:r>
      <w:r>
        <w:rPr>
          <w:rFonts w:hint="eastAsia" w:hAnsi="仿宋_GB2312" w:cs="仿宋_GB2312"/>
          <w:b w:val="0"/>
          <w:bCs w:val="0"/>
          <w:color w:val="000000"/>
          <w:kern w:val="0"/>
          <w:sz w:val="32"/>
          <w:szCs w:val="32"/>
          <w:lang w:val="en-US" w:eastAsia="zh-CN"/>
        </w:rPr>
        <w:t>组织相关部门</w:t>
      </w:r>
      <w:r>
        <w:rPr>
          <w:rFonts w:hint="eastAsia" w:ascii="仿宋_GB2312" w:hAnsi="仿宋_GB2312" w:eastAsia="仿宋_GB2312" w:cs="仿宋_GB2312"/>
          <w:b w:val="0"/>
          <w:bCs w:val="0"/>
          <w:color w:val="000000"/>
          <w:kern w:val="0"/>
          <w:sz w:val="32"/>
          <w:szCs w:val="32"/>
          <w:lang w:val="en-US" w:eastAsia="zh-CN"/>
        </w:rPr>
        <w:t>定期检查或不定期抽查的方式进行监督检查，另一方面采用项目方定期反馈进展情况的形式进行跟踪服务，确保对项目建设实行了有效的管理，确保资金发挥应有的效益。</w:t>
      </w:r>
    </w:p>
    <w:p>
      <w:pPr>
        <w:keepNext w:val="0"/>
        <w:keepLines w:val="0"/>
        <w:pageBreakBefore w:val="0"/>
        <w:kinsoku/>
        <w:wordWrap/>
        <w:overflowPunct/>
        <w:topLinePunct w:val="0"/>
        <w:autoSpaceDE/>
        <w:autoSpaceDN/>
        <w:bidi w:val="0"/>
        <w:adjustRightInd/>
        <w:spacing w:line="576" w:lineRule="exact"/>
        <w:ind w:firstLine="640" w:firstLineChars="200"/>
        <w:jc w:val="both"/>
        <w:textAlignment w:val="auto"/>
        <w:rPr>
          <w:rFonts w:hint="default" w:ascii="仿宋_GB2312" w:hAnsi="仿宋_GB2312" w:eastAsia="仿宋_GB2312" w:cs="仿宋_GB2312"/>
          <w:b w:val="0"/>
          <w:bCs w:val="0"/>
          <w:color w:val="000000"/>
          <w:kern w:val="0"/>
          <w:sz w:val="32"/>
          <w:szCs w:val="32"/>
          <w:lang w:val="en-US" w:eastAsia="zh-CN"/>
        </w:rPr>
      </w:pPr>
      <w:r>
        <w:rPr>
          <w:rFonts w:hint="eastAsia" w:ascii="仿宋_GB2312" w:hAnsi="仿宋_GB2312" w:eastAsia="仿宋_GB2312" w:cs="仿宋_GB2312"/>
          <w:b w:val="0"/>
          <w:bCs w:val="0"/>
          <w:color w:val="000000"/>
          <w:kern w:val="0"/>
          <w:sz w:val="32"/>
          <w:szCs w:val="32"/>
          <w:lang w:val="en-US" w:eastAsia="zh-CN"/>
        </w:rPr>
        <w:t>5.开展绩效自评。园区积极开展专项资金绩效自评，先由项目实施单位在项目建成后提交绩效评价报告及支撑自评材料，随后，农科园组织相关部门对实施单位的绩效自评采取重点绩效评价的方式进行审核评价。</w:t>
      </w:r>
      <w:r>
        <w:rPr>
          <w:rFonts w:hint="eastAsia" w:hAnsi="仿宋_GB2312" w:cs="仿宋_GB2312"/>
          <w:b w:val="0"/>
          <w:bCs w:val="0"/>
          <w:color w:val="000000"/>
          <w:kern w:val="0"/>
          <w:sz w:val="32"/>
          <w:szCs w:val="32"/>
          <w:lang w:val="en-US" w:eastAsia="zh-CN"/>
        </w:rPr>
        <w:t>园区</w:t>
      </w:r>
      <w:r>
        <w:rPr>
          <w:rFonts w:hint="eastAsia" w:ascii="仿宋_GB2312" w:hAnsi="仿宋_GB2312" w:eastAsia="仿宋_GB2312" w:cs="仿宋_GB2312"/>
          <w:b w:val="0"/>
          <w:bCs w:val="0"/>
          <w:color w:val="000000"/>
          <w:kern w:val="0"/>
          <w:sz w:val="32"/>
          <w:szCs w:val="32"/>
          <w:lang w:val="en-US" w:eastAsia="zh-CN"/>
        </w:rPr>
        <w:t>及时总结各项目单位的管理经验，提出完善意见及对策措施，并着力抓好整改落实工作。在年度终了，园区积极开展部门整体支出绩效自评，并形成文字材料上报财政等有关监督部门。</w:t>
      </w:r>
    </w:p>
    <w:p>
      <w:pPr>
        <w:keepNext w:val="0"/>
        <w:keepLines w:val="0"/>
        <w:pageBreakBefore w:val="0"/>
        <w:kinsoku/>
        <w:wordWrap/>
        <w:overflowPunct/>
        <w:topLinePunct w:val="0"/>
        <w:autoSpaceDE/>
        <w:autoSpaceDN/>
        <w:bidi w:val="0"/>
        <w:adjustRightInd/>
        <w:spacing w:line="576" w:lineRule="exact"/>
        <w:ind w:firstLine="600" w:firstLineChars="200"/>
        <w:jc w:val="both"/>
        <w:textAlignment w:val="auto"/>
        <w:rPr>
          <w:rFonts w:hint="default" w:ascii="Times New Roman" w:hAnsi="Times New Roman" w:eastAsia="黑体" w:cs="Times New Roman"/>
          <w:sz w:val="30"/>
        </w:rPr>
      </w:pPr>
      <w:r>
        <w:rPr>
          <w:rFonts w:hint="eastAsia" w:ascii="Times New Roman" w:hAnsi="Times New Roman" w:eastAsia="黑体" w:cs="Times New Roman"/>
          <w:sz w:val="30"/>
          <w:lang w:eastAsia="zh-CN"/>
        </w:rPr>
        <w:t>五</w:t>
      </w:r>
      <w:r>
        <w:rPr>
          <w:rFonts w:hint="default" w:ascii="Times New Roman" w:hAnsi="Times New Roman" w:eastAsia="黑体" w:cs="Times New Roman"/>
          <w:sz w:val="30"/>
        </w:rPr>
        <w:t>、部门整体支出绩效实现情况</w:t>
      </w:r>
    </w:p>
    <w:p>
      <w:pPr>
        <w:keepNext w:val="0"/>
        <w:keepLines w:val="0"/>
        <w:pageBreakBefore w:val="0"/>
        <w:kinsoku/>
        <w:wordWrap/>
        <w:overflowPunct/>
        <w:topLinePunct w:val="0"/>
        <w:autoSpaceDE/>
        <w:autoSpaceDN/>
        <w:bidi w:val="0"/>
        <w:adjustRightInd/>
        <w:spacing w:line="576" w:lineRule="exact"/>
        <w:ind w:firstLine="640" w:firstLineChars="200"/>
        <w:jc w:val="both"/>
        <w:textAlignment w:val="auto"/>
        <w:rPr>
          <w:rFonts w:hint="default" w:ascii="仿宋_GB2312" w:hAnsi="仿宋_GB2312" w:eastAsia="仿宋_GB2312" w:cs="仿宋_GB2312"/>
          <w:b w:val="0"/>
          <w:bCs w:val="0"/>
          <w:color w:val="000000"/>
          <w:kern w:val="0"/>
          <w:sz w:val="32"/>
          <w:szCs w:val="32"/>
          <w:lang w:val="en-US" w:eastAsia="zh-CN"/>
        </w:rPr>
      </w:pPr>
      <w:r>
        <w:rPr>
          <w:rFonts w:hint="eastAsia" w:ascii="仿宋_GB2312" w:hAnsi="仿宋_GB2312" w:eastAsia="仿宋_GB2312" w:cs="仿宋_GB2312"/>
          <w:b w:val="0"/>
          <w:bCs w:val="0"/>
          <w:color w:val="000000"/>
          <w:kern w:val="0"/>
          <w:sz w:val="32"/>
          <w:szCs w:val="32"/>
          <w:lang w:val="en-US" w:eastAsia="zh-CN"/>
        </w:rPr>
        <w:t>（一）</w:t>
      </w:r>
      <w:r>
        <w:rPr>
          <w:rFonts w:hint="default" w:ascii="仿宋_GB2312" w:hAnsi="仿宋_GB2312" w:eastAsia="仿宋_GB2312" w:cs="仿宋_GB2312"/>
          <w:b w:val="0"/>
          <w:bCs w:val="0"/>
          <w:color w:val="000000"/>
          <w:kern w:val="0"/>
          <w:sz w:val="32"/>
          <w:szCs w:val="32"/>
          <w:lang w:val="en-US" w:eastAsia="zh-CN"/>
        </w:rPr>
        <w:t>履职完成情况：从数量、质量、时效和成本等方面归纳反映年度主要计划任务完成情况。</w:t>
      </w:r>
    </w:p>
    <w:p>
      <w:pPr>
        <w:keepNext w:val="0"/>
        <w:keepLines w:val="0"/>
        <w:pageBreakBefore w:val="0"/>
        <w:kinsoku/>
        <w:wordWrap/>
        <w:overflowPunct/>
        <w:topLinePunct w:val="0"/>
        <w:autoSpaceDE/>
        <w:autoSpaceDN/>
        <w:bidi w:val="0"/>
        <w:adjustRightInd/>
        <w:spacing w:line="576" w:lineRule="exact"/>
        <w:ind w:firstLine="640" w:firstLineChars="200"/>
        <w:jc w:val="both"/>
        <w:textAlignment w:val="auto"/>
        <w:rPr>
          <w:rFonts w:hint="default" w:ascii="仿宋_GB2312" w:hAnsi="仿宋_GB2312" w:eastAsia="仿宋_GB2312" w:cs="仿宋_GB2312"/>
          <w:b w:val="0"/>
          <w:bCs w:val="0"/>
          <w:color w:val="000000"/>
          <w:kern w:val="0"/>
          <w:sz w:val="32"/>
          <w:szCs w:val="32"/>
          <w:lang w:val="en-US" w:eastAsia="zh-CN"/>
        </w:rPr>
      </w:pPr>
      <w:r>
        <w:rPr>
          <w:rFonts w:hint="eastAsia" w:ascii="仿宋_GB2312" w:hAnsi="仿宋_GB2312" w:eastAsia="仿宋_GB2312" w:cs="仿宋_GB2312"/>
          <w:b w:val="0"/>
          <w:bCs w:val="0"/>
          <w:color w:val="000000"/>
          <w:kern w:val="0"/>
          <w:sz w:val="32"/>
          <w:szCs w:val="32"/>
          <w:lang w:val="en-US" w:eastAsia="zh-CN"/>
        </w:rPr>
        <w:t>数量指标：辐射望城农业企业，扶持农企个数或项目数。我们超额完成了扶持农企个数及项目数。质量指标：我们印发了《望城蔬菜产业发展专项资金管理办法（2019-2021年）》的通知，发布了2019年蔬菜产业项目申报细则。在项目扶持制定了明确的扶持范围、扶持标准，做到了项目申报范围、审核及验收程序合规和资金拨付符合标准。时效指标：根据蔬菜产业发展实施计划与方案，我们按实施方案规定的时间节点启动。除不可抗力因素的影响外，我们按实施方案规定的时间节点组织、实施、验收、拨付到位。成本指标：方案经公示无异议后，单个项目扶持按方案扶持标准执行，成本标准控制在2019年调整预算数，未超过其成本。</w:t>
      </w:r>
    </w:p>
    <w:p>
      <w:pPr>
        <w:keepNext w:val="0"/>
        <w:keepLines w:val="0"/>
        <w:pageBreakBefore w:val="0"/>
        <w:kinsoku/>
        <w:wordWrap/>
        <w:overflowPunct/>
        <w:topLinePunct w:val="0"/>
        <w:autoSpaceDE/>
        <w:autoSpaceDN/>
        <w:bidi w:val="0"/>
        <w:adjustRightInd/>
        <w:spacing w:line="576" w:lineRule="exact"/>
        <w:ind w:firstLine="640" w:firstLineChars="200"/>
        <w:jc w:val="both"/>
        <w:textAlignment w:val="auto"/>
        <w:rPr>
          <w:rFonts w:hint="default" w:ascii="仿宋_GB2312" w:hAnsi="仿宋_GB2312" w:eastAsia="仿宋_GB2312" w:cs="仿宋_GB2312"/>
          <w:b w:val="0"/>
          <w:bCs w:val="0"/>
          <w:color w:val="000000"/>
          <w:kern w:val="0"/>
          <w:sz w:val="32"/>
          <w:szCs w:val="32"/>
          <w:lang w:val="en-US" w:eastAsia="zh-CN"/>
        </w:rPr>
      </w:pPr>
      <w:r>
        <w:rPr>
          <w:rFonts w:hint="eastAsia" w:ascii="仿宋_GB2312" w:hAnsi="仿宋_GB2312" w:eastAsia="仿宋_GB2312" w:cs="仿宋_GB2312"/>
          <w:b w:val="0"/>
          <w:bCs w:val="0"/>
          <w:color w:val="000000"/>
          <w:kern w:val="0"/>
          <w:sz w:val="32"/>
          <w:szCs w:val="32"/>
          <w:lang w:val="en-US" w:eastAsia="zh-CN"/>
        </w:rPr>
        <w:t>（二）</w:t>
      </w:r>
      <w:r>
        <w:rPr>
          <w:rFonts w:hint="default" w:ascii="仿宋_GB2312" w:hAnsi="仿宋_GB2312" w:eastAsia="仿宋_GB2312" w:cs="仿宋_GB2312"/>
          <w:b w:val="0"/>
          <w:bCs w:val="0"/>
          <w:color w:val="000000"/>
          <w:kern w:val="0"/>
          <w:sz w:val="32"/>
          <w:szCs w:val="32"/>
          <w:lang w:val="en-US" w:eastAsia="zh-CN"/>
        </w:rPr>
        <w:t>履职效果情况：从社会效益、经济效益、生态效益和可持续影响等方面反映部门（单位）履职效果的实现情况。</w:t>
      </w:r>
    </w:p>
    <w:p>
      <w:pPr>
        <w:keepNext w:val="0"/>
        <w:keepLines w:val="0"/>
        <w:pageBreakBefore w:val="0"/>
        <w:kinsoku/>
        <w:wordWrap/>
        <w:overflowPunct/>
        <w:topLinePunct w:val="0"/>
        <w:autoSpaceDE/>
        <w:autoSpaceDN/>
        <w:bidi w:val="0"/>
        <w:adjustRightInd/>
        <w:spacing w:line="576" w:lineRule="exact"/>
        <w:ind w:firstLine="640" w:firstLineChars="20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b w:val="0"/>
          <w:bCs w:val="0"/>
          <w:color w:val="000000"/>
          <w:kern w:val="0"/>
          <w:sz w:val="32"/>
          <w:szCs w:val="32"/>
          <w:lang w:val="en-US" w:eastAsia="zh-CN"/>
        </w:rPr>
        <w:t>经济效益指标：园区科技对产业的贡献值同比上升，受扶持企业产业上升。</w:t>
      </w:r>
      <w:r>
        <w:rPr>
          <w:rFonts w:hint="eastAsia" w:ascii="仿宋_GB2312" w:hAnsi="Times New Roman" w:eastAsia="仿宋_GB2312"/>
          <w:b/>
          <w:bCs w:val="0"/>
          <w:color w:val="000000"/>
          <w:sz w:val="32"/>
          <w:szCs w:val="32"/>
          <w:lang w:val="en-US" w:eastAsia="zh-CN"/>
        </w:rPr>
        <w:t>打造顶级科创平台。</w:t>
      </w:r>
      <w:r>
        <w:rPr>
          <w:rFonts w:hint="eastAsia" w:ascii="仿宋_GB2312" w:hAnsi="仿宋_GB2312" w:eastAsia="仿宋_GB2312" w:cs="仿宋_GB2312"/>
          <w:sz w:val="32"/>
          <w:szCs w:val="32"/>
          <w:lang w:val="en-US" w:eastAsia="zh-CN"/>
        </w:rPr>
        <w:t>成功举行邹学校</w:t>
      </w:r>
      <w:r>
        <w:rPr>
          <w:rFonts w:hint="eastAsia" w:ascii="仿宋_GB2312" w:hAnsi="华文中宋" w:eastAsia="仿宋_GB2312"/>
          <w:b w:val="0"/>
          <w:bCs/>
          <w:sz w:val="32"/>
          <w:szCs w:val="32"/>
          <w:lang w:val="en-US" w:eastAsia="zh-CN"/>
        </w:rPr>
        <w:t>院士专家望城蔬菜产业行暨八佳兴院士专家工作站授牌活动。</w:t>
      </w:r>
      <w:r>
        <w:rPr>
          <w:rFonts w:hint="eastAsia" w:ascii="仿宋_GB2312" w:hAnsi="仿宋_GB2312" w:eastAsia="仿宋_GB2312" w:cs="仿宋_GB2312"/>
          <w:sz w:val="32"/>
          <w:szCs w:val="32"/>
          <w:lang w:val="en-US" w:eastAsia="zh-CN"/>
        </w:rPr>
        <w:t>通过院士工作站的建立，把院士专家团队的智力优势转化成为望城区蔬菜产业发展优势，以创新需求为导向，以产学研合作项目为纽带，以解决关键技术难题、促进科技成果转化、培养本土人才队伍为目标，增强自主创新能力和市场竞争力。</w:t>
      </w:r>
      <w:r>
        <w:rPr>
          <w:rFonts w:hint="eastAsia" w:ascii="仿宋_GB2312" w:hAnsi="Times New Roman" w:eastAsia="仿宋_GB2312"/>
          <w:b/>
          <w:bCs w:val="0"/>
          <w:color w:val="000000"/>
          <w:sz w:val="32"/>
          <w:szCs w:val="32"/>
          <w:lang w:val="en-US" w:eastAsia="zh-CN"/>
        </w:rPr>
        <w:t>建立专家顾问团队。</w:t>
      </w:r>
      <w:r>
        <w:rPr>
          <w:rFonts w:hint="eastAsia" w:ascii="仿宋_GB2312" w:hAnsi="仿宋_GB2312" w:eastAsia="仿宋_GB2312" w:cs="仿宋_GB2312"/>
          <w:sz w:val="32"/>
          <w:szCs w:val="40"/>
          <w:lang w:val="en-US" w:eastAsia="zh-CN"/>
        </w:rPr>
        <w:t>通过邀请湖南省农科院蔬菜研究所马艳青所长来农科园问诊蔬菜产业，以蔬菜实用技术人才培养为主题与企业进行“一对一”指导，成立包括育种、栽培、设施、土肥、植保、加工领域6名具有丰富经验的蔬菜专家组成的产业科技特派员团队，切实解决各企业面临的技术瓶颈。马艳青所长于9月、11月再次带领专家顾问团队指导蔬菜产业链建设。</w:t>
      </w:r>
      <w:r>
        <w:rPr>
          <w:rFonts w:hint="eastAsia" w:ascii="楷体_GB2312" w:hAnsi="楷体_GB2312" w:eastAsia="楷体_GB2312" w:cs="楷体_GB2312"/>
          <w:b/>
          <w:bCs w:val="0"/>
          <w:sz w:val="32"/>
          <w:szCs w:val="32"/>
          <w:lang w:val="en-US" w:eastAsia="zh-CN"/>
        </w:rPr>
        <w:t>培育</w:t>
      </w:r>
      <w:r>
        <w:rPr>
          <w:rFonts w:hint="eastAsia" w:ascii="仿宋_GB2312" w:hAnsi="仿宋" w:eastAsia="仿宋_GB2312"/>
          <w:b/>
          <w:bCs w:val="0"/>
          <w:sz w:val="32"/>
          <w:szCs w:val="32"/>
          <w:lang w:val="en-US" w:eastAsia="zh-CN"/>
        </w:rPr>
        <w:t>实用技术人才。</w:t>
      </w:r>
      <w:r>
        <w:rPr>
          <w:rFonts w:hint="eastAsia" w:ascii="仿宋_GB2312" w:hAnsi="仿宋_GB2312" w:eastAsia="仿宋_GB2312" w:cs="仿宋_GB2312"/>
          <w:color w:val="000000"/>
          <w:sz w:val="32"/>
          <w:szCs w:val="32"/>
          <w:lang w:val="en-US" w:eastAsia="zh-CN"/>
        </w:rPr>
        <w:t>2019年6月，经认真遴选，园区聘请何文平、秦志立、周云、姚新民等4位“土专家”为园区实用技术指导员</w:t>
      </w:r>
      <w:r>
        <w:rPr>
          <w:rFonts w:hint="eastAsia" w:ascii="仿宋_GB2312" w:hAnsi="仿宋_GB2312" w:eastAsia="仿宋_GB2312" w:cs="仿宋_GB2312"/>
          <w:color w:val="000000"/>
          <w:sz w:val="32"/>
          <w:szCs w:val="32"/>
          <w:lang w:eastAsia="zh-CN"/>
        </w:rPr>
        <w:t>，力争通过</w:t>
      </w:r>
      <w:r>
        <w:rPr>
          <w:rFonts w:hint="eastAsia" w:ascii="仿宋_GB2312" w:hAnsi="仿宋_GB2312" w:eastAsia="仿宋_GB2312" w:cs="仿宋_GB2312"/>
          <w:color w:val="000000"/>
          <w:sz w:val="32"/>
          <w:szCs w:val="32"/>
          <w:lang w:val="en-US" w:eastAsia="zh-CN"/>
        </w:rPr>
        <w:t>1-2年时间，将其所在基地打造成精品示范基地，形成一套可复制、可推广的发展模式。发挥技术指导员自身的技术优势，为望城其它蔬菜企业提供技术指导、咨询和培训。</w:t>
      </w:r>
      <w:r>
        <w:rPr>
          <w:rFonts w:hint="eastAsia" w:ascii="仿宋_GB2312" w:hAnsi="仿宋_GB2312" w:eastAsia="仿宋_GB2312" w:cs="仿宋_GB2312"/>
          <w:sz w:val="32"/>
          <w:szCs w:val="40"/>
          <w:lang w:val="en-US" w:eastAsia="zh-CN"/>
        </w:rPr>
        <w:t>11月29家农业企业负责人参加现代农业领军人才培育蔬菜专题班并赴山东考察学习，</w:t>
      </w:r>
      <w:r>
        <w:rPr>
          <w:rFonts w:hint="eastAsia" w:ascii="仿宋_GB2312" w:hAnsi="仿宋_GB2312" w:eastAsia="仿宋_GB2312" w:cs="仿宋_GB2312"/>
          <w:color w:val="000000"/>
          <w:sz w:val="32"/>
          <w:szCs w:val="32"/>
          <w:lang w:eastAsia="zh-CN"/>
        </w:rPr>
        <w:t>为深入落实科技兴农战略，助推蔬菜全产业链发展，切实提高农业技术推广工作质量，打造一支专业化、接地气的蔬菜专业技术人才队伍。</w:t>
      </w:r>
      <w:r>
        <w:rPr>
          <w:rFonts w:hint="eastAsia" w:ascii="楷体_GB2312" w:hAnsi="楷体_GB2312" w:eastAsia="楷体_GB2312" w:cs="楷体_GB2312"/>
          <w:b/>
          <w:bCs w:val="0"/>
          <w:sz w:val="32"/>
          <w:szCs w:val="32"/>
          <w:lang w:val="en-US" w:eastAsia="zh-CN"/>
        </w:rPr>
        <w:t>重视设施栽培建设</w:t>
      </w:r>
      <w:r>
        <w:rPr>
          <w:rFonts w:hint="eastAsia" w:hAnsi="仿宋_GB2312" w:cs="仿宋_GB2312"/>
          <w:color w:val="000000"/>
          <w:sz w:val="32"/>
          <w:szCs w:val="32"/>
          <w:lang w:eastAsia="zh-CN"/>
        </w:rPr>
        <w:t>。</w:t>
      </w:r>
      <w:r>
        <w:rPr>
          <w:rFonts w:hint="eastAsia" w:ascii="仿宋_GB2312" w:hAnsi="仿宋" w:eastAsia="仿宋_GB2312" w:cs="仿宋"/>
          <w:sz w:val="32"/>
          <w:szCs w:val="32"/>
        </w:rPr>
        <w:t>重点支持</w:t>
      </w:r>
      <w:r>
        <w:rPr>
          <w:rFonts w:hint="eastAsia" w:hAnsi="仿宋" w:cs="仿宋"/>
          <w:sz w:val="32"/>
          <w:szCs w:val="32"/>
          <w:lang w:eastAsia="zh-CN"/>
        </w:rPr>
        <w:t>一部分</w:t>
      </w:r>
      <w:r>
        <w:rPr>
          <w:rFonts w:hint="eastAsia" w:ascii="仿宋_GB2312" w:hAnsi="仿宋" w:eastAsia="仿宋_GB2312" w:cs="仿宋"/>
          <w:sz w:val="32"/>
          <w:szCs w:val="32"/>
        </w:rPr>
        <w:t>企业基地提质建设和生产装备升级</w:t>
      </w:r>
      <w:r>
        <w:rPr>
          <w:rFonts w:hint="eastAsia" w:ascii="仿宋_GB2312" w:hAnsi="仿宋" w:eastAsia="仿宋_GB2312" w:cs="仿宋"/>
          <w:sz w:val="32"/>
          <w:szCs w:val="32"/>
          <w:lang w:eastAsia="zh-CN"/>
        </w:rPr>
        <w:t>，逐步</w:t>
      </w:r>
      <w:r>
        <w:rPr>
          <w:rFonts w:hint="eastAsia" w:ascii="仿宋_GB2312" w:hAnsi="仿宋_GB2312" w:eastAsia="仿宋_GB2312" w:cs="仿宋_GB2312"/>
          <w:sz w:val="32"/>
          <w:szCs w:val="32"/>
          <w:lang w:eastAsia="zh-CN"/>
        </w:rPr>
        <w:t>引导绿地、新农夫、花园等企业推进设施蔬菜栽培示范基地建设，通过设施栽培实现春提前、秋延后，错开品种上市高峰期，提升</w:t>
      </w:r>
      <w:r>
        <w:rPr>
          <w:rFonts w:hint="eastAsia" w:hAnsi="仿宋_GB2312" w:cs="仿宋_GB2312"/>
          <w:sz w:val="32"/>
          <w:szCs w:val="32"/>
          <w:lang w:eastAsia="zh-CN"/>
        </w:rPr>
        <w:t>了</w:t>
      </w:r>
      <w:r>
        <w:rPr>
          <w:rFonts w:hint="eastAsia" w:ascii="仿宋_GB2312" w:hAnsi="仿宋_GB2312" w:eastAsia="仿宋_GB2312" w:cs="仿宋_GB2312"/>
          <w:sz w:val="32"/>
          <w:szCs w:val="32"/>
          <w:lang w:eastAsia="zh-CN"/>
        </w:rPr>
        <w:t>经济效益</w:t>
      </w:r>
      <w:r>
        <w:rPr>
          <w:rFonts w:hint="eastAsia" w:hAnsi="仿宋_GB2312" w:cs="仿宋_GB2312"/>
          <w:sz w:val="32"/>
          <w:szCs w:val="32"/>
          <w:lang w:eastAsia="zh-CN"/>
        </w:rPr>
        <w:t>。</w:t>
      </w:r>
    </w:p>
    <w:p>
      <w:pPr>
        <w:keepNext w:val="0"/>
        <w:keepLines w:val="0"/>
        <w:pageBreakBefore w:val="0"/>
        <w:kinsoku/>
        <w:wordWrap/>
        <w:overflowPunct/>
        <w:topLinePunct w:val="0"/>
        <w:autoSpaceDE/>
        <w:autoSpaceDN/>
        <w:bidi w:val="0"/>
        <w:adjustRightInd/>
        <w:spacing w:line="576" w:lineRule="exact"/>
        <w:ind w:firstLine="640" w:firstLineChars="200"/>
        <w:jc w:val="both"/>
        <w:textAlignment w:val="auto"/>
        <w:rPr>
          <w:rFonts w:hint="eastAsia" w:eastAsia="仿宋_GB2312"/>
          <w:sz w:val="32"/>
          <w:szCs w:val="32"/>
          <w:lang w:eastAsia="zh-CN"/>
        </w:rPr>
      </w:pPr>
      <w:r>
        <w:rPr>
          <w:rFonts w:hint="eastAsia" w:ascii="仿宋_GB2312" w:hAnsi="仿宋_GB2312" w:eastAsia="仿宋_GB2312" w:cs="仿宋_GB2312"/>
          <w:b w:val="0"/>
          <w:bCs w:val="0"/>
          <w:color w:val="000000"/>
          <w:kern w:val="0"/>
          <w:sz w:val="32"/>
          <w:szCs w:val="32"/>
          <w:lang w:val="en-US" w:eastAsia="zh-CN"/>
        </w:rPr>
        <w:t>社会效益指标：2019年全年知识产权数上升至少15项；技术及品种引进推广数至少5个；两者均远超原来设定的绩效目标。</w:t>
      </w:r>
      <w:r>
        <w:rPr>
          <w:rFonts w:hint="eastAsia" w:ascii="仿宋_GB2312" w:hAnsi="仿宋" w:eastAsia="仿宋_GB2312" w:cs="仿宋"/>
          <w:sz w:val="32"/>
          <w:szCs w:val="32"/>
          <w:lang w:val="en-US" w:eastAsia="zh-CN"/>
        </w:rPr>
        <w:t>打造</w:t>
      </w:r>
      <w:r>
        <w:rPr>
          <w:rFonts w:hint="eastAsia" w:ascii="仿宋_GB2312" w:hAnsi="仿宋" w:eastAsia="仿宋_GB2312" w:cs="仿宋"/>
          <w:sz w:val="32"/>
          <w:szCs w:val="32"/>
        </w:rPr>
        <w:t>以千龙湖大道</w:t>
      </w:r>
      <w:r>
        <w:rPr>
          <w:rFonts w:hint="eastAsia" w:ascii="仿宋_GB2312" w:hAnsi="仿宋" w:eastAsia="仿宋_GB2312" w:cs="仿宋"/>
          <w:sz w:val="32"/>
          <w:szCs w:val="32"/>
          <w:lang w:eastAsia="zh-CN"/>
        </w:rPr>
        <w:t>两厢</w:t>
      </w:r>
      <w:r>
        <w:rPr>
          <w:rFonts w:hint="eastAsia" w:ascii="仿宋_GB2312" w:hAnsi="仿宋" w:eastAsia="仿宋_GB2312" w:cs="仿宋"/>
          <w:sz w:val="32"/>
          <w:szCs w:val="32"/>
        </w:rPr>
        <w:t>为核心的研学线路</w:t>
      </w:r>
      <w:r>
        <w:rPr>
          <w:rFonts w:hint="eastAsia" w:eastAsia="仿宋_GB2312"/>
          <w:sz w:val="32"/>
          <w:szCs w:val="32"/>
          <w:lang w:eastAsia="zh-CN"/>
        </w:rPr>
        <w:t>，</w:t>
      </w:r>
      <w:r>
        <w:rPr>
          <w:rFonts w:hint="eastAsia" w:eastAsia="仿宋_GB2312"/>
          <w:sz w:val="32"/>
          <w:szCs w:val="32"/>
        </w:rPr>
        <w:t>截至目前，</w:t>
      </w:r>
      <w:r>
        <w:rPr>
          <w:rFonts w:hint="eastAsia" w:eastAsia="仿宋_GB2312"/>
          <w:sz w:val="32"/>
          <w:szCs w:val="32"/>
          <w:lang w:eastAsia="zh-CN"/>
        </w:rPr>
        <w:t>吸引</w:t>
      </w:r>
      <w:r>
        <w:rPr>
          <w:rFonts w:hint="eastAsia" w:eastAsia="仿宋_GB2312"/>
          <w:sz w:val="32"/>
          <w:szCs w:val="32"/>
        </w:rPr>
        <w:t>前往旅游观光</w:t>
      </w:r>
      <w:r>
        <w:rPr>
          <w:rFonts w:hint="eastAsia" w:eastAsia="仿宋_GB2312"/>
          <w:sz w:val="32"/>
          <w:szCs w:val="32"/>
          <w:lang w:eastAsia="zh-CN"/>
        </w:rPr>
        <w:t>采摘</w:t>
      </w:r>
      <w:r>
        <w:rPr>
          <w:rFonts w:hint="eastAsia" w:eastAsia="仿宋_GB2312"/>
          <w:sz w:val="32"/>
          <w:szCs w:val="32"/>
        </w:rPr>
        <w:t>的游客达</w:t>
      </w:r>
      <w:r>
        <w:rPr>
          <w:rFonts w:hint="eastAsia" w:ascii="仿宋_GB2312" w:hAnsi="仿宋_GB2312" w:eastAsia="仿宋_GB2312" w:cs="仿宋_GB2312"/>
          <w:sz w:val="32"/>
          <w:szCs w:val="32"/>
        </w:rPr>
        <w:t>30000</w:t>
      </w:r>
      <w:r>
        <w:rPr>
          <w:rFonts w:hint="eastAsia" w:eastAsia="仿宋_GB2312"/>
          <w:sz w:val="32"/>
          <w:szCs w:val="32"/>
        </w:rPr>
        <w:t>人次</w:t>
      </w:r>
      <w:r>
        <w:rPr>
          <w:rFonts w:hint="eastAsia"/>
          <w:sz w:val="32"/>
          <w:szCs w:val="32"/>
          <w:lang w:eastAsia="zh-CN"/>
        </w:rPr>
        <w:t>；</w:t>
      </w:r>
      <w:r>
        <w:rPr>
          <w:rFonts w:hint="eastAsia" w:ascii="仿宋_GB2312" w:hAnsi="仿宋" w:eastAsia="仿宋_GB2312" w:cs="仿宋_GB2312"/>
          <w:color w:val="000000"/>
          <w:kern w:val="0"/>
          <w:szCs w:val="21"/>
        </w:rPr>
        <w:t>产业振兴乡村，强化软硬件设施配套，重视规划与环境保护先行，鼓励“集中土地流转”集中一片布局一片发展，农村村集体经济的活力不断增强</w:t>
      </w:r>
      <w:r>
        <w:rPr>
          <w:rFonts w:hint="eastAsia" w:hAnsi="仿宋" w:cs="仿宋_GB2312"/>
          <w:color w:val="000000"/>
          <w:kern w:val="0"/>
          <w:szCs w:val="21"/>
          <w:lang w:eastAsia="zh-CN"/>
        </w:rPr>
        <w:t>。</w:t>
      </w:r>
    </w:p>
    <w:p>
      <w:pPr>
        <w:keepNext w:val="0"/>
        <w:keepLines w:val="0"/>
        <w:pageBreakBefore w:val="0"/>
        <w:kinsoku/>
        <w:wordWrap/>
        <w:overflowPunct/>
        <w:topLinePunct w:val="0"/>
        <w:autoSpaceDE/>
        <w:autoSpaceDN/>
        <w:bidi w:val="0"/>
        <w:adjustRightInd/>
        <w:spacing w:line="576" w:lineRule="exact"/>
        <w:ind w:firstLine="640" w:firstLineChars="200"/>
        <w:jc w:val="both"/>
        <w:textAlignment w:val="auto"/>
        <w:rPr>
          <w:rFonts w:hint="eastAsia" w:ascii="仿宋_GB2312" w:hAnsi="仿宋_GB2312" w:eastAsia="仿宋_GB2312" w:cs="仿宋_GB2312"/>
          <w:b w:val="0"/>
          <w:bCs w:val="0"/>
          <w:color w:val="000000"/>
          <w:kern w:val="0"/>
          <w:sz w:val="32"/>
          <w:szCs w:val="32"/>
          <w:lang w:val="en-US" w:eastAsia="zh-CN"/>
        </w:rPr>
      </w:pPr>
      <w:r>
        <w:rPr>
          <w:rFonts w:hint="eastAsia" w:ascii="仿宋_GB2312" w:hAnsi="仿宋_GB2312" w:eastAsia="仿宋_GB2312" w:cs="仿宋_GB2312"/>
          <w:b w:val="0"/>
          <w:bCs w:val="0"/>
          <w:color w:val="000000"/>
          <w:kern w:val="0"/>
          <w:sz w:val="32"/>
          <w:szCs w:val="32"/>
          <w:lang w:val="en-US" w:eastAsia="zh-CN"/>
        </w:rPr>
        <w:t>生态效益指标：园区始终坚持生态与科技相融合,力争实现科技驱动、资源节约、生态安全、环境友好的目标。重点打造蔬菜产业、水产养殖、休闲旅游三大特色乡村产业，积极探索城乡一体发展，为乡村建设创造全新的产业组合和生活空间。</w:t>
      </w:r>
      <w:r>
        <w:rPr>
          <w:rFonts w:hint="eastAsia" w:ascii="仿宋_GB2312" w:hAnsi="仿宋" w:eastAsia="仿宋_GB2312" w:cs="仿宋_GB2312"/>
          <w:color w:val="000000"/>
          <w:kern w:val="0"/>
          <w:szCs w:val="21"/>
        </w:rPr>
        <w:t>实行“合作社+农民”签约合作模式，农民就业率与年均收入不断提高，农村生活品质持续提升，振兴美丽乡村示范效应显现。</w:t>
      </w:r>
    </w:p>
    <w:p>
      <w:pPr>
        <w:keepNext w:val="0"/>
        <w:keepLines w:val="0"/>
        <w:pageBreakBefore w:val="0"/>
        <w:kinsoku/>
        <w:wordWrap/>
        <w:overflowPunct/>
        <w:topLinePunct w:val="0"/>
        <w:autoSpaceDE/>
        <w:autoSpaceDN/>
        <w:bidi w:val="0"/>
        <w:adjustRightInd/>
        <w:spacing w:line="576" w:lineRule="exact"/>
        <w:ind w:firstLine="640" w:firstLineChars="200"/>
        <w:jc w:val="both"/>
        <w:textAlignment w:val="auto"/>
        <w:rPr>
          <w:rFonts w:hint="eastAsia" w:ascii="仿宋_GB2312" w:hAnsi="宋体" w:eastAsia="仿宋_GB2312" w:cs="宋体"/>
          <w:bCs/>
          <w:sz w:val="32"/>
          <w:szCs w:val="32"/>
        </w:rPr>
      </w:pPr>
      <w:r>
        <w:rPr>
          <w:rFonts w:hint="eastAsia" w:ascii="仿宋_GB2312" w:hAnsi="仿宋_GB2312" w:eastAsia="仿宋_GB2312" w:cs="仿宋_GB2312"/>
          <w:b w:val="0"/>
          <w:bCs w:val="0"/>
          <w:color w:val="000000"/>
          <w:kern w:val="0"/>
          <w:sz w:val="32"/>
          <w:szCs w:val="32"/>
          <w:lang w:val="en-US" w:eastAsia="zh-CN"/>
        </w:rPr>
        <w:t>可持续影响指标：园区始终多措并举，持续提高涉农企业的科技含量，提高园区企业的核心竞争力。</w:t>
      </w:r>
      <w:r>
        <w:rPr>
          <w:rFonts w:hint="eastAsia" w:ascii="仿宋_GB2312" w:hAnsi="宋体" w:eastAsia="仿宋_GB2312" w:cs="宋体"/>
          <w:bCs/>
          <w:sz w:val="32"/>
          <w:szCs w:val="32"/>
        </w:rPr>
        <w:t>坚定“科技+生态+休闲”发展路子，</w:t>
      </w:r>
      <w:r>
        <w:rPr>
          <w:rFonts w:hint="eastAsia" w:ascii="仿宋_GB2312" w:hAnsi="宋体" w:eastAsia="仿宋_GB2312" w:cs="宋体"/>
          <w:bCs/>
          <w:sz w:val="32"/>
          <w:szCs w:val="32"/>
          <w:lang w:eastAsia="zh-CN"/>
        </w:rPr>
        <w:t>紧盯农业供给侧结构性改革，</w:t>
      </w:r>
      <w:r>
        <w:rPr>
          <w:rFonts w:hint="eastAsia" w:ascii="仿宋_GB2312" w:hAnsi="宋体" w:eastAsia="仿宋_GB2312" w:cs="宋体"/>
          <w:bCs/>
          <w:sz w:val="32"/>
          <w:szCs w:val="32"/>
        </w:rPr>
        <w:t>突出转型发展，突出科技创新，着力发展休闲农业、科技农业和品牌农业，打响现代都市农业品牌，构建核心吸引力，提升农业综合效益，大力推进农业现代化、城乡一体化和新型城镇化，全力推动区域经济发展。</w:t>
      </w:r>
    </w:p>
    <w:p>
      <w:pPr>
        <w:keepNext w:val="0"/>
        <w:keepLines w:val="0"/>
        <w:pageBreakBefore w:val="0"/>
        <w:kinsoku/>
        <w:wordWrap/>
        <w:overflowPunct/>
        <w:topLinePunct w:val="0"/>
        <w:autoSpaceDE/>
        <w:autoSpaceDN/>
        <w:bidi w:val="0"/>
        <w:adjustRightInd/>
        <w:spacing w:line="576" w:lineRule="exact"/>
        <w:ind w:firstLine="640" w:firstLineChars="200"/>
        <w:jc w:val="both"/>
        <w:textAlignment w:val="auto"/>
        <w:rPr>
          <w:rFonts w:hint="default" w:ascii="仿宋_GB2312" w:hAnsi="仿宋_GB2312" w:eastAsia="仿宋_GB2312" w:cs="仿宋_GB2312"/>
          <w:b w:val="0"/>
          <w:bCs w:val="0"/>
          <w:color w:val="000000"/>
          <w:kern w:val="0"/>
          <w:sz w:val="32"/>
          <w:szCs w:val="32"/>
          <w:lang w:val="en-US" w:eastAsia="zh-CN"/>
        </w:rPr>
      </w:pPr>
      <w:r>
        <w:rPr>
          <w:rFonts w:hint="default" w:ascii="仿宋_GB2312" w:hAnsi="仿宋_GB2312" w:eastAsia="仿宋_GB2312" w:cs="仿宋_GB2312"/>
          <w:b w:val="0"/>
          <w:bCs w:val="0"/>
          <w:color w:val="000000"/>
          <w:kern w:val="0"/>
          <w:sz w:val="32"/>
          <w:szCs w:val="32"/>
          <w:lang w:val="en-US" w:eastAsia="zh-CN"/>
        </w:rPr>
        <w:t>（三）社会满意度情况</w:t>
      </w:r>
    </w:p>
    <w:p>
      <w:pPr>
        <w:keepNext w:val="0"/>
        <w:keepLines w:val="0"/>
        <w:pageBreakBefore w:val="0"/>
        <w:kinsoku/>
        <w:wordWrap/>
        <w:overflowPunct/>
        <w:topLinePunct w:val="0"/>
        <w:autoSpaceDE/>
        <w:autoSpaceDN/>
        <w:bidi w:val="0"/>
        <w:adjustRightInd/>
        <w:spacing w:line="576" w:lineRule="exact"/>
        <w:ind w:firstLine="640" w:firstLineChars="200"/>
        <w:jc w:val="both"/>
        <w:textAlignment w:val="auto"/>
        <w:rPr>
          <w:rFonts w:hint="default" w:ascii="仿宋_GB2312" w:hAnsi="仿宋_GB2312" w:eastAsia="仿宋_GB2312" w:cs="仿宋_GB2312"/>
          <w:b w:val="0"/>
          <w:bCs w:val="0"/>
          <w:color w:val="000000"/>
          <w:kern w:val="0"/>
          <w:sz w:val="32"/>
          <w:szCs w:val="32"/>
          <w:lang w:val="en-US" w:eastAsia="zh-CN"/>
        </w:rPr>
      </w:pPr>
      <w:r>
        <w:rPr>
          <w:rFonts w:hint="eastAsia" w:ascii="仿宋_GB2312" w:hAnsi="仿宋_GB2312" w:eastAsia="仿宋_GB2312" w:cs="仿宋_GB2312"/>
          <w:b w:val="0"/>
          <w:bCs w:val="0"/>
          <w:color w:val="000000"/>
          <w:kern w:val="0"/>
          <w:sz w:val="32"/>
          <w:szCs w:val="32"/>
          <w:lang w:val="en-US" w:eastAsia="zh-CN"/>
        </w:rPr>
        <w:t>公众及服务或服务对象对园区的社会满意程度高达95%以上。</w:t>
      </w:r>
    </w:p>
    <w:p>
      <w:pPr>
        <w:keepNext w:val="0"/>
        <w:keepLines w:val="0"/>
        <w:pageBreakBefore w:val="0"/>
        <w:kinsoku/>
        <w:wordWrap/>
        <w:overflowPunct/>
        <w:topLinePunct w:val="0"/>
        <w:autoSpaceDE/>
        <w:autoSpaceDN/>
        <w:bidi w:val="0"/>
        <w:adjustRightInd/>
        <w:spacing w:line="576" w:lineRule="exact"/>
        <w:ind w:firstLine="600" w:firstLineChars="200"/>
        <w:jc w:val="both"/>
        <w:textAlignment w:val="auto"/>
        <w:rPr>
          <w:rFonts w:hint="default" w:ascii="Times New Roman" w:hAnsi="Times New Roman" w:eastAsia="黑体" w:cs="Times New Roman"/>
          <w:sz w:val="30"/>
          <w:lang w:val="en-US" w:eastAsia="zh-CN"/>
        </w:rPr>
      </w:pPr>
      <w:r>
        <w:rPr>
          <w:rFonts w:hint="eastAsia" w:ascii="Times New Roman" w:hAnsi="Times New Roman" w:eastAsia="黑体" w:cs="Times New Roman"/>
          <w:sz w:val="30"/>
          <w:lang w:val="en-US" w:eastAsia="zh-CN"/>
        </w:rPr>
        <w:t>六</w:t>
      </w:r>
      <w:r>
        <w:rPr>
          <w:rFonts w:hint="default" w:ascii="Times New Roman" w:hAnsi="Times New Roman" w:eastAsia="黑体" w:cs="Times New Roman"/>
          <w:sz w:val="30"/>
          <w:lang w:val="en-US" w:eastAsia="zh-CN"/>
        </w:rPr>
        <w:t>、部门整体支出绩效中存在问题及改进措施</w:t>
      </w:r>
    </w:p>
    <w:p>
      <w:pPr>
        <w:keepNext w:val="0"/>
        <w:keepLines w:val="0"/>
        <w:pageBreakBefore w:val="0"/>
        <w:kinsoku/>
        <w:wordWrap/>
        <w:overflowPunct/>
        <w:topLinePunct w:val="0"/>
        <w:autoSpaceDE/>
        <w:autoSpaceDN/>
        <w:bidi w:val="0"/>
        <w:adjustRightInd/>
        <w:spacing w:line="576" w:lineRule="exact"/>
        <w:ind w:firstLine="640" w:firstLineChars="200"/>
        <w:jc w:val="both"/>
        <w:textAlignment w:val="auto"/>
        <w:rPr>
          <w:rFonts w:hint="eastAsia" w:ascii="仿宋_GB2312" w:hAnsi="仿宋_GB2312" w:eastAsia="仿宋_GB2312" w:cs="仿宋_GB2312"/>
          <w:b w:val="0"/>
          <w:bCs w:val="0"/>
          <w:color w:val="000000"/>
          <w:kern w:val="0"/>
          <w:sz w:val="32"/>
          <w:szCs w:val="32"/>
          <w:lang w:val="en-US" w:eastAsia="zh-CN"/>
        </w:rPr>
      </w:pPr>
      <w:r>
        <w:rPr>
          <w:rFonts w:hint="eastAsia" w:ascii="仿宋_GB2312" w:hAnsi="仿宋_GB2312" w:eastAsia="仿宋_GB2312" w:cs="仿宋_GB2312"/>
          <w:b w:val="0"/>
          <w:bCs w:val="0"/>
          <w:color w:val="000000"/>
          <w:kern w:val="0"/>
          <w:sz w:val="32"/>
          <w:szCs w:val="32"/>
          <w:lang w:val="en-US" w:eastAsia="zh-CN"/>
        </w:rPr>
        <w:t>（一）绩效目标设定方面</w:t>
      </w:r>
    </w:p>
    <w:p>
      <w:pPr>
        <w:keepNext w:val="0"/>
        <w:keepLines w:val="0"/>
        <w:pageBreakBefore w:val="0"/>
        <w:kinsoku/>
        <w:wordWrap/>
        <w:overflowPunct/>
        <w:topLinePunct w:val="0"/>
        <w:autoSpaceDE/>
        <w:autoSpaceDN/>
        <w:bidi w:val="0"/>
        <w:adjustRightInd/>
        <w:spacing w:line="576" w:lineRule="exact"/>
        <w:ind w:firstLine="640" w:firstLineChars="200"/>
        <w:jc w:val="both"/>
        <w:textAlignment w:val="auto"/>
        <w:rPr>
          <w:rFonts w:hint="default" w:ascii="仿宋_GB2312" w:hAnsi="仿宋_GB2312" w:eastAsia="仿宋_GB2312" w:cs="仿宋_GB2312"/>
          <w:b w:val="0"/>
          <w:bCs w:val="0"/>
          <w:color w:val="000000"/>
          <w:kern w:val="0"/>
          <w:sz w:val="32"/>
          <w:szCs w:val="32"/>
          <w:lang w:val="en-US" w:eastAsia="zh-CN"/>
        </w:rPr>
      </w:pPr>
      <w:r>
        <w:rPr>
          <w:rFonts w:hint="eastAsia" w:ascii="仿宋_GB2312" w:hAnsi="仿宋_GB2312" w:eastAsia="仿宋_GB2312" w:cs="仿宋_GB2312"/>
          <w:b w:val="0"/>
          <w:bCs w:val="0"/>
          <w:color w:val="000000"/>
          <w:kern w:val="0"/>
          <w:sz w:val="32"/>
          <w:szCs w:val="32"/>
          <w:lang w:val="en-US" w:eastAsia="zh-CN"/>
        </w:rPr>
        <w:t>1.</w:t>
      </w:r>
      <w:r>
        <w:rPr>
          <w:rFonts w:hint="default" w:ascii="仿宋_GB2312" w:hAnsi="仿宋_GB2312" w:eastAsia="仿宋_GB2312" w:cs="仿宋_GB2312"/>
          <w:b w:val="0"/>
          <w:bCs w:val="0"/>
          <w:color w:val="000000"/>
          <w:kern w:val="0"/>
          <w:sz w:val="32"/>
          <w:szCs w:val="32"/>
          <w:lang w:val="en-US" w:eastAsia="zh-CN"/>
        </w:rPr>
        <w:t>主要问题及原因分析</w:t>
      </w:r>
    </w:p>
    <w:p>
      <w:pPr>
        <w:keepNext w:val="0"/>
        <w:keepLines w:val="0"/>
        <w:pageBreakBefore w:val="0"/>
        <w:kinsoku/>
        <w:wordWrap/>
        <w:overflowPunct/>
        <w:topLinePunct w:val="0"/>
        <w:autoSpaceDE/>
        <w:autoSpaceDN/>
        <w:bidi w:val="0"/>
        <w:adjustRightInd/>
        <w:spacing w:line="576" w:lineRule="exact"/>
        <w:ind w:firstLine="640" w:firstLineChars="200"/>
        <w:jc w:val="both"/>
        <w:textAlignment w:val="auto"/>
        <w:rPr>
          <w:rFonts w:hint="eastAsia" w:ascii="仿宋_GB2312" w:hAnsi="仿宋_GB2312" w:eastAsia="仿宋_GB2312" w:cs="仿宋_GB2312"/>
          <w:b w:val="0"/>
          <w:bCs w:val="0"/>
          <w:color w:val="000000"/>
          <w:kern w:val="0"/>
          <w:sz w:val="32"/>
          <w:szCs w:val="32"/>
          <w:lang w:val="en-US" w:eastAsia="zh-CN"/>
        </w:rPr>
      </w:pPr>
      <w:r>
        <w:rPr>
          <w:rFonts w:hint="eastAsia" w:ascii="仿宋_GB2312" w:hAnsi="仿宋_GB2312" w:eastAsia="仿宋_GB2312" w:cs="仿宋_GB2312"/>
          <w:b w:val="0"/>
          <w:bCs w:val="0"/>
          <w:color w:val="000000"/>
          <w:kern w:val="0"/>
          <w:sz w:val="32"/>
          <w:szCs w:val="32"/>
          <w:lang w:val="en-US" w:eastAsia="zh-CN"/>
        </w:rPr>
        <w:t>2019年的部门整体绩效目标的设定不尽合理，后续年度的绩效目标设定合理性还有待加强。</w:t>
      </w:r>
    </w:p>
    <w:p>
      <w:pPr>
        <w:keepNext w:val="0"/>
        <w:keepLines w:val="0"/>
        <w:pageBreakBefore w:val="0"/>
        <w:kinsoku/>
        <w:wordWrap/>
        <w:overflowPunct/>
        <w:topLinePunct w:val="0"/>
        <w:autoSpaceDE/>
        <w:autoSpaceDN/>
        <w:bidi w:val="0"/>
        <w:adjustRightInd/>
        <w:spacing w:line="576" w:lineRule="exact"/>
        <w:ind w:firstLine="640" w:firstLineChars="200"/>
        <w:jc w:val="both"/>
        <w:textAlignment w:val="auto"/>
        <w:rPr>
          <w:rFonts w:hint="eastAsia" w:ascii="仿宋_GB2312" w:hAnsi="仿宋_GB2312" w:eastAsia="仿宋_GB2312" w:cs="仿宋_GB2312"/>
          <w:b w:val="0"/>
          <w:bCs w:val="0"/>
          <w:color w:val="000000"/>
          <w:kern w:val="0"/>
          <w:sz w:val="32"/>
          <w:szCs w:val="32"/>
          <w:lang w:val="en-US" w:eastAsia="zh-CN"/>
        </w:rPr>
      </w:pPr>
      <w:r>
        <w:rPr>
          <w:rFonts w:hint="eastAsia" w:ascii="仿宋_GB2312" w:hAnsi="仿宋_GB2312" w:eastAsia="仿宋_GB2312" w:cs="仿宋_GB2312"/>
          <w:b w:val="0"/>
          <w:bCs w:val="0"/>
          <w:color w:val="000000"/>
          <w:kern w:val="0"/>
          <w:sz w:val="32"/>
          <w:szCs w:val="32"/>
          <w:lang w:val="en-US" w:eastAsia="zh-CN"/>
        </w:rPr>
        <w:t>自加强全面绩效评价以来，部门绩效评价工作取得了较大的进步，在绩效目标的设定与绩效自评上有了一定的经验，但在绩效目标合理的设定上还有待加强，在绩效自评中也要适当关注多方面多角度多应用。</w:t>
      </w:r>
    </w:p>
    <w:p>
      <w:pPr>
        <w:keepNext w:val="0"/>
        <w:keepLines w:val="0"/>
        <w:pageBreakBefore w:val="0"/>
        <w:kinsoku/>
        <w:wordWrap/>
        <w:overflowPunct/>
        <w:topLinePunct w:val="0"/>
        <w:autoSpaceDE/>
        <w:autoSpaceDN/>
        <w:bidi w:val="0"/>
        <w:adjustRightInd/>
        <w:spacing w:line="576" w:lineRule="exact"/>
        <w:ind w:firstLine="640" w:firstLineChars="200"/>
        <w:jc w:val="both"/>
        <w:textAlignment w:val="auto"/>
        <w:rPr>
          <w:rFonts w:hint="default" w:ascii="仿宋_GB2312" w:hAnsi="仿宋_GB2312" w:eastAsia="仿宋_GB2312" w:cs="仿宋_GB2312"/>
          <w:b w:val="0"/>
          <w:bCs w:val="0"/>
          <w:color w:val="000000"/>
          <w:kern w:val="0"/>
          <w:sz w:val="32"/>
          <w:szCs w:val="32"/>
          <w:lang w:val="en-US" w:eastAsia="zh-CN"/>
        </w:rPr>
      </w:pPr>
      <w:r>
        <w:rPr>
          <w:rFonts w:hint="eastAsia" w:ascii="仿宋_GB2312" w:hAnsi="仿宋_GB2312" w:eastAsia="仿宋_GB2312" w:cs="仿宋_GB2312"/>
          <w:b w:val="0"/>
          <w:bCs w:val="0"/>
          <w:color w:val="000000"/>
          <w:kern w:val="0"/>
          <w:sz w:val="32"/>
          <w:szCs w:val="32"/>
          <w:lang w:val="en-US" w:eastAsia="zh-CN"/>
        </w:rPr>
        <w:t>2.</w:t>
      </w:r>
      <w:r>
        <w:rPr>
          <w:rFonts w:hint="default" w:ascii="仿宋_GB2312" w:hAnsi="仿宋_GB2312" w:eastAsia="仿宋_GB2312" w:cs="仿宋_GB2312"/>
          <w:b w:val="0"/>
          <w:bCs w:val="0"/>
          <w:color w:val="000000"/>
          <w:kern w:val="0"/>
          <w:sz w:val="32"/>
          <w:szCs w:val="32"/>
          <w:lang w:val="en-US" w:eastAsia="zh-CN"/>
        </w:rPr>
        <w:t>改进的方向和具体措施</w:t>
      </w:r>
    </w:p>
    <w:p>
      <w:pPr>
        <w:keepNext w:val="0"/>
        <w:keepLines w:val="0"/>
        <w:pageBreakBefore w:val="0"/>
        <w:kinsoku/>
        <w:wordWrap/>
        <w:overflowPunct/>
        <w:topLinePunct w:val="0"/>
        <w:autoSpaceDE/>
        <w:autoSpaceDN/>
        <w:bidi w:val="0"/>
        <w:adjustRightInd/>
        <w:spacing w:line="576" w:lineRule="exact"/>
        <w:ind w:firstLine="640" w:firstLineChars="200"/>
        <w:jc w:val="both"/>
        <w:textAlignment w:val="auto"/>
        <w:rPr>
          <w:rFonts w:hint="default" w:ascii="仿宋_GB2312" w:hAnsi="仿宋_GB2312" w:eastAsia="仿宋_GB2312" w:cs="仿宋_GB2312"/>
          <w:b w:val="0"/>
          <w:bCs w:val="0"/>
          <w:color w:val="000000"/>
          <w:kern w:val="0"/>
          <w:sz w:val="32"/>
          <w:szCs w:val="32"/>
          <w:lang w:val="en-US" w:eastAsia="zh-CN"/>
        </w:rPr>
      </w:pPr>
      <w:r>
        <w:rPr>
          <w:rFonts w:hint="eastAsia" w:ascii="仿宋_GB2312" w:hAnsi="仿宋_GB2312" w:eastAsia="仿宋_GB2312" w:cs="仿宋_GB2312"/>
          <w:b w:val="0"/>
          <w:bCs w:val="0"/>
          <w:color w:val="000000"/>
          <w:kern w:val="0"/>
          <w:sz w:val="32"/>
          <w:szCs w:val="32"/>
          <w:lang w:val="en-US" w:eastAsia="zh-CN"/>
        </w:rPr>
        <w:t>后续我们将在单位全面深化绩效评价这一概念，不过高和过低设定目标，确保目标的引领作用</w:t>
      </w:r>
      <w:r>
        <w:rPr>
          <w:rFonts w:hint="eastAsia" w:hAnsi="仿宋_GB2312" w:cs="仿宋_GB2312"/>
          <w:b w:val="0"/>
          <w:bCs w:val="0"/>
          <w:color w:val="000000"/>
          <w:kern w:val="0"/>
          <w:sz w:val="32"/>
          <w:szCs w:val="32"/>
          <w:lang w:val="en-US" w:eastAsia="zh-CN"/>
        </w:rPr>
        <w:t>。</w:t>
      </w:r>
      <w:r>
        <w:rPr>
          <w:rFonts w:hint="eastAsia" w:ascii="仿宋_GB2312" w:hAnsi="仿宋_GB2312" w:eastAsia="仿宋_GB2312" w:cs="仿宋_GB2312"/>
          <w:b w:val="0"/>
          <w:bCs w:val="0"/>
          <w:color w:val="000000"/>
          <w:kern w:val="0"/>
          <w:sz w:val="32"/>
          <w:szCs w:val="32"/>
          <w:lang w:val="en-US" w:eastAsia="zh-CN"/>
        </w:rPr>
        <w:t>同时，我们也将重视绩效自评的再应用，把开展绩效自评工作与提高自身理财水平结合起来，针对评价工作中发现的问题，扎实提出下一步改进措施，不断提升行政效能和资金管理水平</w:t>
      </w:r>
      <w:r>
        <w:rPr>
          <w:rFonts w:hint="eastAsia" w:hAnsi="仿宋_GB2312" w:cs="仿宋_GB2312"/>
          <w:b w:val="0"/>
          <w:bCs w:val="0"/>
          <w:color w:val="000000"/>
          <w:kern w:val="0"/>
          <w:sz w:val="32"/>
          <w:szCs w:val="32"/>
          <w:lang w:val="en-US" w:eastAsia="zh-CN"/>
        </w:rPr>
        <w:t>,</w:t>
      </w:r>
      <w:r>
        <w:rPr>
          <w:rFonts w:hint="eastAsia" w:ascii="仿宋_GB2312" w:hAnsi="仿宋_GB2312" w:eastAsia="仿宋_GB2312" w:cs="仿宋_GB2312"/>
          <w:b w:val="0"/>
          <w:bCs w:val="0"/>
          <w:color w:val="000000"/>
          <w:kern w:val="0"/>
          <w:sz w:val="32"/>
          <w:szCs w:val="32"/>
          <w:lang w:val="en-US" w:eastAsia="zh-CN"/>
        </w:rPr>
        <w:t>强化评价环节的作用与效果。</w:t>
      </w:r>
    </w:p>
    <w:p>
      <w:pPr>
        <w:keepNext w:val="0"/>
        <w:keepLines w:val="0"/>
        <w:pageBreakBefore w:val="0"/>
        <w:kinsoku/>
        <w:wordWrap/>
        <w:overflowPunct/>
        <w:topLinePunct w:val="0"/>
        <w:autoSpaceDE/>
        <w:autoSpaceDN/>
        <w:bidi w:val="0"/>
        <w:adjustRightInd/>
        <w:spacing w:line="576" w:lineRule="exact"/>
        <w:ind w:firstLine="640" w:firstLineChars="200"/>
        <w:jc w:val="both"/>
        <w:textAlignment w:val="auto"/>
        <w:rPr>
          <w:rFonts w:hint="eastAsia" w:ascii="仿宋_GB2312" w:hAnsi="仿宋_GB2312" w:eastAsia="仿宋_GB2312" w:cs="仿宋_GB2312"/>
          <w:b w:val="0"/>
          <w:bCs w:val="0"/>
          <w:color w:val="000000"/>
          <w:kern w:val="0"/>
          <w:sz w:val="32"/>
          <w:szCs w:val="32"/>
          <w:lang w:val="en-US" w:eastAsia="zh-CN"/>
        </w:rPr>
      </w:pPr>
      <w:r>
        <w:rPr>
          <w:rFonts w:hint="eastAsia" w:ascii="仿宋_GB2312" w:hAnsi="仿宋_GB2312" w:eastAsia="仿宋_GB2312" w:cs="仿宋_GB2312"/>
          <w:b w:val="0"/>
          <w:bCs w:val="0"/>
          <w:color w:val="000000"/>
          <w:kern w:val="0"/>
          <w:sz w:val="32"/>
          <w:szCs w:val="32"/>
          <w:lang w:val="en-US" w:eastAsia="zh-CN"/>
        </w:rPr>
        <w:t>（二）农业产业行业方面</w:t>
      </w:r>
    </w:p>
    <w:p>
      <w:pPr>
        <w:keepNext w:val="0"/>
        <w:keepLines w:val="0"/>
        <w:pageBreakBefore w:val="0"/>
        <w:kinsoku/>
        <w:wordWrap/>
        <w:overflowPunct/>
        <w:topLinePunct w:val="0"/>
        <w:autoSpaceDE/>
        <w:autoSpaceDN/>
        <w:bidi w:val="0"/>
        <w:adjustRightInd/>
        <w:spacing w:line="576" w:lineRule="exact"/>
        <w:ind w:firstLine="640" w:firstLineChars="200"/>
        <w:jc w:val="both"/>
        <w:textAlignment w:val="auto"/>
        <w:rPr>
          <w:rFonts w:hint="default" w:ascii="仿宋_GB2312" w:hAnsi="仿宋_GB2312" w:eastAsia="仿宋_GB2312" w:cs="仿宋_GB2312"/>
          <w:b w:val="0"/>
          <w:bCs w:val="0"/>
          <w:color w:val="000000"/>
          <w:kern w:val="0"/>
          <w:sz w:val="32"/>
          <w:szCs w:val="32"/>
          <w:lang w:val="en-US" w:eastAsia="zh-CN"/>
        </w:rPr>
      </w:pPr>
      <w:r>
        <w:rPr>
          <w:rFonts w:hint="eastAsia" w:ascii="仿宋_GB2312" w:hAnsi="仿宋_GB2312" w:eastAsia="仿宋_GB2312" w:cs="仿宋_GB2312"/>
          <w:b w:val="0"/>
          <w:bCs w:val="0"/>
          <w:color w:val="000000"/>
          <w:kern w:val="0"/>
          <w:sz w:val="32"/>
          <w:szCs w:val="32"/>
          <w:lang w:val="en-US" w:eastAsia="zh-CN"/>
        </w:rPr>
        <w:t>1.</w:t>
      </w:r>
      <w:r>
        <w:rPr>
          <w:rFonts w:hint="default" w:ascii="仿宋_GB2312" w:hAnsi="仿宋_GB2312" w:eastAsia="仿宋_GB2312" w:cs="仿宋_GB2312"/>
          <w:b w:val="0"/>
          <w:bCs w:val="0"/>
          <w:color w:val="000000"/>
          <w:kern w:val="0"/>
          <w:sz w:val="32"/>
          <w:szCs w:val="32"/>
          <w:lang w:val="en-US" w:eastAsia="zh-CN"/>
        </w:rPr>
        <w:t>主要问题及原因分析</w:t>
      </w:r>
    </w:p>
    <w:p>
      <w:pPr>
        <w:keepNext w:val="0"/>
        <w:keepLines w:val="0"/>
        <w:pageBreakBefore w:val="0"/>
        <w:kinsoku/>
        <w:wordWrap/>
        <w:overflowPunct/>
        <w:topLinePunct w:val="0"/>
        <w:autoSpaceDE/>
        <w:autoSpaceDN/>
        <w:bidi w:val="0"/>
        <w:adjustRightInd/>
        <w:spacing w:line="576" w:lineRule="exact"/>
        <w:ind w:firstLine="640" w:firstLineChars="200"/>
        <w:jc w:val="both"/>
        <w:textAlignment w:val="auto"/>
        <w:rPr>
          <w:rFonts w:hint="eastAsia" w:ascii="仿宋_GB2312" w:hAnsi="仿宋_GB2312" w:eastAsia="仿宋_GB2312" w:cs="仿宋_GB2312"/>
          <w:b w:val="0"/>
          <w:bCs w:val="0"/>
          <w:color w:val="000000"/>
          <w:kern w:val="0"/>
          <w:sz w:val="32"/>
          <w:szCs w:val="32"/>
          <w:lang w:val="en-US" w:eastAsia="zh-CN"/>
        </w:rPr>
      </w:pPr>
      <w:r>
        <w:rPr>
          <w:rFonts w:hint="eastAsia" w:ascii="仿宋_GB2312" w:hAnsi="仿宋_GB2312" w:eastAsia="仿宋_GB2312" w:cs="仿宋_GB2312"/>
          <w:b w:val="0"/>
          <w:bCs w:val="0"/>
          <w:color w:val="000000"/>
          <w:kern w:val="0"/>
          <w:sz w:val="32"/>
          <w:szCs w:val="32"/>
          <w:lang w:val="en-US" w:eastAsia="zh-CN"/>
        </w:rPr>
        <w:t>农业行业本身的一些困境需要进一步打破。</w:t>
      </w:r>
    </w:p>
    <w:p>
      <w:pPr>
        <w:keepNext w:val="0"/>
        <w:keepLines w:val="0"/>
        <w:pageBreakBefore w:val="0"/>
        <w:kinsoku/>
        <w:wordWrap/>
        <w:overflowPunct/>
        <w:topLinePunct w:val="0"/>
        <w:autoSpaceDE/>
        <w:autoSpaceDN/>
        <w:bidi w:val="0"/>
        <w:adjustRightInd/>
        <w:spacing w:line="576" w:lineRule="exact"/>
        <w:ind w:firstLine="640" w:firstLineChars="200"/>
        <w:jc w:val="both"/>
        <w:textAlignment w:val="auto"/>
        <w:rPr>
          <w:rFonts w:hint="default" w:ascii="仿宋_GB2312" w:hAnsi="仿宋_GB2312" w:eastAsia="仿宋_GB2312" w:cs="仿宋_GB2312"/>
          <w:b w:val="0"/>
          <w:bCs w:val="0"/>
          <w:color w:val="000000"/>
          <w:kern w:val="0"/>
          <w:sz w:val="32"/>
          <w:szCs w:val="32"/>
          <w:lang w:val="en-US" w:eastAsia="zh-CN"/>
        </w:rPr>
      </w:pPr>
      <w:r>
        <w:rPr>
          <w:rFonts w:hint="eastAsia" w:ascii="仿宋_GB2312" w:hAnsi="仿宋_GB2312" w:eastAsia="仿宋_GB2312" w:cs="仿宋_GB2312"/>
          <w:b w:val="0"/>
          <w:bCs w:val="0"/>
          <w:color w:val="000000"/>
          <w:kern w:val="0"/>
          <w:sz w:val="32"/>
          <w:szCs w:val="32"/>
          <w:lang w:val="en-US" w:eastAsia="zh-CN"/>
        </w:rPr>
        <w:t>望城蔬菜产业在现有的基础上正处于快速发展期，要高质量、高效率、高效益发展仍需克服固有的困难。一是蔬菜种植条件严苛，栽培育肥不当以及洪涝、冰灾、病虫等自然灾害都会对蔬菜的品质及产量造成实质性的影响；二是蔬菜多以新鲜产品出售，采后处理不及时容易腐烂，而采后系统、分级包装、冷链物流平台建设不健全，在一定程度上影响农户种植蔬菜的积极性；三是虽重点打造靖港西兰花、东城生态椒、云麓芽苗菜等蔬菜品牌，但是没有真正在全国占有市场影响力及知名度的企业龙头。</w:t>
      </w:r>
    </w:p>
    <w:p>
      <w:pPr>
        <w:keepNext w:val="0"/>
        <w:keepLines w:val="0"/>
        <w:pageBreakBefore w:val="0"/>
        <w:kinsoku/>
        <w:wordWrap/>
        <w:overflowPunct/>
        <w:topLinePunct w:val="0"/>
        <w:autoSpaceDE/>
        <w:autoSpaceDN/>
        <w:bidi w:val="0"/>
        <w:adjustRightInd/>
        <w:spacing w:line="576" w:lineRule="exact"/>
        <w:ind w:firstLine="640" w:firstLineChars="200"/>
        <w:jc w:val="both"/>
        <w:textAlignment w:val="auto"/>
        <w:rPr>
          <w:rFonts w:hint="default" w:ascii="仿宋_GB2312" w:hAnsi="仿宋_GB2312" w:eastAsia="仿宋_GB2312" w:cs="仿宋_GB2312"/>
          <w:b w:val="0"/>
          <w:bCs w:val="0"/>
          <w:color w:val="000000"/>
          <w:kern w:val="0"/>
          <w:sz w:val="32"/>
          <w:szCs w:val="32"/>
          <w:lang w:val="en-US" w:eastAsia="zh-CN"/>
        </w:rPr>
      </w:pPr>
      <w:r>
        <w:rPr>
          <w:rFonts w:hint="eastAsia" w:ascii="仿宋_GB2312" w:hAnsi="仿宋_GB2312" w:eastAsia="仿宋_GB2312" w:cs="仿宋_GB2312"/>
          <w:b w:val="0"/>
          <w:bCs w:val="0"/>
          <w:color w:val="000000"/>
          <w:kern w:val="0"/>
          <w:sz w:val="32"/>
          <w:szCs w:val="32"/>
          <w:lang w:val="en-US" w:eastAsia="zh-CN"/>
        </w:rPr>
        <w:t>2.</w:t>
      </w:r>
      <w:r>
        <w:rPr>
          <w:rFonts w:hint="default" w:ascii="仿宋_GB2312" w:hAnsi="仿宋_GB2312" w:eastAsia="仿宋_GB2312" w:cs="仿宋_GB2312"/>
          <w:b w:val="0"/>
          <w:bCs w:val="0"/>
          <w:color w:val="000000"/>
          <w:kern w:val="0"/>
          <w:sz w:val="32"/>
          <w:szCs w:val="32"/>
          <w:lang w:val="en-US" w:eastAsia="zh-CN"/>
        </w:rPr>
        <w:t>改进的方向和具体措施</w:t>
      </w:r>
    </w:p>
    <w:p>
      <w:pPr>
        <w:keepNext w:val="0"/>
        <w:keepLines w:val="0"/>
        <w:pageBreakBefore w:val="0"/>
        <w:kinsoku/>
        <w:wordWrap/>
        <w:overflowPunct/>
        <w:topLinePunct w:val="0"/>
        <w:autoSpaceDE/>
        <w:autoSpaceDN/>
        <w:bidi w:val="0"/>
        <w:adjustRightInd/>
        <w:spacing w:line="576" w:lineRule="exact"/>
        <w:ind w:firstLine="640" w:firstLineChars="200"/>
        <w:jc w:val="both"/>
        <w:textAlignment w:val="auto"/>
        <w:rPr>
          <w:rFonts w:hint="default" w:ascii="Times New Roman" w:hAnsi="Times New Roman" w:eastAsia="黑体" w:cs="Times New Roman"/>
          <w:sz w:val="30"/>
          <w:lang w:val="en-US" w:eastAsia="zh-CN"/>
        </w:rPr>
      </w:pPr>
      <w:r>
        <w:rPr>
          <w:rFonts w:hint="eastAsia" w:ascii="仿宋_GB2312" w:hAnsi="仿宋_GB2312" w:eastAsia="仿宋_GB2312" w:cs="仿宋_GB2312"/>
          <w:b w:val="0"/>
          <w:bCs w:val="0"/>
          <w:color w:val="000000"/>
          <w:kern w:val="0"/>
          <w:sz w:val="32"/>
          <w:szCs w:val="32"/>
          <w:lang w:val="en-US" w:eastAsia="zh-CN"/>
        </w:rPr>
        <w:t>后期需重点关注销售环节，拓宽市场，制定精准政策，促进蔬菜产业稳步高质量发展。</w:t>
      </w:r>
    </w:p>
    <w:p>
      <w:pPr>
        <w:keepNext w:val="0"/>
        <w:keepLines w:val="0"/>
        <w:pageBreakBefore w:val="0"/>
        <w:kinsoku/>
        <w:wordWrap/>
        <w:overflowPunct/>
        <w:topLinePunct w:val="0"/>
        <w:autoSpaceDE/>
        <w:autoSpaceDN/>
        <w:bidi w:val="0"/>
        <w:adjustRightInd/>
        <w:spacing w:line="576" w:lineRule="exact"/>
        <w:ind w:firstLine="600" w:firstLineChars="200"/>
        <w:jc w:val="both"/>
        <w:textAlignment w:val="auto"/>
        <w:rPr>
          <w:rFonts w:hint="default" w:ascii="Times New Roman" w:hAnsi="Times New Roman" w:eastAsia="黑体" w:cs="Times New Roman"/>
          <w:sz w:val="30"/>
          <w:lang w:val="en-US" w:eastAsia="zh-CN"/>
        </w:rPr>
      </w:pPr>
      <w:r>
        <w:rPr>
          <w:rFonts w:hint="default" w:ascii="Times New Roman" w:hAnsi="Times New Roman" w:eastAsia="黑体" w:cs="Times New Roman"/>
          <w:sz w:val="30"/>
          <w:lang w:val="en-US" w:eastAsia="zh-CN"/>
        </w:rPr>
        <w:t>七、其它需要说明的情况</w:t>
      </w:r>
    </w:p>
    <w:p>
      <w:pPr>
        <w:keepNext w:val="0"/>
        <w:keepLines w:val="0"/>
        <w:pageBreakBefore w:val="0"/>
        <w:kinsoku/>
        <w:wordWrap/>
        <w:overflowPunct/>
        <w:topLinePunct w:val="0"/>
        <w:autoSpaceDE/>
        <w:autoSpaceDN/>
        <w:bidi w:val="0"/>
        <w:adjustRightInd/>
        <w:spacing w:line="576" w:lineRule="exact"/>
        <w:ind w:firstLine="640" w:firstLineChars="200"/>
        <w:jc w:val="both"/>
        <w:textAlignment w:val="auto"/>
        <w:rPr>
          <w:rFonts w:hint="eastAsia" w:ascii="仿宋_GB2312" w:hAnsi="仿宋_GB2312" w:eastAsia="仿宋_GB2312" w:cs="仿宋_GB2312"/>
          <w:b w:val="0"/>
          <w:bCs w:val="0"/>
          <w:color w:val="000000"/>
          <w:kern w:val="0"/>
          <w:sz w:val="32"/>
          <w:szCs w:val="32"/>
          <w:lang w:val="en-US" w:eastAsia="zh-CN"/>
        </w:rPr>
      </w:pPr>
      <w:r>
        <w:rPr>
          <w:rFonts w:hint="eastAsia" w:ascii="仿宋_GB2312" w:hAnsi="仿宋_GB2312" w:eastAsia="仿宋_GB2312" w:cs="仿宋_GB2312"/>
          <w:b w:val="0"/>
          <w:bCs w:val="0"/>
          <w:color w:val="000000"/>
          <w:kern w:val="0"/>
          <w:sz w:val="32"/>
          <w:szCs w:val="32"/>
          <w:lang w:val="en-US" w:eastAsia="zh-CN"/>
        </w:rPr>
        <w:t>1.2019年区委区政府对涉农资金进行了整合</w:t>
      </w:r>
      <w:r>
        <w:rPr>
          <w:rFonts w:hint="eastAsia" w:hAnsi="仿宋_GB2312" w:cs="仿宋_GB2312"/>
          <w:b w:val="0"/>
          <w:bCs w:val="0"/>
          <w:color w:val="000000"/>
          <w:kern w:val="0"/>
          <w:sz w:val="32"/>
          <w:szCs w:val="32"/>
          <w:lang w:val="en-US" w:eastAsia="zh-CN"/>
        </w:rPr>
        <w:t>。</w:t>
      </w:r>
    </w:p>
    <w:p>
      <w:pPr>
        <w:keepNext w:val="0"/>
        <w:keepLines w:val="0"/>
        <w:pageBreakBefore w:val="0"/>
        <w:kinsoku/>
        <w:wordWrap/>
        <w:overflowPunct/>
        <w:topLinePunct w:val="0"/>
        <w:autoSpaceDE/>
        <w:autoSpaceDN/>
        <w:bidi w:val="0"/>
        <w:adjustRightInd/>
        <w:spacing w:line="576" w:lineRule="exact"/>
        <w:ind w:firstLine="640" w:firstLineChars="200"/>
        <w:jc w:val="both"/>
        <w:textAlignment w:val="auto"/>
        <w:rPr>
          <w:rFonts w:hint="default"/>
          <w:lang w:val="en-US" w:eastAsia="zh-CN"/>
        </w:rPr>
      </w:pPr>
      <w:r>
        <w:rPr>
          <w:rFonts w:hint="eastAsia" w:hAnsi="仿宋_GB2312" w:cs="仿宋_GB2312"/>
          <w:b w:val="0"/>
          <w:bCs w:val="0"/>
          <w:color w:val="000000"/>
          <w:kern w:val="0"/>
          <w:sz w:val="32"/>
          <w:szCs w:val="32"/>
          <w:lang w:val="en-US" w:eastAsia="zh-CN"/>
        </w:rPr>
        <w:t>2.</w:t>
      </w:r>
      <w:r>
        <w:rPr>
          <w:rFonts w:hint="eastAsia" w:ascii="仿宋_GB2312" w:hAnsi="仿宋_GB2312" w:eastAsia="仿宋_GB2312" w:cs="仿宋_GB2312"/>
          <w:b w:val="0"/>
          <w:bCs w:val="0"/>
          <w:color w:val="000000"/>
          <w:kern w:val="0"/>
          <w:sz w:val="32"/>
          <w:szCs w:val="32"/>
          <w:lang w:val="en-US" w:eastAsia="zh-CN"/>
        </w:rPr>
        <w:t>按照市长办公会议纪要要求，2019年使用的蔬菜产业发展专项资金的来源</w:t>
      </w:r>
      <w:r>
        <w:rPr>
          <w:rFonts w:hint="eastAsia" w:hAnsi="仿宋_GB2312" w:cs="仿宋_GB2312"/>
          <w:b w:val="0"/>
          <w:bCs w:val="0"/>
          <w:color w:val="000000"/>
          <w:kern w:val="0"/>
          <w:sz w:val="32"/>
          <w:szCs w:val="32"/>
          <w:lang w:val="en-US" w:eastAsia="zh-CN"/>
        </w:rPr>
        <w:t>由</w:t>
      </w:r>
      <w:r>
        <w:rPr>
          <w:rFonts w:hint="eastAsia" w:ascii="仿宋_GB2312" w:hAnsi="仿宋_GB2312" w:eastAsia="仿宋_GB2312" w:cs="仿宋_GB2312"/>
          <w:b w:val="0"/>
          <w:bCs w:val="0"/>
          <w:color w:val="000000"/>
          <w:kern w:val="0"/>
          <w:sz w:val="32"/>
          <w:szCs w:val="32"/>
          <w:lang w:val="en-US" w:eastAsia="zh-CN"/>
        </w:rPr>
        <w:t>市级拨付望城区</w:t>
      </w:r>
      <w:r>
        <w:rPr>
          <w:rFonts w:hint="eastAsia" w:hAnsi="仿宋_GB2312" w:cs="仿宋_GB2312"/>
          <w:b w:val="0"/>
          <w:bCs w:val="0"/>
          <w:color w:val="000000"/>
          <w:kern w:val="0"/>
          <w:sz w:val="32"/>
          <w:szCs w:val="32"/>
          <w:lang w:val="en-US" w:eastAsia="zh-CN"/>
        </w:rPr>
        <w:t>产业发展</w:t>
      </w:r>
      <w:r>
        <w:rPr>
          <w:rFonts w:hint="eastAsia" w:ascii="仿宋_GB2312" w:hAnsi="仿宋_GB2312" w:eastAsia="仿宋_GB2312" w:cs="仿宋_GB2312"/>
          <w:b w:val="0"/>
          <w:bCs w:val="0"/>
          <w:color w:val="000000"/>
          <w:kern w:val="0"/>
          <w:sz w:val="32"/>
          <w:szCs w:val="32"/>
          <w:lang w:val="en-US" w:eastAsia="zh-CN"/>
        </w:rPr>
        <w:t>资金和区级配套</w:t>
      </w:r>
      <w:r>
        <w:rPr>
          <w:rFonts w:hint="eastAsia" w:hAnsi="仿宋_GB2312" w:cs="仿宋_GB2312"/>
          <w:b w:val="0"/>
          <w:bCs w:val="0"/>
          <w:color w:val="000000"/>
          <w:kern w:val="0"/>
          <w:sz w:val="32"/>
          <w:szCs w:val="32"/>
          <w:lang w:val="en-US" w:eastAsia="zh-CN"/>
        </w:rPr>
        <w:t>资金</w:t>
      </w:r>
      <w:r>
        <w:rPr>
          <w:rFonts w:hint="eastAsia" w:ascii="仿宋_GB2312" w:hAnsi="仿宋_GB2312" w:eastAsia="仿宋_GB2312" w:cs="仿宋_GB2312"/>
          <w:b w:val="0"/>
          <w:bCs w:val="0"/>
          <w:color w:val="000000"/>
          <w:kern w:val="0"/>
          <w:sz w:val="32"/>
          <w:szCs w:val="32"/>
          <w:lang w:val="en-US" w:eastAsia="zh-CN"/>
        </w:rPr>
        <w:t>两部分</w:t>
      </w:r>
      <w:r>
        <w:rPr>
          <w:rFonts w:hint="eastAsia" w:hAnsi="仿宋_GB2312" w:cs="仿宋_GB2312"/>
          <w:b w:val="0"/>
          <w:bCs w:val="0"/>
          <w:color w:val="000000"/>
          <w:kern w:val="0"/>
          <w:sz w:val="32"/>
          <w:szCs w:val="32"/>
          <w:lang w:val="en-US" w:eastAsia="zh-CN"/>
        </w:rPr>
        <w:t>组成。</w:t>
      </w:r>
      <w:bookmarkStart w:id="0" w:name="_GoBack"/>
      <w:bookmarkEnd w:id="0"/>
    </w:p>
    <w:p>
      <w:pPr>
        <w:pStyle w:val="2"/>
        <w:keepNext w:val="0"/>
        <w:keepLines w:val="0"/>
        <w:pageBreakBefore w:val="0"/>
        <w:numPr>
          <w:ilvl w:val="0"/>
          <w:numId w:val="0"/>
        </w:numPr>
        <w:kinsoku/>
        <w:wordWrap/>
        <w:overflowPunct/>
        <w:topLinePunct w:val="0"/>
        <w:autoSpaceDE/>
        <w:autoSpaceDN/>
        <w:bidi w:val="0"/>
        <w:adjustRightInd/>
        <w:spacing w:line="576" w:lineRule="exact"/>
        <w:jc w:val="both"/>
        <w:textAlignment w:val="auto"/>
        <w:rPr>
          <w:rFonts w:hint="default"/>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576" w:lineRule="exact"/>
        <w:ind w:firstLine="640" w:firstLineChars="200"/>
        <w:jc w:val="right"/>
        <w:textAlignment w:val="auto"/>
        <w:outlineLvl w:val="9"/>
        <w:rPr>
          <w:rFonts w:hint="eastAsia"/>
          <w:color w:val="auto"/>
          <w:sz w:val="32"/>
          <w:szCs w:val="32"/>
          <w:lang w:val="en-US" w:eastAsia="zh-CN"/>
        </w:rPr>
      </w:pPr>
      <w:r>
        <w:rPr>
          <w:rFonts w:hint="eastAsia"/>
          <w:color w:val="auto"/>
          <w:sz w:val="32"/>
          <w:szCs w:val="32"/>
          <w:lang w:val="en-US" w:eastAsia="zh-CN"/>
        </w:rPr>
        <w:t>湖南望城国家农业科技园区管理委员会</w:t>
      </w:r>
    </w:p>
    <w:p>
      <w:pPr>
        <w:keepNext w:val="0"/>
        <w:keepLines w:val="0"/>
        <w:pageBreakBefore w:val="0"/>
        <w:numPr>
          <w:ilvl w:val="0"/>
          <w:numId w:val="0"/>
        </w:numPr>
        <w:kinsoku/>
        <w:wordWrap/>
        <w:overflowPunct/>
        <w:topLinePunct w:val="0"/>
        <w:autoSpaceDE/>
        <w:autoSpaceDN/>
        <w:bidi w:val="0"/>
        <w:adjustRightInd/>
        <w:snapToGrid/>
        <w:spacing w:line="576" w:lineRule="exact"/>
        <w:ind w:firstLine="640" w:firstLineChars="200"/>
        <w:jc w:val="left"/>
        <w:textAlignment w:val="auto"/>
        <w:outlineLvl w:val="9"/>
        <w:rPr>
          <w:rFonts w:hint="default"/>
          <w:color w:val="auto"/>
          <w:sz w:val="32"/>
          <w:szCs w:val="32"/>
          <w:lang w:val="en-US" w:eastAsia="zh-CN"/>
        </w:rPr>
      </w:pPr>
      <w:r>
        <w:rPr>
          <w:rFonts w:hint="eastAsia"/>
          <w:color w:val="auto"/>
          <w:sz w:val="32"/>
          <w:szCs w:val="32"/>
          <w:lang w:val="en-US" w:eastAsia="zh-CN"/>
        </w:rPr>
        <w:t xml:space="preserve">                        2020年4月8日</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modern"/>
    <w:pitch w:val="default"/>
    <w:sig w:usb0="00000001" w:usb1="080E0000" w:usb2="00000000" w:usb3="00000000" w:csb0="00040000" w:csb1="00000000"/>
  </w:font>
  <w:font w:name="方正小标宋简体">
    <w:altName w:val="仿宋_GB2312"/>
    <w:panose1 w:val="03000509000000000000"/>
    <w:charset w:val="86"/>
    <w:family w:val="script"/>
    <w:pitch w:val="default"/>
    <w:sig w:usb0="00000000" w:usb1="00000000" w:usb2="00000000" w:usb3="00000000" w:csb0="00040000" w:csb1="00000000"/>
  </w:font>
  <w:font w:name="仿宋">
    <w:altName w:val="宋体"/>
    <w:panose1 w:val="02010609060101010101"/>
    <w:charset w:val="86"/>
    <w:family w:val="modern"/>
    <w:pitch w:val="default"/>
    <w:sig w:usb0="00000000" w:usb1="00000000" w:usb2="00000016" w:usb3="00000000" w:csb0="00040001" w:csb1="00000000"/>
  </w:font>
  <w:font w:name="方正小标宋_GBK">
    <w:altName w:val="宋体"/>
    <w:panose1 w:val="03000509000000000000"/>
    <w:charset w:val="86"/>
    <w:family w:val="script"/>
    <w:pitch w:val="default"/>
    <w:sig w:usb0="00000000" w:usb1="0000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8240" behindDoc="0" locked="0" layoutInCell="1" allowOverlap="1">
              <wp:simplePos x="0" y="0"/>
              <wp:positionH relativeFrom="margin">
                <wp:align>inside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eastAsia="仿宋_GB2312"/>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in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3"/>
                      <w:rPr>
                        <w:rFonts w:hint="eastAsia" w:eastAsia="仿宋_GB2312"/>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D618208"/>
    <w:multiLevelType w:val="singleLevel"/>
    <w:tmpl w:val="6D618208"/>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3D7738E"/>
    <w:rsid w:val="036B52F6"/>
    <w:rsid w:val="06877327"/>
    <w:rsid w:val="077E4A33"/>
    <w:rsid w:val="0A4C089B"/>
    <w:rsid w:val="0AE4327E"/>
    <w:rsid w:val="13503D0F"/>
    <w:rsid w:val="15323B84"/>
    <w:rsid w:val="211B6B2D"/>
    <w:rsid w:val="21B15304"/>
    <w:rsid w:val="26044E73"/>
    <w:rsid w:val="2E857E44"/>
    <w:rsid w:val="31F90B00"/>
    <w:rsid w:val="3BF95B4B"/>
    <w:rsid w:val="3F6763A0"/>
    <w:rsid w:val="40394CC6"/>
    <w:rsid w:val="407C166F"/>
    <w:rsid w:val="4376439C"/>
    <w:rsid w:val="43D7738E"/>
    <w:rsid w:val="460D090C"/>
    <w:rsid w:val="4F2C4A67"/>
    <w:rsid w:val="551075B3"/>
    <w:rsid w:val="55184C19"/>
    <w:rsid w:val="57017A71"/>
    <w:rsid w:val="58C5200B"/>
    <w:rsid w:val="595B3DD9"/>
    <w:rsid w:val="5A9C3388"/>
    <w:rsid w:val="5BBA7633"/>
    <w:rsid w:val="5C941AFF"/>
    <w:rsid w:val="631E5229"/>
    <w:rsid w:val="632C2110"/>
    <w:rsid w:val="67385D7F"/>
    <w:rsid w:val="6C0A05C4"/>
    <w:rsid w:val="6D155AAE"/>
    <w:rsid w:val="7B2F07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80" w:lineRule="exact"/>
      <w:jc w:val="both"/>
    </w:pPr>
    <w:rPr>
      <w:rFonts w:ascii="仿宋_GB2312" w:hAnsi="Calibri" w:eastAsia="仿宋_GB2312" w:cs="Times New Roman"/>
      <w:kern w:val="2"/>
      <w:sz w:val="32"/>
      <w:szCs w:val="32"/>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Body Text"/>
    <w:basedOn w:val="1"/>
    <w:qFormat/>
    <w:uiPriority w:val="0"/>
    <w:pPr>
      <w:widowControl/>
      <w:spacing w:before="100" w:beforeAutospacing="1" w:after="100" w:afterAutospacing="1"/>
      <w:jc w:val="left"/>
    </w:pPr>
    <w:rPr>
      <w:rFonts w:ascii="宋体" w:hAnsi="宋体" w:cs="宋体"/>
      <w:kern w:val="0"/>
      <w:sz w:val="24"/>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10</TotalTime>
  <ScaleCrop>false</ScaleCrop>
  <LinksUpToDate>false</LinksUpToDate>
  <CharactersWithSpaces>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2020-03-30T06:28:00Z</dcterms:created>
  <dc:creator>18874814450</dc:creator>
  <cp:lastModifiedBy>18874814450</cp:lastModifiedBy>
  <cp:lastPrinted>2020-04-08T07:54:00Z</cp:lastPrinted>
  <dcterms:modified xsi:type="dcterms:W3CDTF">2020-09-09T07:32:26Z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