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b/>
          <w:bCs/>
          <w:sz w:val="44"/>
          <w:szCs w:val="44"/>
        </w:rPr>
      </w:pPr>
      <w:r>
        <w:rPr>
          <w:rFonts w:hint="eastAsia" w:asciiTheme="majorEastAsia" w:hAnsiTheme="majorEastAsia" w:eastAsiaTheme="majorEastAsia"/>
          <w:b/>
          <w:bCs/>
          <w:sz w:val="44"/>
          <w:szCs w:val="44"/>
        </w:rPr>
        <w:t>202</w:t>
      </w:r>
      <w:r>
        <w:rPr>
          <w:rFonts w:hint="eastAsia" w:asciiTheme="majorEastAsia" w:hAnsiTheme="majorEastAsia" w:eastAsiaTheme="majorEastAsia"/>
          <w:b/>
          <w:bCs/>
          <w:sz w:val="44"/>
          <w:szCs w:val="44"/>
          <w:lang w:val="en-US" w:eastAsia="zh-CN"/>
        </w:rPr>
        <w:t>3</w:t>
      </w:r>
      <w:r>
        <w:rPr>
          <w:rFonts w:hint="eastAsia" w:asciiTheme="majorEastAsia" w:hAnsiTheme="majorEastAsia" w:eastAsiaTheme="majorEastAsia"/>
          <w:b/>
          <w:bCs/>
          <w:sz w:val="44"/>
          <w:szCs w:val="44"/>
        </w:rPr>
        <w:t>年度区商业事务中心部门整体支出  预算绩效自评报告</w:t>
      </w:r>
    </w:p>
    <w:p>
      <w:pPr>
        <w:numPr>
          <w:ilvl w:val="0"/>
          <w:numId w:val="1"/>
        </w:numPr>
        <w:rPr>
          <w:rFonts w:asciiTheme="minorEastAsia" w:hAnsiTheme="minorEastAsia" w:eastAsiaTheme="minorEastAsia"/>
          <w:sz w:val="28"/>
          <w:szCs w:val="28"/>
        </w:rPr>
      </w:pPr>
      <w:r>
        <w:rPr>
          <w:rFonts w:hint="eastAsia" w:asciiTheme="minorEastAsia" w:hAnsiTheme="minorEastAsia" w:eastAsiaTheme="minorEastAsia"/>
          <w:sz w:val="28"/>
          <w:szCs w:val="28"/>
        </w:rPr>
        <w:t>基本情况</w:t>
      </w:r>
    </w:p>
    <w:p>
      <w:pPr>
        <w:ind w:left="720"/>
        <w:rPr>
          <w:rFonts w:asciiTheme="minorEastAsia" w:hAnsiTheme="minorEastAsia" w:eastAsiaTheme="minorEastAsia"/>
          <w:sz w:val="28"/>
          <w:szCs w:val="28"/>
        </w:rPr>
      </w:pPr>
      <w:r>
        <w:rPr>
          <w:rFonts w:hint="eastAsia" w:asciiTheme="minorEastAsia" w:hAnsiTheme="minorEastAsia" w:eastAsiaTheme="minorEastAsia"/>
          <w:sz w:val="28"/>
          <w:szCs w:val="28"/>
        </w:rPr>
        <w:t>（一）单位基本情况</w:t>
      </w:r>
    </w:p>
    <w:p>
      <w:pPr>
        <w:ind w:firstLine="630" w:firstLineChars="225"/>
        <w:rPr>
          <w:rFonts w:asciiTheme="minorEastAsia" w:hAnsiTheme="minorEastAsia" w:eastAsiaTheme="minorEastAsia"/>
          <w:sz w:val="28"/>
          <w:szCs w:val="28"/>
        </w:rPr>
      </w:pPr>
      <w:r>
        <w:rPr>
          <w:rFonts w:hint="eastAsia" w:asciiTheme="minorEastAsia" w:hAnsiTheme="minorEastAsia" w:eastAsiaTheme="minorEastAsia"/>
          <w:sz w:val="28"/>
          <w:szCs w:val="28"/>
        </w:rPr>
        <w:t>望城区商业事务中心是隶属于区商务局的财政全额拨款的下属二级副科级事业单位，机关编制8人，属事业编制。机关内设三科一室（即：政保科、业务综合科、财计科、办公室），现有在职人员</w:t>
      </w:r>
      <w:r>
        <w:rPr>
          <w:rFonts w:hint="eastAsia" w:asciiTheme="minorEastAsia" w:hAnsiTheme="minorEastAsia" w:eastAsiaTheme="minorEastAsia"/>
          <w:sz w:val="28"/>
          <w:szCs w:val="28"/>
          <w:lang w:val="en-US" w:eastAsia="zh-CN"/>
        </w:rPr>
        <w:t>5</w:t>
      </w:r>
      <w:r>
        <w:rPr>
          <w:rFonts w:hint="eastAsia" w:asciiTheme="minorEastAsia" w:hAnsiTheme="minorEastAsia" w:eastAsiaTheme="minorEastAsia"/>
          <w:sz w:val="28"/>
          <w:szCs w:val="28"/>
        </w:rPr>
        <w:t>人，临聘人员0人，退休人员16人，遗属补助人员2人。</w:t>
      </w:r>
    </w:p>
    <w:p>
      <w:pPr>
        <w:ind w:firstLine="630" w:firstLineChars="225"/>
        <w:rPr>
          <w:rFonts w:asciiTheme="minorEastAsia" w:hAnsiTheme="minorEastAsia" w:eastAsiaTheme="minorEastAsia"/>
          <w:sz w:val="28"/>
          <w:szCs w:val="28"/>
        </w:rPr>
      </w:pPr>
      <w:r>
        <w:rPr>
          <w:rFonts w:hint="eastAsia" w:asciiTheme="minorEastAsia" w:hAnsiTheme="minorEastAsia" w:eastAsiaTheme="minorEastAsia"/>
          <w:sz w:val="28"/>
          <w:szCs w:val="28"/>
        </w:rPr>
        <w:t>（二）主要职能职责</w:t>
      </w:r>
    </w:p>
    <w:p>
      <w:pPr>
        <w:snapToGrid w:val="0"/>
        <w:spacing w:line="52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负责原商业系统（原县商业局、县商业总公司）及下属企业历史遗留问题的处理，对所属企业（区新星食品有限公司、区新星百纺有限公司、区群乐日用品有限公司、区迎宾糖酒副食品有限公司）进行指导、协调、服务、监督及行政管理，确保四家国有企业的资产保值、增值；负责系统内国有资产的安全和处置；负责国有商业企业改革改制的后续工作；负责商业系统干部职工教育廉政建设和维护稳定工作。</w:t>
      </w:r>
    </w:p>
    <w:p>
      <w:pPr>
        <w:rPr>
          <w:rFonts w:asciiTheme="minorEastAsia" w:hAnsiTheme="minorEastAsia" w:eastAsiaTheme="minorEastAsia"/>
          <w:sz w:val="28"/>
          <w:szCs w:val="28"/>
        </w:rPr>
      </w:pPr>
      <w:r>
        <w:rPr>
          <w:rFonts w:hint="eastAsia" w:asciiTheme="minorEastAsia" w:hAnsiTheme="minorEastAsia" w:eastAsiaTheme="minorEastAsia"/>
          <w:sz w:val="28"/>
          <w:szCs w:val="28"/>
        </w:rPr>
        <w:t>三、部门收支情况</w:t>
      </w:r>
    </w:p>
    <w:p>
      <w:pPr>
        <w:ind w:firstLine="630" w:firstLineChars="225"/>
        <w:rPr>
          <w:rFonts w:asciiTheme="minorEastAsia" w:hAnsiTheme="minorEastAsia" w:eastAsiaTheme="minorEastAsia"/>
          <w:sz w:val="28"/>
          <w:szCs w:val="28"/>
        </w:rPr>
      </w:pPr>
      <w:r>
        <w:rPr>
          <w:rFonts w:hint="eastAsia" w:asciiTheme="minorEastAsia" w:hAnsiTheme="minorEastAsia" w:eastAsiaTheme="minorEastAsia"/>
          <w:sz w:val="28"/>
          <w:szCs w:val="28"/>
        </w:rPr>
        <w:t>我单位收入为全额财政拨款收入，支出为单位基本运行经费,及我系统职工维稳项目支出。</w:t>
      </w:r>
    </w:p>
    <w:p>
      <w:pPr>
        <w:numPr>
          <w:ilvl w:val="0"/>
          <w:numId w:val="2"/>
        </w:numPr>
        <w:spacing w:line="600" w:lineRule="exact"/>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收入预算，202</w:t>
      </w:r>
      <w:r>
        <w:rPr>
          <w:rFonts w:hint="eastAsia" w:asciiTheme="minorEastAsia" w:hAnsiTheme="minorEastAsia" w:eastAsiaTheme="minorEastAsia"/>
          <w:kern w:val="0"/>
          <w:sz w:val="28"/>
          <w:szCs w:val="28"/>
          <w:lang w:val="en-US" w:eastAsia="zh-CN"/>
        </w:rPr>
        <w:t>3</w:t>
      </w:r>
      <w:r>
        <w:rPr>
          <w:rFonts w:hint="eastAsia" w:asciiTheme="minorEastAsia" w:hAnsiTheme="minorEastAsia" w:eastAsiaTheme="minorEastAsia"/>
          <w:kern w:val="0"/>
          <w:sz w:val="28"/>
          <w:szCs w:val="28"/>
        </w:rPr>
        <w:t>年年初预算数为</w:t>
      </w:r>
      <w:r>
        <w:rPr>
          <w:rFonts w:hint="eastAsia" w:asciiTheme="minorEastAsia" w:hAnsiTheme="minorEastAsia" w:eastAsiaTheme="minorEastAsia"/>
          <w:kern w:val="0"/>
          <w:sz w:val="28"/>
          <w:szCs w:val="28"/>
          <w:lang w:val="en-US" w:eastAsia="zh-CN"/>
        </w:rPr>
        <w:t>294.92</w:t>
      </w:r>
      <w:r>
        <w:rPr>
          <w:rFonts w:hint="eastAsia" w:asciiTheme="minorEastAsia" w:hAnsiTheme="minorEastAsia" w:eastAsiaTheme="minorEastAsia"/>
          <w:kern w:val="0"/>
          <w:sz w:val="28"/>
          <w:szCs w:val="28"/>
        </w:rPr>
        <w:t>万，其中，财政拨款（补助）</w:t>
      </w:r>
      <w:r>
        <w:rPr>
          <w:rFonts w:hint="eastAsia" w:asciiTheme="minorEastAsia" w:hAnsiTheme="minorEastAsia" w:eastAsiaTheme="minorEastAsia"/>
          <w:kern w:val="0"/>
          <w:sz w:val="28"/>
          <w:szCs w:val="28"/>
          <w:lang w:val="en-US" w:eastAsia="zh-CN"/>
        </w:rPr>
        <w:t>294.92</w:t>
      </w:r>
      <w:r>
        <w:rPr>
          <w:rFonts w:hint="eastAsia" w:asciiTheme="minorEastAsia" w:hAnsiTheme="minorEastAsia" w:eastAsiaTheme="minorEastAsia"/>
          <w:kern w:val="0"/>
          <w:sz w:val="28"/>
          <w:szCs w:val="28"/>
        </w:rPr>
        <w:t>万元。</w:t>
      </w:r>
    </w:p>
    <w:p>
      <w:pPr>
        <w:numPr>
          <w:ilvl w:val="0"/>
          <w:numId w:val="2"/>
        </w:numPr>
        <w:spacing w:line="600" w:lineRule="exact"/>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支出决算，202</w:t>
      </w:r>
      <w:r>
        <w:rPr>
          <w:rFonts w:hint="eastAsia" w:asciiTheme="minorEastAsia" w:hAnsiTheme="minorEastAsia" w:eastAsiaTheme="minorEastAsia"/>
          <w:kern w:val="0"/>
          <w:sz w:val="28"/>
          <w:szCs w:val="28"/>
          <w:lang w:val="en-US" w:eastAsia="zh-CN"/>
        </w:rPr>
        <w:t>3</w:t>
      </w:r>
      <w:r>
        <w:rPr>
          <w:rFonts w:hint="eastAsia" w:asciiTheme="minorEastAsia" w:hAnsiTheme="minorEastAsia" w:eastAsiaTheme="minorEastAsia"/>
          <w:kern w:val="0"/>
          <w:sz w:val="28"/>
          <w:szCs w:val="28"/>
        </w:rPr>
        <w:t>年年末决算数为</w:t>
      </w:r>
      <w:r>
        <w:rPr>
          <w:rFonts w:hint="eastAsia" w:asciiTheme="minorEastAsia" w:hAnsiTheme="minorEastAsia" w:eastAsiaTheme="minorEastAsia"/>
          <w:kern w:val="0"/>
          <w:sz w:val="28"/>
          <w:szCs w:val="28"/>
          <w:lang w:val="en-US" w:eastAsia="zh-CN"/>
        </w:rPr>
        <w:t>582.39</w:t>
      </w:r>
      <w:r>
        <w:rPr>
          <w:rFonts w:hint="eastAsia" w:asciiTheme="minorEastAsia" w:hAnsiTheme="minorEastAsia" w:eastAsiaTheme="minorEastAsia"/>
          <w:kern w:val="0"/>
          <w:sz w:val="28"/>
          <w:szCs w:val="28"/>
        </w:rPr>
        <w:t>万元，其中：</w:t>
      </w:r>
    </w:p>
    <w:p>
      <w:pPr>
        <w:numPr>
          <w:ilvl w:val="0"/>
          <w:numId w:val="3"/>
        </w:numPr>
        <w:spacing w:line="600" w:lineRule="exact"/>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基本支出：202</w:t>
      </w:r>
      <w:r>
        <w:rPr>
          <w:rFonts w:hint="eastAsia" w:asciiTheme="minorEastAsia" w:hAnsiTheme="minorEastAsia" w:eastAsiaTheme="minorEastAsia"/>
          <w:kern w:val="0"/>
          <w:sz w:val="28"/>
          <w:szCs w:val="28"/>
          <w:lang w:val="en-US" w:eastAsia="zh-CN"/>
        </w:rPr>
        <w:t>3</w:t>
      </w:r>
      <w:r>
        <w:rPr>
          <w:rFonts w:hint="eastAsia" w:asciiTheme="minorEastAsia" w:hAnsiTheme="minorEastAsia" w:eastAsiaTheme="minorEastAsia"/>
          <w:kern w:val="0"/>
          <w:sz w:val="28"/>
          <w:szCs w:val="28"/>
        </w:rPr>
        <w:t>年年末决算数为</w:t>
      </w:r>
      <w:r>
        <w:rPr>
          <w:rFonts w:hint="eastAsia" w:asciiTheme="minorEastAsia" w:hAnsiTheme="minorEastAsia" w:eastAsiaTheme="minorEastAsia"/>
          <w:kern w:val="0"/>
          <w:sz w:val="28"/>
          <w:szCs w:val="28"/>
          <w:lang w:val="en-US" w:eastAsia="zh-CN"/>
        </w:rPr>
        <w:t>263.61</w:t>
      </w:r>
      <w:r>
        <w:rPr>
          <w:rFonts w:hint="eastAsia" w:asciiTheme="minorEastAsia" w:hAnsiTheme="minorEastAsia" w:eastAsiaTheme="minorEastAsia"/>
          <w:kern w:val="0"/>
          <w:sz w:val="28"/>
          <w:szCs w:val="28"/>
        </w:rPr>
        <w:t>万元，是指为保障单位机构运转、完成日常工作任务而发生的各项支出，包括基本工资、津贴补贴等人员经费及办公费、印刷费、水电费、办公设备购置等日常公用经费。</w:t>
      </w:r>
    </w:p>
    <w:p>
      <w:pPr>
        <w:ind w:firstLine="630" w:firstLineChars="225"/>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项目支出：</w:t>
      </w:r>
      <w:r>
        <w:rPr>
          <w:rFonts w:hint="eastAsia" w:asciiTheme="minorEastAsia" w:hAnsiTheme="minorEastAsia" w:eastAsiaTheme="minorEastAsia"/>
          <w:kern w:val="0"/>
          <w:sz w:val="28"/>
          <w:szCs w:val="28"/>
          <w:lang w:val="en-US" w:eastAsia="zh-CN"/>
        </w:rPr>
        <w:t>318.78</w:t>
      </w:r>
      <w:r>
        <w:rPr>
          <w:rFonts w:hint="eastAsia" w:asciiTheme="minorEastAsia" w:hAnsiTheme="minorEastAsia" w:eastAsiaTheme="minorEastAsia"/>
          <w:kern w:val="0"/>
          <w:sz w:val="28"/>
          <w:szCs w:val="28"/>
        </w:rPr>
        <w:t>万元。</w:t>
      </w:r>
    </w:p>
    <w:p>
      <w:pPr>
        <w:ind w:firstLine="630" w:firstLineChars="225"/>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1.202</w:t>
      </w:r>
      <w:r>
        <w:rPr>
          <w:rFonts w:hint="eastAsia" w:asciiTheme="minorEastAsia" w:hAnsiTheme="minorEastAsia" w:eastAsiaTheme="minorEastAsia"/>
          <w:kern w:val="0"/>
          <w:sz w:val="28"/>
          <w:szCs w:val="28"/>
          <w:lang w:val="en-US" w:eastAsia="zh-CN"/>
        </w:rPr>
        <w:t>3</w:t>
      </w:r>
      <w:r>
        <w:rPr>
          <w:rFonts w:hint="eastAsia" w:asciiTheme="minorEastAsia" w:hAnsiTheme="minorEastAsia" w:eastAsiaTheme="minorEastAsia"/>
          <w:kern w:val="0"/>
          <w:sz w:val="28"/>
          <w:szCs w:val="28"/>
        </w:rPr>
        <w:t>年财政批复商业事务中心部门专项支出预算</w:t>
      </w:r>
      <w:r>
        <w:rPr>
          <w:rFonts w:hint="eastAsia" w:asciiTheme="minorEastAsia" w:hAnsiTheme="minorEastAsia" w:eastAsiaTheme="minorEastAsia"/>
          <w:kern w:val="0"/>
          <w:sz w:val="28"/>
          <w:szCs w:val="28"/>
          <w:lang w:val="en-US" w:eastAsia="zh-CN"/>
        </w:rPr>
        <w:t>55</w:t>
      </w:r>
      <w:r>
        <w:rPr>
          <w:rFonts w:hint="eastAsia" w:asciiTheme="minorEastAsia" w:hAnsiTheme="minorEastAsia" w:eastAsiaTheme="minorEastAsia"/>
          <w:kern w:val="0"/>
          <w:sz w:val="28"/>
          <w:szCs w:val="28"/>
        </w:rPr>
        <w:t>万元。明细如下：</w:t>
      </w:r>
    </w:p>
    <w:p>
      <w:pPr>
        <w:ind w:firstLine="630" w:firstLineChars="225"/>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（1）40、50人员补贴：预算</w:t>
      </w:r>
      <w:r>
        <w:rPr>
          <w:rFonts w:hint="eastAsia" w:asciiTheme="minorEastAsia" w:hAnsiTheme="minorEastAsia" w:eastAsiaTheme="minorEastAsia"/>
          <w:kern w:val="0"/>
          <w:sz w:val="28"/>
          <w:szCs w:val="28"/>
          <w:lang w:val="en-US" w:eastAsia="zh-CN"/>
        </w:rPr>
        <w:t>9</w:t>
      </w:r>
      <w:r>
        <w:rPr>
          <w:rFonts w:hint="eastAsia" w:asciiTheme="minorEastAsia" w:hAnsiTheme="minorEastAsia" w:eastAsiaTheme="minorEastAsia"/>
          <w:kern w:val="0"/>
          <w:sz w:val="28"/>
          <w:szCs w:val="28"/>
        </w:rPr>
        <w:t>万元决算数</w:t>
      </w:r>
      <w:r>
        <w:rPr>
          <w:rFonts w:hint="eastAsia" w:asciiTheme="minorEastAsia" w:hAnsiTheme="minorEastAsia" w:eastAsiaTheme="minorEastAsia"/>
          <w:kern w:val="0"/>
          <w:sz w:val="28"/>
          <w:szCs w:val="28"/>
          <w:lang w:val="en-US" w:eastAsia="zh-CN"/>
        </w:rPr>
        <w:t>9万</w:t>
      </w:r>
      <w:r>
        <w:rPr>
          <w:rFonts w:hint="eastAsia" w:asciiTheme="minorEastAsia" w:hAnsiTheme="minorEastAsia" w:eastAsiaTheme="minorEastAsia"/>
          <w:kern w:val="0"/>
          <w:sz w:val="28"/>
          <w:szCs w:val="28"/>
        </w:rPr>
        <w:t>元，主要用于商业系统未改制职工40、50人员生活费支出，。</w:t>
      </w:r>
    </w:p>
    <w:p>
      <w:pPr>
        <w:ind w:firstLine="560" w:firstLineChars="200"/>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（2）改制企业维稳：预算30万元决算数</w:t>
      </w:r>
      <w:r>
        <w:rPr>
          <w:rFonts w:hint="eastAsia" w:asciiTheme="minorEastAsia" w:hAnsiTheme="minorEastAsia" w:eastAsiaTheme="minorEastAsia"/>
          <w:kern w:val="0"/>
          <w:sz w:val="28"/>
          <w:szCs w:val="28"/>
          <w:lang w:val="en-US" w:eastAsia="zh-CN"/>
        </w:rPr>
        <w:t>267324.23</w:t>
      </w:r>
      <w:r>
        <w:rPr>
          <w:rFonts w:hint="eastAsia" w:asciiTheme="minorEastAsia" w:hAnsiTheme="minorEastAsia" w:eastAsiaTheme="minorEastAsia"/>
          <w:kern w:val="0"/>
          <w:sz w:val="28"/>
          <w:szCs w:val="28"/>
        </w:rPr>
        <w:t>元主要用于弥补商业事务中心日常事务开支不足的缺口以及系统企业和职工维稳开支。</w:t>
      </w:r>
    </w:p>
    <w:p>
      <w:pPr>
        <w:ind w:firstLine="560" w:firstLineChars="200"/>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（3）执收成本：预算16万元决算数</w:t>
      </w:r>
      <w:r>
        <w:rPr>
          <w:rFonts w:hint="eastAsia" w:asciiTheme="minorEastAsia" w:hAnsiTheme="minorEastAsia" w:eastAsiaTheme="minorEastAsia"/>
          <w:kern w:val="0"/>
          <w:sz w:val="28"/>
          <w:szCs w:val="28"/>
          <w:lang w:val="en-US" w:eastAsia="zh-CN"/>
        </w:rPr>
        <w:t>0</w:t>
      </w:r>
      <w:r>
        <w:rPr>
          <w:rFonts w:hint="eastAsia" w:asciiTheme="minorEastAsia" w:hAnsiTheme="minorEastAsia" w:eastAsiaTheme="minorEastAsia"/>
          <w:kern w:val="0"/>
          <w:sz w:val="28"/>
          <w:szCs w:val="28"/>
        </w:rPr>
        <w:t>元主要用于弥补商业事务中心日常事务开支不足的缺口和物业维修开支。</w:t>
      </w:r>
    </w:p>
    <w:p>
      <w:pPr>
        <w:ind w:firstLine="560" w:firstLineChars="200"/>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2年初无预算，临时性追加预算：</w:t>
      </w:r>
    </w:p>
    <w:p>
      <w:pPr>
        <w:ind w:firstLine="560" w:firstLineChars="200"/>
        <w:jc w:val="left"/>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(1）</w:t>
      </w:r>
      <w:r>
        <w:rPr>
          <w:rFonts w:hint="eastAsia" w:ascii="宋体" w:hAnsi="宋体" w:eastAsia="宋体" w:cs="宋体"/>
          <w:kern w:val="0"/>
          <w:sz w:val="28"/>
          <w:szCs w:val="28"/>
          <w:lang w:val="en-US" w:eastAsia="zh-CN"/>
        </w:rPr>
        <w:t>国有资产安排收益，决算数1360778.165元，主要是</w:t>
      </w:r>
      <w:r>
        <w:rPr>
          <w:rFonts w:hint="eastAsia" w:ascii="宋体" w:hAnsi="宋体" w:eastAsia="宋体" w:cs="宋体"/>
          <w:kern w:val="0"/>
          <w:sz w:val="28"/>
          <w:szCs w:val="28"/>
          <w:lang w:eastAsia="zh-CN"/>
        </w:rPr>
        <w:t>资产转让税费，决算数</w:t>
      </w:r>
      <w:r>
        <w:rPr>
          <w:rFonts w:hint="eastAsia" w:ascii="宋体" w:hAnsi="宋体" w:eastAsia="宋体" w:cs="宋体"/>
          <w:kern w:val="0"/>
          <w:sz w:val="28"/>
          <w:szCs w:val="28"/>
          <w:lang w:val="en-US" w:eastAsia="zh-CN"/>
        </w:rPr>
        <w:t>902014.63元，主要是资产转让的税费</w:t>
      </w:r>
      <w:r>
        <w:rPr>
          <w:rFonts w:hint="eastAsia" w:ascii="宋体" w:hAnsi="宋体" w:eastAsia="宋体" w:cs="宋体"/>
          <w:kern w:val="0"/>
          <w:sz w:val="28"/>
          <w:szCs w:val="28"/>
        </w:rPr>
        <w:t>。</w:t>
      </w:r>
      <w:r>
        <w:rPr>
          <w:rFonts w:hint="eastAsia" w:ascii="宋体" w:hAnsi="宋体" w:eastAsia="宋体" w:cs="宋体"/>
          <w:kern w:val="0"/>
          <w:sz w:val="28"/>
          <w:szCs w:val="28"/>
          <w:lang w:val="en-US" w:eastAsia="zh-CN"/>
        </w:rPr>
        <w:t>疫情纾困及房屋安全鉴定决算数458763.53，主要是所属企业疫情纾困及房屋安全鉴定费。</w:t>
      </w:r>
    </w:p>
    <w:p>
      <w:pPr>
        <w:ind w:firstLine="560" w:firstLineChars="200"/>
        <w:rPr>
          <w:rFonts w:hint="eastAsia" w:ascii="宋体" w:hAnsi="宋体" w:eastAsia="宋体" w:cs="宋体"/>
          <w:kern w:val="0"/>
          <w:sz w:val="28"/>
          <w:szCs w:val="28"/>
        </w:rPr>
      </w:pPr>
      <w:r>
        <w:rPr>
          <w:rFonts w:hint="eastAsia" w:ascii="宋体" w:hAnsi="宋体" w:eastAsia="宋体" w:cs="宋体"/>
          <w:kern w:val="0"/>
          <w:sz w:val="28"/>
          <w:szCs w:val="28"/>
        </w:rPr>
        <w:t>（2）202</w:t>
      </w:r>
      <w:r>
        <w:rPr>
          <w:rFonts w:hint="eastAsia" w:ascii="宋体" w:hAnsi="宋体" w:eastAsia="宋体" w:cs="宋体"/>
          <w:kern w:val="0"/>
          <w:sz w:val="28"/>
          <w:szCs w:val="28"/>
          <w:lang w:val="en-US" w:eastAsia="zh-CN"/>
        </w:rPr>
        <w:t>3</w:t>
      </w:r>
      <w:r>
        <w:rPr>
          <w:rFonts w:hint="eastAsia" w:ascii="宋体" w:hAnsi="宋体" w:eastAsia="宋体" w:cs="宋体"/>
          <w:kern w:val="0"/>
          <w:sz w:val="28"/>
          <w:szCs w:val="28"/>
        </w:rPr>
        <w:t>年春节解困资金，决算数</w:t>
      </w:r>
      <w:r>
        <w:rPr>
          <w:rFonts w:hint="eastAsia" w:ascii="宋体" w:hAnsi="宋体" w:eastAsia="宋体" w:cs="宋体"/>
          <w:kern w:val="0"/>
          <w:sz w:val="28"/>
          <w:szCs w:val="28"/>
          <w:lang w:val="en-US" w:eastAsia="zh-CN"/>
        </w:rPr>
        <w:t>379597.71</w:t>
      </w:r>
      <w:r>
        <w:rPr>
          <w:rFonts w:hint="eastAsia" w:ascii="宋体" w:hAnsi="宋体" w:eastAsia="宋体" w:cs="宋体"/>
          <w:kern w:val="0"/>
          <w:sz w:val="28"/>
          <w:szCs w:val="28"/>
        </w:rPr>
        <w:t>元，主要用于系统企业和职工解困和帮扶。202</w:t>
      </w:r>
      <w:r>
        <w:rPr>
          <w:rFonts w:hint="eastAsia" w:ascii="宋体" w:hAnsi="宋体" w:eastAsia="宋体" w:cs="宋体"/>
          <w:kern w:val="0"/>
          <w:sz w:val="28"/>
          <w:szCs w:val="28"/>
          <w:lang w:val="en-US" w:eastAsia="zh-CN"/>
        </w:rPr>
        <w:t>3</w:t>
      </w:r>
      <w:r>
        <w:rPr>
          <w:rFonts w:hint="eastAsia" w:ascii="宋体" w:hAnsi="宋体" w:eastAsia="宋体" w:cs="宋体"/>
          <w:kern w:val="0"/>
          <w:sz w:val="28"/>
          <w:szCs w:val="28"/>
        </w:rPr>
        <w:t>年春节解困资金，决算数</w:t>
      </w:r>
      <w:r>
        <w:rPr>
          <w:rFonts w:hint="eastAsia" w:ascii="宋体" w:hAnsi="宋体" w:eastAsia="宋体" w:cs="宋体"/>
          <w:kern w:val="0"/>
          <w:sz w:val="28"/>
          <w:szCs w:val="28"/>
          <w:lang w:val="en-US" w:eastAsia="zh-CN"/>
        </w:rPr>
        <w:t>379597.71</w:t>
      </w:r>
      <w:r>
        <w:rPr>
          <w:rFonts w:hint="eastAsia" w:ascii="宋体" w:hAnsi="宋体" w:eastAsia="宋体" w:cs="宋体"/>
          <w:kern w:val="0"/>
          <w:sz w:val="28"/>
          <w:szCs w:val="28"/>
        </w:rPr>
        <w:t>元，主要用于系统企业和职工解困和帮扶。</w:t>
      </w:r>
    </w:p>
    <w:p>
      <w:pPr>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（3)</w:t>
      </w:r>
      <w:r>
        <w:rPr>
          <w:rFonts w:hint="eastAsia" w:ascii="宋体" w:hAnsi="宋体" w:eastAsia="宋体" w:cs="宋体"/>
          <w:kern w:val="0"/>
          <w:sz w:val="28"/>
          <w:szCs w:val="28"/>
          <w:lang w:val="en-US" w:eastAsia="zh-CN"/>
        </w:rPr>
        <w:t>国有资产安排收益，决算数98664元，主要是</w:t>
      </w:r>
      <w:r>
        <w:rPr>
          <w:rFonts w:hint="eastAsia" w:ascii="宋体" w:hAnsi="宋体" w:eastAsia="宋体" w:cs="宋体"/>
          <w:kern w:val="0"/>
          <w:sz w:val="28"/>
          <w:szCs w:val="28"/>
        </w:rPr>
        <w:t>商业系统社保缴费，决算数</w:t>
      </w:r>
      <w:r>
        <w:rPr>
          <w:rFonts w:hint="eastAsia" w:ascii="宋体" w:hAnsi="宋体" w:eastAsia="宋体" w:cs="宋体"/>
          <w:kern w:val="0"/>
          <w:sz w:val="28"/>
          <w:szCs w:val="28"/>
          <w:lang w:val="en-US" w:eastAsia="zh-CN"/>
        </w:rPr>
        <w:t>798640</w:t>
      </w:r>
      <w:r>
        <w:rPr>
          <w:rFonts w:hint="eastAsia" w:ascii="宋体" w:hAnsi="宋体" w:eastAsia="宋体" w:cs="宋体"/>
          <w:kern w:val="0"/>
          <w:sz w:val="28"/>
          <w:szCs w:val="28"/>
        </w:rPr>
        <w:t>元主要用于商业系统职工社保缴费。202</w:t>
      </w:r>
      <w:r>
        <w:rPr>
          <w:rFonts w:hint="eastAsia" w:ascii="宋体" w:hAnsi="宋体" w:eastAsia="宋体" w:cs="宋体"/>
          <w:kern w:val="0"/>
          <w:sz w:val="28"/>
          <w:szCs w:val="28"/>
          <w:lang w:val="en-US" w:eastAsia="zh-CN"/>
        </w:rPr>
        <w:t>3</w:t>
      </w:r>
      <w:r>
        <w:rPr>
          <w:rFonts w:hint="eastAsia" w:ascii="宋体" w:hAnsi="宋体" w:eastAsia="宋体" w:cs="宋体"/>
          <w:kern w:val="0"/>
          <w:sz w:val="28"/>
          <w:szCs w:val="28"/>
        </w:rPr>
        <w:t>年改制企业职工医保退费，决算数</w:t>
      </w:r>
      <w:r>
        <w:rPr>
          <w:rFonts w:hint="eastAsia" w:ascii="宋体" w:hAnsi="宋体" w:eastAsia="宋体" w:cs="宋体"/>
          <w:kern w:val="0"/>
          <w:sz w:val="28"/>
          <w:szCs w:val="28"/>
          <w:lang w:val="en-US" w:eastAsia="zh-CN"/>
        </w:rPr>
        <w:t>188000</w:t>
      </w:r>
      <w:r>
        <w:rPr>
          <w:rFonts w:hint="eastAsia" w:ascii="宋体" w:hAnsi="宋体" w:eastAsia="宋体" w:cs="宋体"/>
          <w:kern w:val="0"/>
          <w:sz w:val="28"/>
          <w:szCs w:val="28"/>
        </w:rPr>
        <w:t>元，主要用于我系统改制企业职工退休一次性缴纳医保的补助。</w:t>
      </w:r>
    </w:p>
    <w:p>
      <w:pPr>
        <w:ind w:firstLine="560" w:firstLineChars="200"/>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(4)</w:t>
      </w:r>
      <w:r>
        <w:rPr>
          <w:rFonts w:hint="eastAsia" w:ascii="宋体" w:hAnsi="宋体" w:eastAsia="宋体" w:cs="宋体"/>
          <w:kern w:val="0"/>
          <w:sz w:val="28"/>
          <w:szCs w:val="28"/>
          <w:lang w:eastAsia="zh-CN"/>
        </w:rPr>
        <w:t>优抚对象抚恤及其他优抚</w:t>
      </w:r>
      <w:r>
        <w:rPr>
          <w:rFonts w:hint="eastAsia" w:ascii="宋体" w:hAnsi="宋体" w:eastAsia="宋体" w:cs="宋体"/>
          <w:kern w:val="0"/>
          <w:sz w:val="28"/>
          <w:szCs w:val="28"/>
          <w:lang w:val="en-US" w:eastAsia="zh-CN"/>
        </w:rPr>
        <w:t>59889.6元，主要是伤残军人社保缴费及生活补助费。</w:t>
      </w:r>
    </w:p>
    <w:p>
      <w:pPr>
        <w:ind w:firstLine="560" w:firstLineChars="200"/>
        <w:rPr>
          <w:rFonts w:hint="eastAsia" w:ascii="宋体" w:hAnsi="宋体" w:eastAsia="宋体" w:cs="宋体"/>
          <w:kern w:val="0"/>
          <w:sz w:val="28"/>
          <w:szCs w:val="28"/>
          <w:lang w:eastAsia="zh-CN"/>
        </w:rPr>
      </w:pPr>
      <w:r>
        <w:rPr>
          <w:rFonts w:hint="eastAsia" w:ascii="宋体" w:hAnsi="宋体" w:eastAsia="宋体" w:cs="宋体"/>
          <w:kern w:val="0"/>
          <w:sz w:val="28"/>
          <w:szCs w:val="28"/>
        </w:rPr>
        <w:t>(5)</w:t>
      </w:r>
      <w:r>
        <w:rPr>
          <w:rFonts w:hint="eastAsia" w:ascii="宋体" w:hAnsi="宋体" w:eastAsia="宋体" w:cs="宋体"/>
          <w:kern w:val="0"/>
          <w:sz w:val="28"/>
          <w:szCs w:val="28"/>
          <w:lang w:eastAsia="zh-CN"/>
        </w:rPr>
        <w:t>企业军转干部</w:t>
      </w:r>
      <w:r>
        <w:rPr>
          <w:rFonts w:hint="eastAsia" w:ascii="宋体" w:hAnsi="宋体" w:cs="宋体"/>
          <w:kern w:val="0"/>
          <w:sz w:val="28"/>
          <w:szCs w:val="28"/>
          <w:lang w:eastAsia="zh-CN"/>
        </w:rPr>
        <w:t>补助</w:t>
      </w:r>
      <w:r>
        <w:rPr>
          <w:rFonts w:hint="eastAsia" w:ascii="宋体" w:hAnsi="宋体" w:eastAsia="宋体" w:cs="宋体"/>
          <w:kern w:val="0"/>
          <w:sz w:val="28"/>
          <w:szCs w:val="28"/>
        </w:rPr>
        <w:t>，决算数</w:t>
      </w:r>
      <w:r>
        <w:rPr>
          <w:rFonts w:hint="eastAsia" w:ascii="宋体" w:hAnsi="宋体" w:eastAsia="宋体" w:cs="宋体"/>
          <w:kern w:val="0"/>
          <w:sz w:val="28"/>
          <w:szCs w:val="28"/>
          <w:lang w:val="en-US" w:eastAsia="zh-CN"/>
        </w:rPr>
        <w:t>2000</w:t>
      </w:r>
      <w:r>
        <w:rPr>
          <w:rFonts w:hint="eastAsia" w:ascii="宋体" w:hAnsi="宋体" w:eastAsia="宋体" w:cs="宋体"/>
          <w:kern w:val="0"/>
          <w:sz w:val="28"/>
          <w:szCs w:val="28"/>
        </w:rPr>
        <w:t>元，主要用于我系统</w:t>
      </w:r>
      <w:r>
        <w:rPr>
          <w:rFonts w:hint="eastAsia" w:ascii="宋体" w:hAnsi="宋体" w:eastAsia="宋体" w:cs="宋体"/>
          <w:kern w:val="0"/>
          <w:sz w:val="28"/>
          <w:szCs w:val="28"/>
          <w:lang w:eastAsia="zh-CN"/>
        </w:rPr>
        <w:t>军转干部</w:t>
      </w:r>
      <w:r>
        <w:rPr>
          <w:rFonts w:hint="eastAsia" w:ascii="宋体" w:hAnsi="宋体" w:eastAsia="宋体" w:cs="宋体"/>
          <w:kern w:val="0"/>
          <w:sz w:val="28"/>
          <w:szCs w:val="28"/>
        </w:rPr>
        <w:t>的生活救助</w:t>
      </w:r>
      <w:r>
        <w:rPr>
          <w:rFonts w:hint="eastAsia" w:ascii="宋体" w:hAnsi="宋体" w:eastAsia="宋体" w:cs="宋体"/>
          <w:kern w:val="0"/>
          <w:sz w:val="28"/>
          <w:szCs w:val="28"/>
          <w:lang w:eastAsia="zh-CN"/>
        </w:rPr>
        <w:t>。</w:t>
      </w:r>
    </w:p>
    <w:p>
      <w:pPr>
        <w:ind w:firstLine="560" w:firstLineChars="200"/>
        <w:jc w:val="left"/>
        <w:rPr>
          <w:rFonts w:hint="eastAsia" w:ascii="宋体" w:hAnsi="宋体" w:eastAsia="宋体" w:cs="宋体"/>
          <w:kern w:val="0"/>
          <w:sz w:val="28"/>
          <w:szCs w:val="28"/>
          <w:lang w:val="en-US"/>
        </w:rPr>
      </w:pPr>
      <w:r>
        <w:rPr>
          <w:rFonts w:hint="eastAsia" w:ascii="宋体" w:hAnsi="宋体" w:eastAsia="宋体" w:cs="宋体"/>
          <w:kern w:val="0"/>
          <w:sz w:val="28"/>
          <w:szCs w:val="28"/>
          <w:lang w:eastAsia="zh-CN"/>
        </w:rPr>
        <w:t>（</w:t>
      </w:r>
      <w:r>
        <w:rPr>
          <w:rFonts w:hint="eastAsia" w:ascii="宋体" w:hAnsi="宋体" w:eastAsia="宋体" w:cs="宋体"/>
          <w:kern w:val="0"/>
          <w:sz w:val="28"/>
          <w:szCs w:val="28"/>
          <w:lang w:val="en-US" w:eastAsia="zh-CN"/>
        </w:rPr>
        <w:t>6）社会保险费11619.29元，主要是残疾人保障金缴费。</w:t>
      </w:r>
    </w:p>
    <w:p>
      <w:pPr>
        <w:ind w:firstLine="560" w:firstLineChars="200"/>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eastAsia="zh-CN"/>
        </w:rPr>
        <w:t>（</w:t>
      </w:r>
      <w:r>
        <w:rPr>
          <w:rFonts w:hint="eastAsia" w:ascii="宋体" w:hAnsi="宋体" w:eastAsia="宋体" w:cs="宋体"/>
          <w:kern w:val="0"/>
          <w:sz w:val="28"/>
          <w:szCs w:val="28"/>
          <w:lang w:val="en-US" w:eastAsia="zh-CN"/>
        </w:rPr>
        <w:t>7）</w:t>
      </w:r>
      <w:r>
        <w:rPr>
          <w:rFonts w:hint="eastAsia" w:ascii="宋体" w:hAnsi="宋体" w:eastAsia="宋体" w:cs="宋体"/>
          <w:kern w:val="0"/>
          <w:sz w:val="28"/>
          <w:szCs w:val="28"/>
          <w:lang w:eastAsia="zh-CN"/>
        </w:rPr>
        <w:t>上级转移支付，决算数</w:t>
      </w:r>
      <w:r>
        <w:rPr>
          <w:rFonts w:hint="eastAsia" w:ascii="宋体" w:hAnsi="宋体" w:eastAsia="宋体" w:cs="宋体"/>
          <w:kern w:val="0"/>
          <w:sz w:val="28"/>
          <w:szCs w:val="28"/>
          <w:lang w:val="en-US" w:eastAsia="zh-CN"/>
        </w:rPr>
        <w:t>30000元，主要用于我系统资产的维护维修</w:t>
      </w:r>
      <w:r>
        <w:rPr>
          <w:rFonts w:hint="eastAsia" w:ascii="宋体" w:hAnsi="宋体" w:cs="宋体"/>
          <w:kern w:val="0"/>
          <w:sz w:val="28"/>
          <w:szCs w:val="28"/>
          <w:lang w:val="en-US" w:eastAsia="zh-CN"/>
        </w:rPr>
        <w:t>及</w:t>
      </w:r>
      <w:r>
        <w:rPr>
          <w:rFonts w:hint="eastAsia" w:ascii="宋体" w:hAnsi="宋体" w:eastAsia="宋体" w:cs="宋体"/>
          <w:kern w:val="0"/>
          <w:sz w:val="28"/>
          <w:szCs w:val="28"/>
          <w:lang w:val="en-US" w:eastAsia="zh-CN"/>
        </w:rPr>
        <w:t>补充公用经费</w:t>
      </w:r>
      <w:r>
        <w:rPr>
          <w:rFonts w:hint="eastAsia" w:ascii="宋体" w:hAnsi="宋体" w:eastAsia="宋体" w:cs="宋体"/>
          <w:kern w:val="0"/>
          <w:sz w:val="28"/>
          <w:szCs w:val="28"/>
        </w:rPr>
        <w:t>。</w:t>
      </w:r>
    </w:p>
    <w:p>
      <w:pPr>
        <w:snapToGrid w:val="0"/>
        <w:spacing w:line="520" w:lineRule="exact"/>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（三）．收入支出与预算对比分析。</w:t>
      </w:r>
    </w:p>
    <w:p>
      <w:pPr>
        <w:snapToGrid w:val="0"/>
        <w:spacing w:line="52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（1）预、决算差异情况，可支出功能分类一般公共服务支出年初预算</w:t>
      </w:r>
      <w:r>
        <w:rPr>
          <w:rFonts w:hint="eastAsia" w:ascii="宋体" w:hAnsi="宋体" w:eastAsia="宋体" w:cs="宋体"/>
          <w:sz w:val="28"/>
          <w:szCs w:val="28"/>
          <w:lang w:val="en-US" w:eastAsia="zh-CN"/>
        </w:rPr>
        <w:t>129.64</w:t>
      </w:r>
      <w:r>
        <w:rPr>
          <w:rFonts w:hint="eastAsia" w:ascii="宋体" w:hAnsi="宋体" w:eastAsia="宋体" w:cs="宋体"/>
          <w:sz w:val="28"/>
          <w:szCs w:val="28"/>
        </w:rPr>
        <w:t>万元决算数</w:t>
      </w:r>
      <w:r>
        <w:rPr>
          <w:rFonts w:hint="eastAsia" w:ascii="宋体" w:hAnsi="宋体" w:eastAsia="宋体" w:cs="宋体"/>
          <w:sz w:val="28"/>
          <w:szCs w:val="28"/>
          <w:lang w:val="en-US" w:eastAsia="zh-CN"/>
        </w:rPr>
        <w:t>234.50</w:t>
      </w:r>
      <w:r>
        <w:rPr>
          <w:rFonts w:hint="eastAsia" w:ascii="宋体" w:hAnsi="宋体" w:eastAsia="宋体" w:cs="宋体"/>
          <w:sz w:val="28"/>
          <w:szCs w:val="28"/>
        </w:rPr>
        <w:t>万元；社会保障和就业支出年初预算数</w:t>
      </w:r>
      <w:r>
        <w:rPr>
          <w:rFonts w:hint="eastAsia" w:ascii="宋体" w:hAnsi="宋体" w:eastAsia="宋体" w:cs="宋体"/>
          <w:sz w:val="28"/>
          <w:szCs w:val="28"/>
          <w:lang w:val="en-US" w:eastAsia="zh-CN"/>
        </w:rPr>
        <w:t>141.79</w:t>
      </w:r>
      <w:r>
        <w:rPr>
          <w:rFonts w:hint="eastAsia" w:ascii="宋体" w:hAnsi="宋体" w:eastAsia="宋体" w:cs="宋体"/>
          <w:sz w:val="28"/>
          <w:szCs w:val="28"/>
        </w:rPr>
        <w:t>万元，决算数</w:t>
      </w:r>
      <w:r>
        <w:rPr>
          <w:rFonts w:hint="eastAsia" w:ascii="宋体" w:hAnsi="宋体" w:eastAsia="宋体" w:cs="宋体"/>
          <w:sz w:val="28"/>
          <w:szCs w:val="28"/>
          <w:lang w:val="en-US" w:eastAsia="zh-CN"/>
        </w:rPr>
        <w:t>307.68</w:t>
      </w:r>
      <w:r>
        <w:rPr>
          <w:rFonts w:hint="eastAsia" w:ascii="宋体" w:hAnsi="宋体" w:eastAsia="宋体" w:cs="宋体"/>
          <w:sz w:val="28"/>
          <w:szCs w:val="28"/>
        </w:rPr>
        <w:t>万元；</w:t>
      </w:r>
      <w:r>
        <w:rPr>
          <w:rFonts w:hint="eastAsia" w:ascii="宋体" w:hAnsi="宋体" w:eastAsia="宋体" w:cs="宋体"/>
          <w:sz w:val="28"/>
          <w:szCs w:val="28"/>
          <w:lang w:eastAsia="zh-CN"/>
        </w:rPr>
        <w:t>卫生健康支出</w:t>
      </w:r>
      <w:r>
        <w:rPr>
          <w:rFonts w:hint="eastAsia" w:ascii="宋体" w:hAnsi="宋体" w:eastAsia="宋体" w:cs="宋体"/>
          <w:sz w:val="28"/>
          <w:szCs w:val="28"/>
        </w:rPr>
        <w:t>年初预算数</w:t>
      </w:r>
      <w:r>
        <w:rPr>
          <w:rFonts w:hint="eastAsia" w:ascii="宋体" w:hAnsi="宋体" w:eastAsia="宋体" w:cs="宋体"/>
          <w:sz w:val="28"/>
          <w:szCs w:val="28"/>
          <w:lang w:val="en-US" w:eastAsia="zh-CN"/>
        </w:rPr>
        <w:t>9.07</w:t>
      </w:r>
      <w:r>
        <w:rPr>
          <w:rFonts w:hint="eastAsia" w:ascii="宋体" w:hAnsi="宋体" w:eastAsia="宋体" w:cs="宋体"/>
          <w:sz w:val="28"/>
          <w:szCs w:val="28"/>
        </w:rPr>
        <w:t>万元，决算数</w:t>
      </w:r>
      <w:r>
        <w:rPr>
          <w:rFonts w:hint="eastAsia" w:ascii="宋体" w:hAnsi="宋体" w:eastAsia="宋体" w:cs="宋体"/>
          <w:sz w:val="28"/>
          <w:szCs w:val="28"/>
          <w:lang w:val="en-US" w:eastAsia="zh-CN"/>
        </w:rPr>
        <w:t>9.07</w:t>
      </w:r>
      <w:r>
        <w:rPr>
          <w:rFonts w:hint="eastAsia" w:ascii="宋体" w:hAnsi="宋体" w:eastAsia="宋体" w:cs="宋体"/>
          <w:sz w:val="28"/>
          <w:szCs w:val="28"/>
        </w:rPr>
        <w:t>万元</w:t>
      </w:r>
      <w:r>
        <w:rPr>
          <w:rFonts w:hint="eastAsia" w:ascii="宋体" w:hAnsi="宋体" w:eastAsia="宋体" w:cs="宋体"/>
          <w:sz w:val="28"/>
          <w:szCs w:val="28"/>
          <w:lang w:eastAsia="zh-CN"/>
        </w:rPr>
        <w:t>；商业服务业等支出</w:t>
      </w:r>
      <w:r>
        <w:rPr>
          <w:rFonts w:hint="eastAsia" w:ascii="宋体" w:hAnsi="宋体" w:eastAsia="宋体" w:cs="宋体"/>
          <w:sz w:val="28"/>
          <w:szCs w:val="28"/>
        </w:rPr>
        <w:t>年初预算数</w:t>
      </w:r>
      <w:r>
        <w:rPr>
          <w:rFonts w:hint="eastAsia" w:ascii="宋体" w:hAnsi="宋体" w:eastAsia="宋体" w:cs="宋体"/>
          <w:sz w:val="28"/>
          <w:szCs w:val="28"/>
          <w:lang w:val="en-US" w:eastAsia="zh-CN"/>
        </w:rPr>
        <w:t>0</w:t>
      </w:r>
      <w:r>
        <w:rPr>
          <w:rFonts w:hint="eastAsia" w:ascii="宋体" w:hAnsi="宋体" w:eastAsia="宋体" w:cs="宋体"/>
          <w:sz w:val="28"/>
          <w:szCs w:val="28"/>
        </w:rPr>
        <w:t>万元，决算数</w:t>
      </w:r>
      <w:r>
        <w:rPr>
          <w:rFonts w:hint="eastAsia" w:ascii="宋体" w:hAnsi="宋体" w:eastAsia="宋体" w:cs="宋体"/>
          <w:sz w:val="28"/>
          <w:szCs w:val="28"/>
          <w:lang w:val="en-US" w:eastAsia="zh-CN"/>
        </w:rPr>
        <w:t>3</w:t>
      </w:r>
      <w:r>
        <w:rPr>
          <w:rFonts w:hint="eastAsia" w:ascii="宋体" w:hAnsi="宋体" w:eastAsia="宋体" w:cs="宋体"/>
          <w:sz w:val="28"/>
          <w:szCs w:val="28"/>
        </w:rPr>
        <w:t>万元</w:t>
      </w:r>
      <w:r>
        <w:rPr>
          <w:rFonts w:hint="eastAsia" w:ascii="宋体" w:hAnsi="宋体" w:eastAsia="宋体" w:cs="宋体"/>
          <w:sz w:val="28"/>
          <w:szCs w:val="28"/>
          <w:lang w:eastAsia="zh-CN"/>
        </w:rPr>
        <w:t>；</w:t>
      </w:r>
      <w:r>
        <w:rPr>
          <w:rFonts w:hint="eastAsia" w:ascii="宋体" w:hAnsi="宋体" w:eastAsia="宋体" w:cs="宋体"/>
          <w:sz w:val="28"/>
          <w:szCs w:val="28"/>
        </w:rPr>
        <w:t>住房保障支出年初预算</w:t>
      </w:r>
      <w:r>
        <w:rPr>
          <w:rFonts w:hint="eastAsia" w:ascii="宋体" w:hAnsi="宋体" w:eastAsia="宋体" w:cs="宋体"/>
          <w:sz w:val="28"/>
          <w:szCs w:val="28"/>
          <w:lang w:val="en-US" w:eastAsia="zh-CN"/>
        </w:rPr>
        <w:t>14.42</w:t>
      </w:r>
      <w:r>
        <w:rPr>
          <w:rFonts w:hint="eastAsia" w:ascii="宋体" w:hAnsi="宋体" w:eastAsia="宋体" w:cs="宋体"/>
          <w:sz w:val="28"/>
          <w:szCs w:val="28"/>
        </w:rPr>
        <w:t>万元决算数</w:t>
      </w:r>
      <w:r>
        <w:rPr>
          <w:rFonts w:hint="eastAsia" w:ascii="宋体" w:hAnsi="宋体" w:eastAsia="宋体" w:cs="宋体"/>
          <w:sz w:val="28"/>
          <w:szCs w:val="28"/>
          <w:lang w:val="en-US" w:eastAsia="zh-CN"/>
        </w:rPr>
        <w:t>28.14</w:t>
      </w:r>
      <w:r>
        <w:rPr>
          <w:rFonts w:hint="eastAsia" w:ascii="宋体" w:hAnsi="宋体" w:eastAsia="宋体" w:cs="宋体"/>
          <w:sz w:val="28"/>
          <w:szCs w:val="28"/>
        </w:rPr>
        <w:t>万元。</w:t>
      </w:r>
    </w:p>
    <w:p>
      <w:pPr>
        <w:snapToGrid w:val="0"/>
        <w:spacing w:line="52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（2）差异原因分析。差异较大的应分析到具体收入支出功能科目和具体单位。</w:t>
      </w:r>
    </w:p>
    <w:p>
      <w:pPr>
        <w:snapToGrid w:val="0"/>
        <w:spacing w:line="520" w:lineRule="exact"/>
        <w:ind w:firstLine="562" w:firstLineChars="200"/>
        <w:rPr>
          <w:rFonts w:hint="eastAsia" w:asciiTheme="minorEastAsia" w:hAnsiTheme="minorEastAsia" w:eastAsiaTheme="minorEastAsia"/>
          <w:b/>
          <w:bCs/>
          <w:sz w:val="28"/>
          <w:szCs w:val="28"/>
        </w:rPr>
      </w:pPr>
      <w:r>
        <w:rPr>
          <w:rFonts w:hint="eastAsia" w:asciiTheme="minorEastAsia" w:hAnsiTheme="minorEastAsia" w:eastAsiaTheme="minorEastAsia"/>
          <w:b/>
          <w:bCs/>
          <w:sz w:val="28"/>
          <w:szCs w:val="28"/>
        </w:rPr>
        <w:t>2．收入支出结构分析。</w:t>
      </w:r>
    </w:p>
    <w:p>
      <w:pPr>
        <w:snapToGrid w:val="0"/>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财政拨款收入</w:t>
      </w:r>
      <w:r>
        <w:rPr>
          <w:rFonts w:hint="eastAsia" w:ascii="宋体" w:hAnsi="宋体" w:eastAsia="宋体" w:cs="宋体"/>
          <w:sz w:val="28"/>
          <w:szCs w:val="28"/>
          <w:lang w:val="en-US" w:eastAsia="zh-CN"/>
        </w:rPr>
        <w:t>582.39</w:t>
      </w:r>
      <w:r>
        <w:rPr>
          <w:rFonts w:hint="eastAsia" w:ascii="宋体" w:hAnsi="宋体" w:eastAsia="宋体" w:cs="宋体"/>
          <w:sz w:val="28"/>
          <w:szCs w:val="28"/>
        </w:rPr>
        <w:t>万元占总收入的100%，其他收入0元占总收入的0%，总支出</w:t>
      </w:r>
      <w:r>
        <w:rPr>
          <w:rFonts w:hint="eastAsia" w:ascii="宋体" w:hAnsi="宋体" w:eastAsia="宋体" w:cs="宋体"/>
          <w:sz w:val="28"/>
          <w:szCs w:val="28"/>
          <w:lang w:val="en-US" w:eastAsia="zh-CN"/>
        </w:rPr>
        <w:t>582.39</w:t>
      </w:r>
      <w:r>
        <w:rPr>
          <w:rFonts w:hint="eastAsia" w:ascii="宋体" w:hAnsi="宋体" w:eastAsia="宋体" w:cs="宋体"/>
          <w:sz w:val="28"/>
          <w:szCs w:val="28"/>
        </w:rPr>
        <w:t>万元，基本支出</w:t>
      </w:r>
      <w:r>
        <w:rPr>
          <w:rFonts w:hint="eastAsia" w:ascii="宋体" w:hAnsi="宋体" w:eastAsia="宋体" w:cs="宋体"/>
          <w:sz w:val="28"/>
          <w:szCs w:val="28"/>
          <w:lang w:val="en-US" w:eastAsia="zh-CN"/>
        </w:rPr>
        <w:t>263.61</w:t>
      </w:r>
      <w:r>
        <w:rPr>
          <w:rFonts w:hint="eastAsia" w:ascii="宋体" w:hAnsi="宋体" w:eastAsia="宋体" w:cs="宋体"/>
          <w:sz w:val="28"/>
          <w:szCs w:val="28"/>
        </w:rPr>
        <w:t>万元，占总支出的</w:t>
      </w:r>
      <w:r>
        <w:rPr>
          <w:rFonts w:hint="eastAsia" w:ascii="宋体" w:hAnsi="宋体" w:eastAsia="宋体" w:cs="宋体"/>
          <w:sz w:val="28"/>
          <w:szCs w:val="28"/>
          <w:lang w:val="en-US" w:eastAsia="zh-CN"/>
        </w:rPr>
        <w:t>45.26</w:t>
      </w:r>
      <w:r>
        <w:rPr>
          <w:rFonts w:hint="eastAsia" w:ascii="宋体" w:hAnsi="宋体" w:eastAsia="宋体" w:cs="宋体"/>
          <w:sz w:val="28"/>
          <w:szCs w:val="28"/>
        </w:rPr>
        <w:t>%，项目支出</w:t>
      </w:r>
      <w:r>
        <w:rPr>
          <w:rFonts w:hint="eastAsia" w:ascii="宋体" w:hAnsi="宋体" w:eastAsia="宋体" w:cs="宋体"/>
          <w:sz w:val="28"/>
          <w:szCs w:val="28"/>
          <w:lang w:val="en-US" w:eastAsia="zh-CN"/>
        </w:rPr>
        <w:t>318.78</w:t>
      </w:r>
      <w:r>
        <w:rPr>
          <w:rFonts w:hint="eastAsia" w:ascii="宋体" w:hAnsi="宋体" w:eastAsia="宋体" w:cs="宋体"/>
          <w:sz w:val="28"/>
          <w:szCs w:val="28"/>
        </w:rPr>
        <w:t>元，占总支出的</w:t>
      </w:r>
      <w:r>
        <w:rPr>
          <w:rFonts w:hint="eastAsia" w:ascii="宋体" w:hAnsi="宋体" w:eastAsia="宋体" w:cs="宋体"/>
          <w:sz w:val="28"/>
          <w:szCs w:val="28"/>
          <w:lang w:val="en-US" w:eastAsia="zh-CN"/>
        </w:rPr>
        <w:t>54.74</w:t>
      </w:r>
      <w:r>
        <w:rPr>
          <w:rFonts w:hint="eastAsia" w:ascii="宋体" w:hAnsi="宋体" w:eastAsia="宋体" w:cs="宋体"/>
          <w:sz w:val="28"/>
          <w:szCs w:val="28"/>
        </w:rPr>
        <w:t>%。</w:t>
      </w:r>
    </w:p>
    <w:p>
      <w:pPr>
        <w:snapToGrid w:val="0"/>
        <w:spacing w:line="520" w:lineRule="exact"/>
        <w:ind w:firstLine="562" w:firstLineChars="200"/>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3．支出按经济分类科目分析。</w:t>
      </w:r>
    </w:p>
    <w:p>
      <w:pPr>
        <w:snapToGrid w:val="0"/>
        <w:spacing w:line="520" w:lineRule="exact"/>
        <w:ind w:firstLine="562" w:firstLineChars="200"/>
        <w:rPr>
          <w:rFonts w:asciiTheme="minorEastAsia" w:hAnsiTheme="minorEastAsia" w:eastAsiaTheme="minorEastAsia"/>
          <w:sz w:val="28"/>
          <w:szCs w:val="28"/>
        </w:rPr>
      </w:pPr>
      <w:r>
        <w:rPr>
          <w:rFonts w:hint="eastAsia" w:asciiTheme="minorEastAsia" w:hAnsiTheme="minorEastAsia" w:eastAsiaTheme="minorEastAsia"/>
          <w:b/>
          <w:bCs/>
          <w:sz w:val="28"/>
          <w:szCs w:val="28"/>
        </w:rPr>
        <w:t>“</w:t>
      </w:r>
      <w:r>
        <w:rPr>
          <w:rFonts w:hint="eastAsia" w:asciiTheme="minorEastAsia" w:hAnsiTheme="minorEastAsia" w:eastAsiaTheme="minorEastAsia"/>
          <w:sz w:val="28"/>
          <w:szCs w:val="28"/>
        </w:rPr>
        <w:t>三公</w:t>
      </w:r>
      <w:r>
        <w:rPr>
          <w:rFonts w:hint="eastAsia" w:asciiTheme="minorEastAsia" w:hAnsiTheme="minorEastAsia" w:eastAsiaTheme="minorEastAsia"/>
          <w:b/>
          <w:bCs/>
          <w:sz w:val="28"/>
          <w:szCs w:val="28"/>
        </w:rPr>
        <w:t>”</w:t>
      </w:r>
      <w:r>
        <w:rPr>
          <w:rFonts w:hint="eastAsia" w:asciiTheme="minorEastAsia" w:hAnsiTheme="minorEastAsia" w:eastAsiaTheme="minorEastAsia"/>
          <w:sz w:val="28"/>
          <w:szCs w:val="28"/>
        </w:rPr>
        <w:t>经费支出情况：</w:t>
      </w:r>
      <w:r>
        <w:rPr>
          <w:rFonts w:hint="eastAsia" w:asciiTheme="minorEastAsia" w:hAnsiTheme="minorEastAsia" w:eastAsiaTheme="minorEastAsia"/>
          <w:sz w:val="28"/>
          <w:szCs w:val="28"/>
          <w:lang w:val="en-US" w:eastAsia="zh-CN"/>
        </w:rPr>
        <w:t>0</w:t>
      </w:r>
      <w:r>
        <w:rPr>
          <w:rFonts w:hint="eastAsia" w:asciiTheme="minorEastAsia" w:hAnsiTheme="minorEastAsia" w:eastAsiaTheme="minorEastAsia"/>
          <w:sz w:val="28"/>
          <w:szCs w:val="28"/>
        </w:rPr>
        <w:t>元</w:t>
      </w:r>
    </w:p>
    <w:p>
      <w:pPr>
        <w:numPr>
          <w:ilvl w:val="0"/>
          <w:numId w:val="4"/>
        </w:numPr>
        <w:snapToGrid w:val="0"/>
        <w:spacing w:line="52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公务用车购置及运行维护费0元</w:t>
      </w:r>
    </w:p>
    <w:p>
      <w:pPr>
        <w:numPr>
          <w:ilvl w:val="0"/>
          <w:numId w:val="4"/>
        </w:numPr>
        <w:snapToGrid w:val="0"/>
        <w:spacing w:line="52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公务接待费0元</w:t>
      </w:r>
    </w:p>
    <w:p>
      <w:pPr>
        <w:numPr>
          <w:ilvl w:val="0"/>
          <w:numId w:val="4"/>
        </w:numPr>
        <w:snapToGrid w:val="0"/>
        <w:spacing w:line="52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会议费支出情况：0元</w:t>
      </w:r>
    </w:p>
    <w:p>
      <w:pPr>
        <w:numPr>
          <w:ilvl w:val="0"/>
          <w:numId w:val="4"/>
        </w:numPr>
        <w:snapToGrid w:val="0"/>
        <w:spacing w:line="52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培训费支出情况：</w:t>
      </w:r>
      <w:r>
        <w:rPr>
          <w:rFonts w:hint="eastAsia" w:asciiTheme="minorEastAsia" w:hAnsiTheme="minorEastAsia" w:eastAsiaTheme="minorEastAsia"/>
          <w:sz w:val="28"/>
          <w:szCs w:val="28"/>
          <w:lang w:val="en-US" w:eastAsia="zh-CN"/>
        </w:rPr>
        <w:t>0</w:t>
      </w:r>
      <w:r>
        <w:rPr>
          <w:rFonts w:hint="eastAsia" w:asciiTheme="minorEastAsia" w:hAnsiTheme="minorEastAsia" w:eastAsiaTheme="minorEastAsia"/>
          <w:sz w:val="28"/>
          <w:szCs w:val="28"/>
        </w:rPr>
        <w:t>元。</w:t>
      </w:r>
    </w:p>
    <w:p>
      <w:pPr>
        <w:rPr>
          <w:rFonts w:hint="eastAsia" w:ascii="宋体" w:hAnsi="宋体" w:eastAsia="宋体" w:cs="宋体"/>
          <w:sz w:val="28"/>
          <w:szCs w:val="28"/>
        </w:rPr>
      </w:pPr>
      <w:r>
        <w:rPr>
          <w:rFonts w:hint="eastAsia" w:asciiTheme="minorEastAsia" w:hAnsiTheme="minorEastAsia" w:eastAsiaTheme="minorEastAsia"/>
          <w:sz w:val="28"/>
          <w:szCs w:val="28"/>
        </w:rPr>
        <w:t>四．资产负债情况分析</w:t>
      </w:r>
      <w:r>
        <w:rPr>
          <w:rFonts w:hint="eastAsia" w:ascii="宋体" w:hAnsi="宋体" w:eastAsia="宋体" w:cs="宋体"/>
          <w:sz w:val="28"/>
          <w:szCs w:val="28"/>
        </w:rPr>
        <w:t>202</w:t>
      </w:r>
      <w:r>
        <w:rPr>
          <w:rFonts w:hint="eastAsia" w:ascii="宋体" w:hAnsi="宋体" w:eastAsia="宋体" w:cs="宋体"/>
          <w:sz w:val="28"/>
          <w:szCs w:val="28"/>
          <w:lang w:val="en-US" w:eastAsia="zh-CN"/>
        </w:rPr>
        <w:t>3</w:t>
      </w:r>
      <w:r>
        <w:rPr>
          <w:rFonts w:hint="eastAsia" w:ascii="宋体" w:hAnsi="宋体" w:eastAsia="宋体" w:cs="宋体"/>
          <w:sz w:val="28"/>
          <w:szCs w:val="28"/>
        </w:rPr>
        <w:t>年末单位资产</w:t>
      </w:r>
      <w:r>
        <w:rPr>
          <w:rFonts w:hint="eastAsia" w:ascii="宋体" w:hAnsi="宋体" w:eastAsia="宋体" w:cs="宋体"/>
          <w:sz w:val="28"/>
          <w:szCs w:val="28"/>
          <w:lang w:val="en-US" w:eastAsia="zh-CN"/>
        </w:rPr>
        <w:t>43.69</w:t>
      </w:r>
      <w:r>
        <w:rPr>
          <w:rFonts w:hint="eastAsia" w:ascii="宋体" w:hAnsi="宋体" w:eastAsia="宋体" w:cs="宋体"/>
          <w:sz w:val="28"/>
          <w:szCs w:val="28"/>
        </w:rPr>
        <w:t>万元，上年年末</w:t>
      </w:r>
      <w:r>
        <w:rPr>
          <w:rFonts w:hint="eastAsia" w:ascii="宋体" w:hAnsi="宋体" w:eastAsia="宋体" w:cs="宋体"/>
          <w:sz w:val="28"/>
          <w:szCs w:val="28"/>
          <w:lang w:val="en-US" w:eastAsia="zh-CN"/>
        </w:rPr>
        <w:t>52.21</w:t>
      </w:r>
      <w:r>
        <w:rPr>
          <w:rFonts w:hint="eastAsia" w:ascii="宋体" w:hAnsi="宋体" w:eastAsia="宋体" w:cs="宋体"/>
          <w:sz w:val="28"/>
          <w:szCs w:val="28"/>
        </w:rPr>
        <w:t>万元比上年</w:t>
      </w:r>
      <w:r>
        <w:rPr>
          <w:rFonts w:hint="eastAsia" w:ascii="宋体" w:hAnsi="宋体" w:eastAsia="宋体" w:cs="宋体"/>
          <w:sz w:val="28"/>
          <w:szCs w:val="28"/>
          <w:lang w:eastAsia="zh-CN"/>
        </w:rPr>
        <w:t>减少</w:t>
      </w:r>
      <w:r>
        <w:rPr>
          <w:rFonts w:hint="eastAsia" w:ascii="宋体" w:hAnsi="宋体" w:eastAsia="宋体" w:cs="宋体"/>
          <w:sz w:val="28"/>
          <w:szCs w:val="28"/>
          <w:lang w:val="en-US" w:eastAsia="zh-CN"/>
        </w:rPr>
        <w:t>8.52</w:t>
      </w:r>
      <w:r>
        <w:rPr>
          <w:rFonts w:hint="eastAsia" w:ascii="宋体" w:hAnsi="宋体" w:eastAsia="宋体" w:cs="宋体"/>
          <w:sz w:val="28"/>
          <w:szCs w:val="28"/>
        </w:rPr>
        <w:t>万元；负债年末</w:t>
      </w:r>
      <w:r>
        <w:rPr>
          <w:rFonts w:hint="eastAsia" w:ascii="宋体" w:hAnsi="宋体" w:eastAsia="宋体" w:cs="宋体"/>
          <w:sz w:val="28"/>
          <w:szCs w:val="28"/>
          <w:lang w:val="en-US" w:eastAsia="zh-CN"/>
        </w:rPr>
        <w:t>17.29</w:t>
      </w:r>
      <w:r>
        <w:rPr>
          <w:rFonts w:hint="eastAsia" w:ascii="宋体" w:hAnsi="宋体" w:eastAsia="宋体" w:cs="宋体"/>
          <w:sz w:val="28"/>
          <w:szCs w:val="28"/>
        </w:rPr>
        <w:t>万元，上年年末</w:t>
      </w:r>
      <w:r>
        <w:rPr>
          <w:rFonts w:hint="eastAsia" w:ascii="宋体" w:hAnsi="宋体" w:eastAsia="宋体" w:cs="宋体"/>
          <w:sz w:val="28"/>
          <w:szCs w:val="28"/>
          <w:lang w:val="en-US" w:eastAsia="zh-CN"/>
        </w:rPr>
        <w:t>22.63</w:t>
      </w:r>
      <w:r>
        <w:rPr>
          <w:rFonts w:hint="eastAsia" w:ascii="宋体" w:hAnsi="宋体" w:eastAsia="宋体" w:cs="宋体"/>
          <w:sz w:val="28"/>
          <w:szCs w:val="28"/>
        </w:rPr>
        <w:t>万元，与上年度对比</w:t>
      </w:r>
      <w:r>
        <w:rPr>
          <w:rFonts w:hint="eastAsia" w:ascii="宋体" w:hAnsi="宋体" w:eastAsia="宋体" w:cs="宋体"/>
          <w:sz w:val="28"/>
          <w:szCs w:val="28"/>
          <w:lang w:eastAsia="zh-CN"/>
        </w:rPr>
        <w:t>减少</w:t>
      </w:r>
      <w:r>
        <w:rPr>
          <w:rFonts w:hint="eastAsia" w:ascii="宋体" w:hAnsi="宋体" w:eastAsia="宋体" w:cs="宋体"/>
          <w:sz w:val="28"/>
          <w:szCs w:val="28"/>
          <w:lang w:val="en-US" w:eastAsia="zh-CN"/>
        </w:rPr>
        <w:t>5.34</w:t>
      </w:r>
      <w:r>
        <w:rPr>
          <w:rFonts w:hint="eastAsia" w:ascii="宋体" w:hAnsi="宋体" w:eastAsia="宋体" w:cs="宋体"/>
          <w:sz w:val="28"/>
          <w:szCs w:val="28"/>
        </w:rPr>
        <w:t>万元，净资产年末</w:t>
      </w:r>
      <w:r>
        <w:rPr>
          <w:rFonts w:hint="eastAsia" w:ascii="宋体" w:hAnsi="宋体" w:eastAsia="宋体" w:cs="宋体"/>
          <w:sz w:val="28"/>
          <w:szCs w:val="28"/>
          <w:lang w:val="en-US" w:eastAsia="zh-CN"/>
        </w:rPr>
        <w:t>26.40</w:t>
      </w:r>
      <w:r>
        <w:rPr>
          <w:rFonts w:hint="eastAsia" w:ascii="宋体" w:hAnsi="宋体" w:eastAsia="宋体" w:cs="宋体"/>
          <w:sz w:val="28"/>
          <w:szCs w:val="28"/>
        </w:rPr>
        <w:t>万元，上年末</w:t>
      </w:r>
      <w:r>
        <w:rPr>
          <w:rFonts w:hint="eastAsia" w:ascii="宋体" w:hAnsi="宋体" w:eastAsia="宋体" w:cs="宋体"/>
          <w:sz w:val="28"/>
          <w:szCs w:val="28"/>
          <w:lang w:val="en-US" w:eastAsia="zh-CN"/>
        </w:rPr>
        <w:t>29.58</w:t>
      </w:r>
      <w:r>
        <w:rPr>
          <w:rFonts w:hint="eastAsia" w:ascii="宋体" w:hAnsi="宋体" w:eastAsia="宋体" w:cs="宋体"/>
          <w:sz w:val="28"/>
          <w:szCs w:val="28"/>
        </w:rPr>
        <w:t>万元，与上年净</w:t>
      </w:r>
      <w:r>
        <w:rPr>
          <w:rFonts w:hint="eastAsia" w:ascii="宋体" w:hAnsi="宋体" w:eastAsia="宋体" w:cs="宋体"/>
          <w:sz w:val="28"/>
          <w:szCs w:val="28"/>
          <w:lang w:eastAsia="zh-CN"/>
        </w:rPr>
        <w:t>减少</w:t>
      </w:r>
      <w:r>
        <w:rPr>
          <w:rFonts w:hint="eastAsia" w:ascii="宋体" w:hAnsi="宋体" w:eastAsia="宋体" w:cs="宋体"/>
          <w:sz w:val="28"/>
          <w:szCs w:val="28"/>
          <w:lang w:val="en-US" w:eastAsia="zh-CN"/>
        </w:rPr>
        <w:t>3.18</w:t>
      </w:r>
      <w:r>
        <w:rPr>
          <w:rFonts w:hint="eastAsia" w:ascii="宋体" w:hAnsi="宋体" w:eastAsia="宋体" w:cs="宋体"/>
          <w:sz w:val="28"/>
          <w:szCs w:val="28"/>
        </w:rPr>
        <w:t>元.主要是固定资产</w:t>
      </w:r>
      <w:r>
        <w:rPr>
          <w:rFonts w:hint="eastAsia" w:ascii="宋体" w:hAnsi="宋体" w:eastAsia="宋体" w:cs="宋体"/>
          <w:sz w:val="28"/>
          <w:szCs w:val="28"/>
          <w:lang w:eastAsia="zh-CN"/>
        </w:rPr>
        <w:t>折旧和其他应收款减少</w:t>
      </w:r>
      <w:r>
        <w:rPr>
          <w:rFonts w:hint="eastAsia" w:ascii="宋体" w:hAnsi="宋体" w:eastAsia="宋体" w:cs="宋体"/>
          <w:sz w:val="28"/>
          <w:szCs w:val="28"/>
        </w:rPr>
        <w:t>导致。</w:t>
      </w:r>
    </w:p>
    <w:p>
      <w:pPr>
        <w:snapToGrid w:val="0"/>
        <w:spacing w:line="520" w:lineRule="exact"/>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（三）当年取得的主要事业成效。</w:t>
      </w:r>
    </w:p>
    <w:p>
      <w:pPr>
        <w:ind w:firstLine="630" w:firstLineChars="225"/>
        <w:rPr>
          <w:rFonts w:asciiTheme="minorEastAsia" w:hAnsiTheme="minorEastAsia" w:eastAsiaTheme="minorEastAsia"/>
          <w:sz w:val="28"/>
          <w:szCs w:val="28"/>
        </w:rPr>
      </w:pPr>
      <w:r>
        <w:rPr>
          <w:rFonts w:hint="eastAsia" w:asciiTheme="minorEastAsia" w:hAnsiTheme="minorEastAsia" w:eastAsiaTheme="minorEastAsia"/>
          <w:sz w:val="28"/>
          <w:szCs w:val="28"/>
        </w:rPr>
        <w:t>202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年工作取得的成绩</w:t>
      </w:r>
    </w:p>
    <w:p>
      <w:pPr>
        <w:ind w:firstLine="630" w:firstLineChars="225"/>
        <w:rPr>
          <w:rFonts w:asciiTheme="minorEastAsia" w:hAnsiTheme="minorEastAsia" w:eastAsiaTheme="minorEastAsia"/>
          <w:sz w:val="28"/>
          <w:szCs w:val="28"/>
        </w:rPr>
      </w:pPr>
      <w:r>
        <w:rPr>
          <w:rFonts w:hint="eastAsia" w:asciiTheme="minorEastAsia" w:hAnsiTheme="minorEastAsia" w:eastAsiaTheme="minorEastAsia"/>
          <w:sz w:val="28"/>
          <w:szCs w:val="28"/>
        </w:rPr>
        <w:t>1.盘活存量资产，依法依规做好相关资产处置工作的前期准备工作，加大对闲置资产对外招商宣传工作力度。</w:t>
      </w:r>
    </w:p>
    <w:p>
      <w:pPr>
        <w:ind w:firstLine="630" w:firstLineChars="225"/>
        <w:rPr>
          <w:rFonts w:asciiTheme="minorEastAsia" w:hAnsiTheme="minorEastAsia" w:eastAsiaTheme="minorEastAsia"/>
          <w:sz w:val="28"/>
          <w:szCs w:val="28"/>
        </w:rPr>
      </w:pPr>
      <w:r>
        <w:rPr>
          <w:rFonts w:hint="eastAsia" w:asciiTheme="minorEastAsia" w:hAnsiTheme="minorEastAsia" w:eastAsiaTheme="minorEastAsia"/>
          <w:sz w:val="28"/>
          <w:szCs w:val="28"/>
        </w:rPr>
        <w:t>2.加强对四家公司的管理</w:t>
      </w:r>
    </w:p>
    <w:p>
      <w:pPr>
        <w:ind w:firstLine="630" w:firstLineChars="225"/>
        <w:rPr>
          <w:rFonts w:asciiTheme="minorEastAsia" w:hAnsiTheme="minorEastAsia" w:eastAsiaTheme="minorEastAsia"/>
          <w:sz w:val="28"/>
          <w:szCs w:val="28"/>
        </w:rPr>
      </w:pPr>
      <w:r>
        <w:rPr>
          <w:rFonts w:hint="eastAsia" w:asciiTheme="minorEastAsia" w:hAnsiTheme="minorEastAsia" w:eastAsiaTheme="minorEastAsia"/>
          <w:sz w:val="28"/>
          <w:szCs w:val="28"/>
        </w:rPr>
        <w:t>（1）、实行目标管理，定期检查督促实施情况；</w:t>
      </w:r>
    </w:p>
    <w:p>
      <w:pPr>
        <w:ind w:firstLine="630" w:firstLineChars="225"/>
        <w:rPr>
          <w:rFonts w:asciiTheme="minorEastAsia" w:hAnsiTheme="minorEastAsia" w:eastAsiaTheme="minorEastAsia"/>
          <w:sz w:val="28"/>
          <w:szCs w:val="28"/>
        </w:rPr>
      </w:pPr>
      <w:r>
        <w:rPr>
          <w:rFonts w:hint="eastAsia" w:asciiTheme="minorEastAsia" w:hAnsiTheme="minorEastAsia" w:eastAsiaTheme="minorEastAsia"/>
          <w:sz w:val="28"/>
          <w:szCs w:val="28"/>
        </w:rPr>
        <w:t>（2）、加强财务管理，按照制定的“一办法、两规范”全面加强对企业的收入、支出进行规范，并检查督促财务执行情况；</w:t>
      </w:r>
    </w:p>
    <w:p>
      <w:pPr>
        <w:ind w:firstLine="630" w:firstLineChars="225"/>
        <w:rPr>
          <w:rFonts w:asciiTheme="minorEastAsia" w:hAnsiTheme="minorEastAsia" w:eastAsiaTheme="minorEastAsia"/>
          <w:sz w:val="28"/>
          <w:szCs w:val="28"/>
        </w:rPr>
      </w:pPr>
      <w:r>
        <w:rPr>
          <w:rFonts w:hint="eastAsia" w:asciiTheme="minorEastAsia" w:hAnsiTheme="minorEastAsia" w:eastAsiaTheme="minorEastAsia"/>
          <w:sz w:val="28"/>
          <w:szCs w:val="28"/>
        </w:rPr>
        <w:t>（3）、加强日常工作管理。</w:t>
      </w:r>
    </w:p>
    <w:p>
      <w:pPr>
        <w:ind w:firstLine="630" w:firstLineChars="225"/>
        <w:rPr>
          <w:rFonts w:asciiTheme="minorEastAsia" w:hAnsiTheme="minorEastAsia" w:eastAsiaTheme="minorEastAsia"/>
          <w:sz w:val="28"/>
          <w:szCs w:val="28"/>
        </w:rPr>
      </w:pPr>
      <w:r>
        <w:rPr>
          <w:rFonts w:hint="eastAsia" w:asciiTheme="minorEastAsia" w:hAnsiTheme="minorEastAsia" w:eastAsiaTheme="minorEastAsia"/>
          <w:sz w:val="28"/>
          <w:szCs w:val="28"/>
        </w:rPr>
        <w:t>3.积极争取财政资金，盘活系统国有资产，对系统企业资产按照区委、区政府的要求分别转让给区城投集团和区产业投集团</w:t>
      </w:r>
      <w:r>
        <w:rPr>
          <w:rFonts w:hint="eastAsia" w:asciiTheme="minorEastAsia" w:hAnsiTheme="minorEastAsia" w:eastAsiaTheme="minorEastAsia"/>
          <w:sz w:val="28"/>
          <w:szCs w:val="28"/>
          <w:lang w:eastAsia="zh-CN"/>
        </w:rPr>
        <w:t>后续工作</w:t>
      </w:r>
      <w:bookmarkStart w:id="0" w:name="_GoBack"/>
      <w:bookmarkEnd w:id="0"/>
      <w:r>
        <w:rPr>
          <w:rFonts w:hint="eastAsia" w:asciiTheme="minorEastAsia" w:hAnsiTheme="minorEastAsia" w:eastAsiaTheme="minorEastAsia"/>
          <w:sz w:val="28"/>
          <w:szCs w:val="28"/>
        </w:rPr>
        <w:t>，结合文明创建工作搞好市场的美化工作，提供更好的购物环境。</w:t>
      </w:r>
    </w:p>
    <w:p>
      <w:pPr>
        <w:ind w:firstLine="630" w:firstLineChars="225"/>
        <w:rPr>
          <w:rFonts w:asciiTheme="minorEastAsia" w:hAnsiTheme="minorEastAsia" w:eastAsiaTheme="minorEastAsia"/>
          <w:sz w:val="28"/>
          <w:szCs w:val="28"/>
        </w:rPr>
      </w:pPr>
      <w:r>
        <w:rPr>
          <w:rFonts w:hint="eastAsia" w:asciiTheme="minorEastAsia" w:hAnsiTheme="minorEastAsia" w:eastAsiaTheme="minorEastAsia"/>
          <w:sz w:val="28"/>
          <w:szCs w:val="28"/>
        </w:rPr>
        <w:t>4.加强中心所属物业管理。</w:t>
      </w:r>
    </w:p>
    <w:p>
      <w:pPr>
        <w:ind w:firstLine="630" w:firstLineChars="225"/>
        <w:rPr>
          <w:rFonts w:asciiTheme="minorEastAsia" w:hAnsiTheme="minorEastAsia" w:eastAsiaTheme="minorEastAsia"/>
          <w:sz w:val="28"/>
          <w:szCs w:val="28"/>
        </w:rPr>
      </w:pPr>
      <w:r>
        <w:rPr>
          <w:rFonts w:hint="eastAsia" w:asciiTheme="minorEastAsia" w:hAnsiTheme="minorEastAsia" w:eastAsiaTheme="minorEastAsia"/>
          <w:sz w:val="28"/>
          <w:szCs w:val="28"/>
        </w:rPr>
        <w:t>5.切实做好本系统职工稳定工作，逐步解决商业系统养老保险、医疗保险缴费及职工生活费发放等遗留问题，确保商业一方平安。</w:t>
      </w:r>
    </w:p>
    <w:p>
      <w:pPr>
        <w:rPr>
          <w:rFonts w:asciiTheme="minorEastAsia" w:hAnsiTheme="minorEastAsia" w:eastAsiaTheme="minorEastAsia"/>
          <w:sz w:val="28"/>
          <w:szCs w:val="28"/>
        </w:rPr>
      </w:pPr>
    </w:p>
    <w:p>
      <w:pPr>
        <w:rPr>
          <w:rFonts w:asciiTheme="minorEastAsia" w:hAnsiTheme="minorEastAsia" w:eastAsiaTheme="minorEastAsia"/>
          <w:sz w:val="28"/>
          <w:szCs w:val="28"/>
        </w:rPr>
      </w:pPr>
      <w:r>
        <w:rPr>
          <w:rFonts w:hint="eastAsia" w:asciiTheme="minorEastAsia" w:hAnsiTheme="minorEastAsia" w:eastAsiaTheme="minorEastAsia"/>
          <w:sz w:val="28"/>
          <w:szCs w:val="28"/>
        </w:rPr>
        <w:t>．建议</w:t>
      </w:r>
    </w:p>
    <w:p>
      <w:pPr>
        <w:rPr>
          <w:rFonts w:asciiTheme="minorEastAsia" w:hAnsiTheme="minorEastAsia" w:eastAsiaTheme="minorEastAsia"/>
          <w:sz w:val="28"/>
          <w:szCs w:val="28"/>
        </w:rPr>
      </w:pPr>
      <w:r>
        <w:rPr>
          <w:rFonts w:hint="eastAsia" w:asciiTheme="minorEastAsia" w:hAnsiTheme="minorEastAsia" w:eastAsiaTheme="minorEastAsia"/>
          <w:sz w:val="28"/>
          <w:szCs w:val="28"/>
        </w:rPr>
        <w:t>（1）建议加强政策学习，提高思想认识。组织部门人员认真学习《预算法》等相关法规、制度，提高领导对全面预算管理的重视程度，增强财务人员的预算意识、坚持先有预算，后有支出，没有预算不得支出的支出理念。</w:t>
      </w:r>
    </w:p>
    <w:p>
      <w:pPr>
        <w:rPr>
          <w:rFonts w:asciiTheme="minorEastAsia" w:hAnsiTheme="minorEastAsia" w:eastAsiaTheme="minorEastAsia"/>
          <w:sz w:val="28"/>
          <w:szCs w:val="28"/>
        </w:rPr>
      </w:pPr>
      <w:r>
        <w:rPr>
          <w:rFonts w:hint="eastAsia" w:asciiTheme="minorEastAsia" w:hAnsiTheme="minorEastAsia" w:eastAsiaTheme="minorEastAsia"/>
          <w:sz w:val="28"/>
          <w:szCs w:val="28"/>
        </w:rPr>
        <w:t>（2）建议细化预算指标，提高预算科学性。预算编制前根据年度内部门可预见的工作任务，确定部门年度预算目标，细化预算指标，科学合理编制部门预算，推行预算编制科学化、准确化。年度预算编制后，加强预算执行管理，根据实际情况，定期做好预算执行分析，掌握预算执行进度及时找出预算实际执行情况与预算目标之间存在的差异，采取有效措施纠正偏差，提高预算执行的时效性和均衡性，提高预算执行效率，同时为下一次科学、准确地编制部门预算积累经验。</w:t>
      </w:r>
    </w:p>
    <w:p>
      <w:pPr>
        <w:rPr>
          <w:rFonts w:asciiTheme="minorEastAsia" w:hAnsiTheme="minorEastAsia" w:eastAsiaTheme="minorEastAsia"/>
          <w:sz w:val="28"/>
          <w:szCs w:val="28"/>
        </w:rPr>
      </w:pPr>
      <w:r>
        <w:rPr>
          <w:rFonts w:hint="eastAsia" w:asciiTheme="minorEastAsia" w:hAnsiTheme="minorEastAsia" w:eastAsiaTheme="minorEastAsia"/>
          <w:sz w:val="28"/>
          <w:szCs w:val="28"/>
        </w:rPr>
        <w:t>（3）建议优化绩效考核计分标准，改善评价计分标准的不合理性，让评价结果更加公平公正。</w:t>
      </w:r>
    </w:p>
    <w:p>
      <w:pPr>
        <w:ind w:firstLine="2100" w:firstLineChars="75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p>
    <w:p>
      <w:pPr>
        <w:ind w:firstLine="2660" w:firstLineChars="95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p>
    <w:p>
      <w:pPr>
        <w:ind w:firstLine="4480" w:firstLineChars="1600"/>
        <w:rPr>
          <w:rFonts w:asciiTheme="minorEastAsia" w:hAnsiTheme="minorEastAsia" w:eastAsiaTheme="minorEastAsia"/>
          <w:sz w:val="28"/>
          <w:szCs w:val="28"/>
        </w:rPr>
      </w:pPr>
      <w:r>
        <w:rPr>
          <w:rFonts w:hint="eastAsia" w:asciiTheme="minorEastAsia" w:hAnsiTheme="minorEastAsia" w:eastAsiaTheme="minorEastAsia"/>
          <w:sz w:val="28"/>
          <w:szCs w:val="28"/>
        </w:rPr>
        <w:t>长沙市望城区商业事务中心</w:t>
      </w:r>
    </w:p>
    <w:p>
      <w:pPr>
        <w:ind w:firstLine="2660" w:firstLineChars="95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lang w:val="en-US" w:eastAsia="zh-CN"/>
        </w:rPr>
        <w:t xml:space="preserve">         </w:t>
      </w:r>
      <w:r>
        <w:rPr>
          <w:rFonts w:hint="eastAsia" w:asciiTheme="minorEastAsia" w:hAnsiTheme="minorEastAsia" w:eastAsiaTheme="minorEastAsia"/>
          <w:sz w:val="28"/>
          <w:szCs w:val="28"/>
        </w:rPr>
        <w:t xml:space="preserve">  202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年2月20日</w:t>
      </w:r>
    </w:p>
    <w:p>
      <w:pPr>
        <w:rPr>
          <w:rFonts w:asciiTheme="minorEastAsia" w:hAnsiTheme="minorEastAsia" w:eastAsiaTheme="minor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A1676"/>
    <w:multiLevelType w:val="multilevel"/>
    <w:tmpl w:val="063A1676"/>
    <w:lvl w:ilvl="0" w:tentative="0">
      <w:start w:val="1"/>
      <w:numFmt w:val="decimal"/>
      <w:lvlText w:val="%1、"/>
      <w:lvlJc w:val="left"/>
      <w:pPr>
        <w:tabs>
          <w:tab w:val="left" w:pos="1095"/>
        </w:tabs>
        <w:ind w:left="1095" w:hanging="450"/>
      </w:pPr>
      <w:rPr>
        <w:rFonts w:hint="default" w:ascii="Times New Roman" w:hAnsi="Times New Roman" w:cs="Times New Roman"/>
      </w:rPr>
    </w:lvl>
    <w:lvl w:ilvl="1" w:tentative="0">
      <w:start w:val="1"/>
      <w:numFmt w:val="lowerLetter"/>
      <w:lvlText w:val="%2)"/>
      <w:lvlJc w:val="left"/>
      <w:pPr>
        <w:tabs>
          <w:tab w:val="left" w:pos="1485"/>
        </w:tabs>
        <w:ind w:left="1485" w:hanging="420"/>
      </w:pPr>
      <w:rPr>
        <w:rFonts w:hint="default" w:ascii="Times New Roman" w:hAnsi="Times New Roman" w:cs="Times New Roman"/>
      </w:rPr>
    </w:lvl>
    <w:lvl w:ilvl="2" w:tentative="0">
      <w:start w:val="1"/>
      <w:numFmt w:val="lowerRoman"/>
      <w:lvlText w:val="%3."/>
      <w:lvlJc w:val="right"/>
      <w:pPr>
        <w:tabs>
          <w:tab w:val="left" w:pos="1905"/>
        </w:tabs>
        <w:ind w:left="1905" w:hanging="420"/>
      </w:pPr>
      <w:rPr>
        <w:rFonts w:hint="default" w:ascii="Times New Roman" w:hAnsi="Times New Roman" w:cs="Times New Roman"/>
      </w:rPr>
    </w:lvl>
    <w:lvl w:ilvl="3" w:tentative="0">
      <w:start w:val="1"/>
      <w:numFmt w:val="decimal"/>
      <w:lvlText w:val="%4."/>
      <w:lvlJc w:val="left"/>
      <w:pPr>
        <w:tabs>
          <w:tab w:val="left" w:pos="2325"/>
        </w:tabs>
        <w:ind w:left="2325" w:hanging="420"/>
      </w:pPr>
      <w:rPr>
        <w:rFonts w:hint="default" w:ascii="Times New Roman" w:hAnsi="Times New Roman" w:cs="Times New Roman"/>
      </w:rPr>
    </w:lvl>
    <w:lvl w:ilvl="4" w:tentative="0">
      <w:start w:val="1"/>
      <w:numFmt w:val="lowerLetter"/>
      <w:lvlText w:val="%5)"/>
      <w:lvlJc w:val="left"/>
      <w:pPr>
        <w:tabs>
          <w:tab w:val="left" w:pos="2745"/>
        </w:tabs>
        <w:ind w:left="2745" w:hanging="420"/>
      </w:pPr>
      <w:rPr>
        <w:rFonts w:hint="default" w:ascii="Times New Roman" w:hAnsi="Times New Roman" w:cs="Times New Roman"/>
      </w:rPr>
    </w:lvl>
    <w:lvl w:ilvl="5" w:tentative="0">
      <w:start w:val="1"/>
      <w:numFmt w:val="lowerRoman"/>
      <w:lvlText w:val="%6."/>
      <w:lvlJc w:val="right"/>
      <w:pPr>
        <w:tabs>
          <w:tab w:val="left" w:pos="3165"/>
        </w:tabs>
        <w:ind w:left="3165" w:hanging="420"/>
      </w:pPr>
      <w:rPr>
        <w:rFonts w:hint="default" w:ascii="Times New Roman" w:hAnsi="Times New Roman" w:cs="Times New Roman"/>
      </w:rPr>
    </w:lvl>
    <w:lvl w:ilvl="6" w:tentative="0">
      <w:start w:val="1"/>
      <w:numFmt w:val="decimal"/>
      <w:lvlText w:val="%7."/>
      <w:lvlJc w:val="left"/>
      <w:pPr>
        <w:tabs>
          <w:tab w:val="left" w:pos="3585"/>
        </w:tabs>
        <w:ind w:left="3585" w:hanging="420"/>
      </w:pPr>
      <w:rPr>
        <w:rFonts w:hint="default" w:ascii="Times New Roman" w:hAnsi="Times New Roman" w:cs="Times New Roman"/>
      </w:rPr>
    </w:lvl>
    <w:lvl w:ilvl="7" w:tentative="0">
      <w:start w:val="1"/>
      <w:numFmt w:val="lowerLetter"/>
      <w:lvlText w:val="%8)"/>
      <w:lvlJc w:val="left"/>
      <w:pPr>
        <w:tabs>
          <w:tab w:val="left" w:pos="4005"/>
        </w:tabs>
        <w:ind w:left="4005" w:hanging="420"/>
      </w:pPr>
      <w:rPr>
        <w:rFonts w:hint="default" w:ascii="Times New Roman" w:hAnsi="Times New Roman" w:cs="Times New Roman"/>
      </w:rPr>
    </w:lvl>
    <w:lvl w:ilvl="8" w:tentative="0">
      <w:start w:val="1"/>
      <w:numFmt w:val="lowerRoman"/>
      <w:lvlText w:val="%9."/>
      <w:lvlJc w:val="right"/>
      <w:pPr>
        <w:tabs>
          <w:tab w:val="left" w:pos="4425"/>
        </w:tabs>
        <w:ind w:left="4425" w:hanging="420"/>
      </w:pPr>
      <w:rPr>
        <w:rFonts w:hint="default" w:ascii="Times New Roman" w:hAnsi="Times New Roman" w:cs="Times New Roman"/>
      </w:rPr>
    </w:lvl>
  </w:abstractNum>
  <w:abstractNum w:abstractNumId="1">
    <w:nsid w:val="10083380"/>
    <w:multiLevelType w:val="multilevel"/>
    <w:tmpl w:val="10083380"/>
    <w:lvl w:ilvl="0" w:tentative="0">
      <w:start w:val="1"/>
      <w:numFmt w:val="decimal"/>
      <w:lvlText w:val="（%1）"/>
      <w:lvlJc w:val="left"/>
      <w:pPr>
        <w:ind w:left="1720" w:hanging="1080"/>
      </w:pPr>
      <w:rPr>
        <w:rFonts w:hint="default" w:ascii="Times New Roman" w:hAnsi="Times New Roman" w:cs="Times New Roman"/>
      </w:rPr>
    </w:lvl>
    <w:lvl w:ilvl="1" w:tentative="0">
      <w:start w:val="1"/>
      <w:numFmt w:val="lowerLetter"/>
      <w:lvlText w:val="%2)"/>
      <w:lvlJc w:val="left"/>
      <w:pPr>
        <w:ind w:left="1480" w:hanging="420"/>
      </w:pPr>
      <w:rPr>
        <w:rFonts w:hint="default" w:ascii="Times New Roman" w:hAnsi="Times New Roman" w:cs="Times New Roman"/>
      </w:rPr>
    </w:lvl>
    <w:lvl w:ilvl="2" w:tentative="0">
      <w:start w:val="1"/>
      <w:numFmt w:val="lowerRoman"/>
      <w:lvlText w:val="%3."/>
      <w:lvlJc w:val="right"/>
      <w:pPr>
        <w:ind w:left="1900" w:hanging="420"/>
      </w:pPr>
      <w:rPr>
        <w:rFonts w:hint="default" w:ascii="Times New Roman" w:hAnsi="Times New Roman" w:cs="Times New Roman"/>
      </w:rPr>
    </w:lvl>
    <w:lvl w:ilvl="3" w:tentative="0">
      <w:start w:val="1"/>
      <w:numFmt w:val="decimal"/>
      <w:lvlText w:val="%4."/>
      <w:lvlJc w:val="left"/>
      <w:pPr>
        <w:ind w:left="2320" w:hanging="420"/>
      </w:pPr>
      <w:rPr>
        <w:rFonts w:hint="default" w:ascii="Times New Roman" w:hAnsi="Times New Roman" w:cs="Times New Roman"/>
      </w:rPr>
    </w:lvl>
    <w:lvl w:ilvl="4" w:tentative="0">
      <w:start w:val="1"/>
      <w:numFmt w:val="lowerLetter"/>
      <w:lvlText w:val="%5)"/>
      <w:lvlJc w:val="left"/>
      <w:pPr>
        <w:ind w:left="2740" w:hanging="420"/>
      </w:pPr>
      <w:rPr>
        <w:rFonts w:hint="default" w:ascii="Times New Roman" w:hAnsi="Times New Roman" w:cs="Times New Roman"/>
      </w:rPr>
    </w:lvl>
    <w:lvl w:ilvl="5" w:tentative="0">
      <w:start w:val="1"/>
      <w:numFmt w:val="lowerRoman"/>
      <w:lvlText w:val="%6."/>
      <w:lvlJc w:val="right"/>
      <w:pPr>
        <w:ind w:left="3160" w:hanging="420"/>
      </w:pPr>
      <w:rPr>
        <w:rFonts w:hint="default" w:ascii="Times New Roman" w:hAnsi="Times New Roman" w:cs="Times New Roman"/>
      </w:rPr>
    </w:lvl>
    <w:lvl w:ilvl="6" w:tentative="0">
      <w:start w:val="1"/>
      <w:numFmt w:val="decimal"/>
      <w:lvlText w:val="%7."/>
      <w:lvlJc w:val="left"/>
      <w:pPr>
        <w:ind w:left="3580" w:hanging="420"/>
      </w:pPr>
      <w:rPr>
        <w:rFonts w:hint="default" w:ascii="Times New Roman" w:hAnsi="Times New Roman" w:cs="Times New Roman"/>
      </w:rPr>
    </w:lvl>
    <w:lvl w:ilvl="7" w:tentative="0">
      <w:start w:val="1"/>
      <w:numFmt w:val="lowerLetter"/>
      <w:lvlText w:val="%8)"/>
      <w:lvlJc w:val="left"/>
      <w:pPr>
        <w:ind w:left="4000" w:hanging="420"/>
      </w:pPr>
      <w:rPr>
        <w:rFonts w:hint="default" w:ascii="Times New Roman" w:hAnsi="Times New Roman" w:cs="Times New Roman"/>
      </w:rPr>
    </w:lvl>
    <w:lvl w:ilvl="8" w:tentative="0">
      <w:start w:val="1"/>
      <w:numFmt w:val="lowerRoman"/>
      <w:lvlText w:val="%9."/>
      <w:lvlJc w:val="right"/>
      <w:pPr>
        <w:ind w:left="4420" w:hanging="420"/>
      </w:pPr>
      <w:rPr>
        <w:rFonts w:hint="default" w:ascii="Times New Roman" w:hAnsi="Times New Roman" w:cs="Times New Roman"/>
      </w:rPr>
    </w:lvl>
  </w:abstractNum>
  <w:abstractNum w:abstractNumId="2">
    <w:nsid w:val="6028275C"/>
    <w:multiLevelType w:val="multilevel"/>
    <w:tmpl w:val="6028275C"/>
    <w:lvl w:ilvl="0" w:tentative="0">
      <w:start w:val="1"/>
      <w:numFmt w:val="japaneseCounting"/>
      <w:lvlText w:val="（%1）"/>
      <w:lvlJc w:val="left"/>
      <w:pPr>
        <w:tabs>
          <w:tab w:val="left" w:pos="1530"/>
        </w:tabs>
        <w:ind w:left="1530" w:hanging="885"/>
      </w:pPr>
      <w:rPr>
        <w:rFonts w:hint="default" w:ascii="Times New Roman" w:hAnsi="Times New Roman" w:cs="Times New Roman"/>
      </w:rPr>
    </w:lvl>
    <w:lvl w:ilvl="1" w:tentative="0">
      <w:start w:val="1"/>
      <w:numFmt w:val="lowerLetter"/>
      <w:lvlText w:val="%2)"/>
      <w:lvlJc w:val="left"/>
      <w:pPr>
        <w:tabs>
          <w:tab w:val="left" w:pos="1485"/>
        </w:tabs>
        <w:ind w:left="1485" w:hanging="420"/>
      </w:pPr>
      <w:rPr>
        <w:rFonts w:hint="default" w:ascii="Times New Roman" w:hAnsi="Times New Roman" w:cs="Times New Roman"/>
      </w:rPr>
    </w:lvl>
    <w:lvl w:ilvl="2" w:tentative="0">
      <w:start w:val="1"/>
      <w:numFmt w:val="lowerRoman"/>
      <w:lvlText w:val="%3."/>
      <w:lvlJc w:val="right"/>
      <w:pPr>
        <w:tabs>
          <w:tab w:val="left" w:pos="1905"/>
        </w:tabs>
        <w:ind w:left="1905" w:hanging="420"/>
      </w:pPr>
      <w:rPr>
        <w:rFonts w:hint="default" w:ascii="Times New Roman" w:hAnsi="Times New Roman" w:cs="Times New Roman"/>
      </w:rPr>
    </w:lvl>
    <w:lvl w:ilvl="3" w:tentative="0">
      <w:start w:val="1"/>
      <w:numFmt w:val="decimal"/>
      <w:lvlText w:val="%4."/>
      <w:lvlJc w:val="left"/>
      <w:pPr>
        <w:tabs>
          <w:tab w:val="left" w:pos="2325"/>
        </w:tabs>
        <w:ind w:left="2325" w:hanging="420"/>
      </w:pPr>
      <w:rPr>
        <w:rFonts w:hint="default" w:ascii="Times New Roman" w:hAnsi="Times New Roman" w:cs="Times New Roman"/>
      </w:rPr>
    </w:lvl>
    <w:lvl w:ilvl="4" w:tentative="0">
      <w:start w:val="1"/>
      <w:numFmt w:val="lowerLetter"/>
      <w:lvlText w:val="%5)"/>
      <w:lvlJc w:val="left"/>
      <w:pPr>
        <w:tabs>
          <w:tab w:val="left" w:pos="2745"/>
        </w:tabs>
        <w:ind w:left="2745" w:hanging="420"/>
      </w:pPr>
      <w:rPr>
        <w:rFonts w:hint="default" w:ascii="Times New Roman" w:hAnsi="Times New Roman" w:cs="Times New Roman"/>
      </w:rPr>
    </w:lvl>
    <w:lvl w:ilvl="5" w:tentative="0">
      <w:start w:val="1"/>
      <w:numFmt w:val="lowerRoman"/>
      <w:lvlText w:val="%6."/>
      <w:lvlJc w:val="right"/>
      <w:pPr>
        <w:tabs>
          <w:tab w:val="left" w:pos="3165"/>
        </w:tabs>
        <w:ind w:left="3165" w:hanging="420"/>
      </w:pPr>
      <w:rPr>
        <w:rFonts w:hint="default" w:ascii="Times New Roman" w:hAnsi="Times New Roman" w:cs="Times New Roman"/>
      </w:rPr>
    </w:lvl>
    <w:lvl w:ilvl="6" w:tentative="0">
      <w:start w:val="1"/>
      <w:numFmt w:val="decimal"/>
      <w:lvlText w:val="%7."/>
      <w:lvlJc w:val="left"/>
      <w:pPr>
        <w:tabs>
          <w:tab w:val="left" w:pos="3585"/>
        </w:tabs>
        <w:ind w:left="3585" w:hanging="420"/>
      </w:pPr>
      <w:rPr>
        <w:rFonts w:hint="default" w:ascii="Times New Roman" w:hAnsi="Times New Roman" w:cs="Times New Roman"/>
      </w:rPr>
    </w:lvl>
    <w:lvl w:ilvl="7" w:tentative="0">
      <w:start w:val="1"/>
      <w:numFmt w:val="lowerLetter"/>
      <w:lvlText w:val="%8)"/>
      <w:lvlJc w:val="left"/>
      <w:pPr>
        <w:tabs>
          <w:tab w:val="left" w:pos="4005"/>
        </w:tabs>
        <w:ind w:left="4005" w:hanging="420"/>
      </w:pPr>
      <w:rPr>
        <w:rFonts w:hint="default" w:ascii="Times New Roman" w:hAnsi="Times New Roman" w:cs="Times New Roman"/>
      </w:rPr>
    </w:lvl>
    <w:lvl w:ilvl="8" w:tentative="0">
      <w:start w:val="1"/>
      <w:numFmt w:val="lowerRoman"/>
      <w:lvlText w:val="%9."/>
      <w:lvlJc w:val="right"/>
      <w:pPr>
        <w:tabs>
          <w:tab w:val="left" w:pos="4425"/>
        </w:tabs>
        <w:ind w:left="4425" w:hanging="420"/>
      </w:pPr>
      <w:rPr>
        <w:rFonts w:hint="default" w:ascii="Times New Roman" w:hAnsi="Times New Roman" w:cs="Times New Roman"/>
      </w:rPr>
    </w:lvl>
  </w:abstractNum>
  <w:abstractNum w:abstractNumId="3">
    <w:nsid w:val="658325B2"/>
    <w:multiLevelType w:val="multilevel"/>
    <w:tmpl w:val="658325B2"/>
    <w:lvl w:ilvl="0" w:tentative="0">
      <w:start w:val="1"/>
      <w:numFmt w:val="japaneseCounting"/>
      <w:lvlText w:val="%1、"/>
      <w:lvlJc w:val="left"/>
      <w:pPr>
        <w:ind w:left="720" w:hanging="72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450A"/>
    <w:rsid w:val="00060A7E"/>
    <w:rsid w:val="000A6DE5"/>
    <w:rsid w:val="00133006"/>
    <w:rsid w:val="00136F23"/>
    <w:rsid w:val="001762C0"/>
    <w:rsid w:val="00183441"/>
    <w:rsid w:val="002A3E34"/>
    <w:rsid w:val="00324A2F"/>
    <w:rsid w:val="00426498"/>
    <w:rsid w:val="00473283"/>
    <w:rsid w:val="004B2CC1"/>
    <w:rsid w:val="005412CE"/>
    <w:rsid w:val="006002EC"/>
    <w:rsid w:val="006C230C"/>
    <w:rsid w:val="007D2B57"/>
    <w:rsid w:val="0082450A"/>
    <w:rsid w:val="0082456C"/>
    <w:rsid w:val="00875382"/>
    <w:rsid w:val="00887794"/>
    <w:rsid w:val="008E65FA"/>
    <w:rsid w:val="00A01A8C"/>
    <w:rsid w:val="00B37B34"/>
    <w:rsid w:val="00BC7FFC"/>
    <w:rsid w:val="00BF3246"/>
    <w:rsid w:val="00CF47BD"/>
    <w:rsid w:val="00DA6018"/>
    <w:rsid w:val="00E13A08"/>
    <w:rsid w:val="00E2300B"/>
    <w:rsid w:val="00E70773"/>
    <w:rsid w:val="00E97234"/>
    <w:rsid w:val="00F94679"/>
    <w:rsid w:val="00FE20C0"/>
    <w:rsid w:val="0FE82D11"/>
    <w:rsid w:val="1EF858BB"/>
    <w:rsid w:val="20704778"/>
    <w:rsid w:val="30AB7924"/>
    <w:rsid w:val="4B804BEF"/>
    <w:rsid w:val="5C100B9C"/>
    <w:rsid w:val="5DCC6D5C"/>
    <w:rsid w:val="688A2D96"/>
    <w:rsid w:val="6BE350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359</Words>
  <Characters>2051</Characters>
  <Lines>17</Lines>
  <Paragraphs>4</Paragraphs>
  <TotalTime>5</TotalTime>
  <ScaleCrop>false</ScaleCrop>
  <LinksUpToDate>false</LinksUpToDate>
  <CharactersWithSpaces>2406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2023-02-20T07:25:00Z</dcterms:created>
  <dc:creator>Administrator</dc:creator>
  <cp:lastModifiedBy>Administrator</cp:lastModifiedBy>
  <cp:lastPrinted>2024-02-18T02:02:00Z</cp:lastPrinted>
  <dcterms:modified xsi:type="dcterms:W3CDTF">2024-02-18T02:24:02Z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