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kern w:val="0"/>
        </w:rPr>
      </w:pPr>
    </w:p>
    <w:p>
      <w:pPr>
        <w:spacing w:line="560" w:lineRule="exact"/>
        <w:jc w:val="center"/>
        <w:rPr>
          <w:rFonts w:eastAsia="方正小标宋简体"/>
          <w:kern w:val="0"/>
          <w:sz w:val="40"/>
          <w:szCs w:val="40"/>
        </w:rPr>
      </w:pPr>
      <w:r>
        <w:rPr>
          <w:rFonts w:hint="eastAsia" w:ascii="仿宋" w:hAnsi="仿宋" w:eastAsia="仿宋" w:cs="仿宋"/>
          <w:kern w:val="0"/>
          <w:sz w:val="40"/>
          <w:szCs w:val="40"/>
        </w:rPr>
        <w:t>2019</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p>
      <w:pPr>
        <w:spacing w:line="240" w:lineRule="auto"/>
        <w:jc w:val="center"/>
        <w:rPr>
          <w:rFonts w:asciiTheme="minorEastAsia" w:hAnsiTheme="minorEastAsia" w:eastAsiaTheme="minorEastAsia" w:cstheme="minorEastAsia"/>
          <w:kern w:val="0"/>
          <w:sz w:val="21"/>
          <w:szCs w:val="21"/>
        </w:rPr>
      </w:pPr>
    </w:p>
    <w:tbl>
      <w:tblPr>
        <w:tblStyle w:val="4"/>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长沙市数据资源中心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   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cs="Arial"/>
                <w:color w:val="000000"/>
                <w:sz w:val="22"/>
                <w:szCs w:val="22"/>
              </w:rPr>
              <w:t>6,893,229.53</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cs="Arial"/>
                <w:color w:val="000000"/>
                <w:sz w:val="22"/>
                <w:szCs w:val="22"/>
              </w:rPr>
              <w:t>6,893,229.53</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asciiTheme="minorEastAsia" w:hAnsiTheme="minorEastAsia" w:eastAsiaTheme="minorEastAsia" w:cstheme="minorEastAsia"/>
                <w:color w:val="000000"/>
                <w:sz w:val="21"/>
                <w:szCs w:val="21"/>
              </w:rPr>
              <w:t>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cs="Arial"/>
                <w:color w:val="000000"/>
                <w:sz w:val="22"/>
                <w:szCs w:val="22"/>
              </w:rPr>
              <w:t>6,893,229.53</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6,893,229.53</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asciiTheme="minorEastAsia" w:hAnsiTheme="minorEastAsia" w:eastAsiaTheme="minorEastAsia" w:cstheme="minorEastAsia"/>
                <w:color w:val="000000"/>
                <w:sz w:val="21"/>
                <w:szCs w:val="21"/>
              </w:rPr>
              <w:t>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6,893,229.53</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6,893,229.53</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asciiTheme="minorEastAsia" w:hAnsiTheme="minorEastAsia" w:eastAsiaTheme="minorEastAsia" w:cstheme="minorEastAsia"/>
                <w:color w:val="000000"/>
                <w:sz w:val="21"/>
                <w:szCs w:val="21"/>
              </w:rPr>
              <w:t>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cs="Arial"/>
                <w:color w:val="000000"/>
                <w:sz w:val="22"/>
                <w:szCs w:val="22"/>
              </w:rPr>
              <w:t>1,038,526.39</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cs="Arial"/>
                <w:color w:val="000000"/>
                <w:sz w:val="22"/>
                <w:szCs w:val="22"/>
              </w:rPr>
              <w:t>1,038,526.39</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asciiTheme="minorEastAsia" w:hAnsiTheme="minorEastAsia" w:eastAsiaTheme="minorEastAsia" w:cstheme="minorEastAsia"/>
                <w:color w:val="000000"/>
                <w:sz w:val="21"/>
                <w:szCs w:val="21"/>
              </w:rPr>
              <w:t>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cs="Arial"/>
                <w:color w:val="000000"/>
                <w:sz w:val="22"/>
                <w:szCs w:val="22"/>
              </w:rPr>
              <w:t>5,854,703.14</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宋体" w:hAnsi="宋体" w:eastAsia="宋体" w:cs="Arial"/>
                <w:color w:val="000000"/>
                <w:sz w:val="22"/>
                <w:szCs w:val="22"/>
              </w:rPr>
            </w:pPr>
            <w:r>
              <w:rPr>
                <w:rFonts w:hint="eastAsia" w:cs="Arial"/>
                <w:color w:val="000000"/>
                <w:sz w:val="22"/>
                <w:szCs w:val="22"/>
              </w:rPr>
              <w:t>5,854,703.14</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100</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目标1：推进城区新型智慧城市（一期）建设；</w:t>
            </w:r>
          </w:p>
          <w:p>
            <w:pPr>
              <w:spacing w:line="250" w:lineRule="exact"/>
              <w:jc w:val="lef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highlight w:val="lightGray"/>
              </w:rPr>
              <w:t>目标</w:t>
            </w:r>
            <w:r>
              <w:rPr>
                <w:rFonts w:hint="eastAsia" w:asciiTheme="minorEastAsia" w:hAnsiTheme="minorEastAsia" w:eastAsiaTheme="minorEastAsia" w:cstheme="minorEastAsia"/>
                <w:color w:val="000000"/>
                <w:sz w:val="21"/>
                <w:szCs w:val="21"/>
              </w:rPr>
              <w:t>2</w:t>
            </w:r>
            <w:r>
              <w:rPr>
                <w:rFonts w:hint="eastAsia" w:asciiTheme="minorEastAsia" w:hAnsiTheme="minorEastAsia" w:eastAsiaTheme="minorEastAsia" w:cstheme="minorEastAsia"/>
                <w:color w:val="000000"/>
                <w:sz w:val="21"/>
                <w:szCs w:val="21"/>
                <w:highlight w:val="lightGray"/>
              </w:rPr>
              <w:t>：</w:t>
            </w:r>
            <w:r>
              <w:rPr>
                <w:rFonts w:hint="eastAsia" w:asciiTheme="minorEastAsia" w:hAnsiTheme="minorEastAsia" w:eastAsiaTheme="minorEastAsia" w:cstheme="minorEastAsia"/>
                <w:color w:val="000000"/>
                <w:sz w:val="21"/>
                <w:szCs w:val="21"/>
              </w:rPr>
              <w:t>提供网络及平台搭建，保障行政审批提速及营商环境优化;</w:t>
            </w:r>
          </w:p>
          <w:p>
            <w:pPr>
              <w:spacing w:line="250" w:lineRule="exact"/>
              <w:jc w:val="left"/>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rPr>
              <w:t>目标3：全区的网站建设监督，保障政务服务公开环境</w:t>
            </w:r>
          </w:p>
        </w:tc>
        <w:tc>
          <w:tcPr>
            <w:tcW w:w="3983" w:type="dxa"/>
            <w:gridSpan w:val="6"/>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1、全面铺开望城区新型智慧城市（一期）建设；</w:t>
            </w:r>
          </w:p>
          <w:p>
            <w:pPr>
              <w:spacing w:line="250" w:lineRule="exact"/>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2</w:t>
            </w:r>
            <w:r>
              <w:rPr>
                <w:rFonts w:hint="eastAsia" w:asciiTheme="minorEastAsia" w:hAnsiTheme="minorEastAsia" w:eastAsiaTheme="minorEastAsia" w:cstheme="minorEastAsia"/>
                <w:color w:val="000000"/>
                <w:sz w:val="21"/>
                <w:szCs w:val="21"/>
              </w:rPr>
              <w:t>、提供了区直部门、街镇村社的网络及平台搭建，有效助力我区行政审批提速及营商环境优化；</w:t>
            </w:r>
          </w:p>
          <w:p>
            <w:pPr>
              <w:spacing w:line="250" w:lineRule="exact"/>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3</w:t>
            </w:r>
            <w:r>
              <w:rPr>
                <w:rFonts w:hint="eastAsia" w:asciiTheme="minorEastAsia" w:hAnsiTheme="minorEastAsia" w:eastAsiaTheme="minorEastAsia" w:cstheme="minorEastAsia"/>
                <w:color w:val="000000"/>
                <w:sz w:val="21"/>
                <w:szCs w:val="21"/>
              </w:rPr>
              <w:t>、对全区的网站建设进行监督和梳理，提供了安全有保障的政务服务公开环境。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楼堂馆所面积控制率=实际建设面积/批准建设面积×100%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楼堂馆所投资预算控制率=实际投资金额/批准投资金额×100%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公用经费控制率=（实际支出公用经费总额/预算安排公用经费总额）×100%。</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asciiTheme="minorEastAsia" w:hAnsiTheme="minorEastAsia" w:eastAsiaTheme="minorEastAsia" w:cstheme="minorEastAsia"/>
                <w:kern w:val="0"/>
                <w:sz w:val="18"/>
                <w:szCs w:val="18"/>
              </w:rPr>
              <w:t>6</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①有内部财务管理制度、会计核算制度等管理制度，2分；</w:t>
            </w:r>
          </w:p>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②有本部门厉行节约制度,2分；</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w:t>
            </w:r>
            <w:r>
              <w:rPr>
                <w:rFonts w:asciiTheme="minorEastAsia" w:hAnsiTheme="minorEastAsia" w:eastAsiaTheme="minorEastAsia" w:cstheme="minorEastAsia"/>
                <w:color w:val="000000"/>
                <w:kern w:val="0"/>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90%（含）以上计6分；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80%（含）-90%，计4分；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70%（含）-80%，计2分；</w:t>
            </w:r>
          </w:p>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spacing w:line="600" w:lineRule="exact"/>
        <w:rPr>
          <w:rFonts w:ascii="Times New Roman" w:hAnsi="Times New Roman" w:eastAsia="方正小标宋简体"/>
          <w:sz w:val="36"/>
          <w:szCs w:val="36"/>
        </w:rPr>
      </w:pPr>
    </w:p>
    <w:p>
      <w:pPr>
        <w:spacing w:line="600" w:lineRule="exact"/>
        <w:jc w:val="center"/>
        <w:rPr>
          <w:rFonts w:ascii="方正小标宋_GBK" w:hAnsi="方正小标宋_GBK" w:eastAsia="方正小标宋_GBK" w:cs="方正小标宋_GBK"/>
          <w:sz w:val="36"/>
          <w:szCs w:val="36"/>
        </w:rPr>
      </w:pPr>
      <w:r>
        <w:rPr>
          <w:rFonts w:hint="eastAsia" w:ascii="仿宋" w:hAnsi="仿宋" w:eastAsia="仿宋" w:cs="仿宋"/>
          <w:sz w:val="36"/>
          <w:szCs w:val="36"/>
        </w:rPr>
        <w:t>2019</w:t>
      </w:r>
      <w:r>
        <w:rPr>
          <w:rFonts w:hint="eastAsia" w:ascii="方正小标宋_GBK" w:hAnsi="方正小标宋_GBK" w:eastAsia="方正小标宋_GBK" w:cs="方正小标宋_GBK"/>
          <w:sz w:val="36"/>
          <w:szCs w:val="36"/>
        </w:rPr>
        <w:t>年度望城区数据资源中心整体支出</w:t>
      </w:r>
    </w:p>
    <w:p>
      <w:pPr>
        <w:spacing w:line="600" w:lineRule="exact"/>
        <w:jc w:val="center"/>
        <w:rPr>
          <w:rFonts w:ascii="Times New Roman" w:hAnsi="Times New Roman" w:eastAsia="方正小标宋简体"/>
          <w:sz w:val="36"/>
          <w:szCs w:val="36"/>
        </w:rPr>
      </w:pPr>
      <w:r>
        <w:rPr>
          <w:rFonts w:hint="eastAsia" w:ascii="方正小标宋_GBK" w:hAnsi="方正小标宋_GBK" w:eastAsia="方正小标宋_GBK" w:cs="方正小标宋_GBK"/>
          <w:sz w:val="36"/>
          <w:szCs w:val="36"/>
        </w:rPr>
        <w:t>预算绩效</w:t>
      </w:r>
      <w:r>
        <w:rPr>
          <w:rFonts w:ascii="Times New Roman" w:hAnsi="Times New Roman" w:eastAsia="方正小标宋简体"/>
          <w:sz w:val="36"/>
          <w:szCs w:val="36"/>
        </w:rPr>
        <w:t>自评报告</w:t>
      </w:r>
    </w:p>
    <w:p>
      <w:pPr>
        <w:spacing w:line="600" w:lineRule="exact"/>
        <w:jc w:val="center"/>
        <w:rPr>
          <w:rFonts w:ascii="Times New Roman" w:hAnsi="Times New Roman"/>
        </w:rPr>
      </w:pPr>
    </w:p>
    <w:p>
      <w:pPr>
        <w:pStyle w:val="8"/>
        <w:numPr>
          <w:ilvl w:val="0"/>
          <w:numId w:val="1"/>
        </w:numPr>
        <w:spacing w:line="600" w:lineRule="exact"/>
        <w:ind w:firstLineChars="0"/>
        <w:rPr>
          <w:rFonts w:ascii="Times New Roman" w:hAnsi="Times New Roman" w:eastAsia="黑体"/>
          <w:sz w:val="30"/>
        </w:rPr>
      </w:pPr>
      <w:r>
        <w:rPr>
          <w:rFonts w:ascii="Times New Roman" w:hAnsi="Times New Roman" w:eastAsia="黑体"/>
          <w:sz w:val="30"/>
        </w:rPr>
        <w:t>基本情况</w:t>
      </w:r>
    </w:p>
    <w:p>
      <w:pPr>
        <w:ind w:firstLine="640" w:firstLineChars="200"/>
        <w:rPr>
          <w:rFonts w:hAnsi="仿宋_GB2312" w:cs="仿宋_GB2312"/>
          <w:color w:val="000000"/>
        </w:rPr>
      </w:pPr>
      <w:r>
        <w:rPr>
          <w:rFonts w:hint="eastAsia" w:hAnsi="仿宋_GB2312" w:cs="仿宋_GB2312"/>
          <w:color w:val="000000"/>
        </w:rPr>
        <w:t>长沙市望城区数据资源中心是区政府直属公益性事业单位，为正科级，加挂区智慧城市建设事务中心牌子。中心实有在职编制人员10名，政府雇员2名，临聘人员3名。主要</w:t>
      </w:r>
      <w:r>
        <w:rPr>
          <w:rFonts w:hAnsi="仿宋_GB2312" w:cs="仿宋_GB2312"/>
          <w:color w:val="000000"/>
        </w:rPr>
        <w:t>部门职能职责</w:t>
      </w:r>
      <w:r>
        <w:rPr>
          <w:rFonts w:hint="eastAsia" w:hAnsi="仿宋_GB2312" w:cs="仿宋_GB2312"/>
          <w:color w:val="000000"/>
        </w:rPr>
        <w:t>如下：</w:t>
      </w:r>
    </w:p>
    <w:p>
      <w:pPr>
        <w:spacing w:line="240" w:lineRule="auto"/>
        <w:ind w:firstLine="640" w:firstLineChars="200"/>
        <w:rPr>
          <w:rFonts w:hAnsi="仿宋_GB2312" w:cs="仿宋_GB2312"/>
          <w:color w:val="000000"/>
        </w:rPr>
      </w:pPr>
      <w:r>
        <w:rPr>
          <w:rFonts w:hint="eastAsia" w:hAnsi="仿宋_GB2312" w:cs="仿宋_GB2312"/>
          <w:color w:val="000000"/>
        </w:rPr>
        <w:t>1、贯彻落实国家、省、市有关数据资源管理的方针、政策和法律法规。</w:t>
      </w:r>
    </w:p>
    <w:p>
      <w:pPr>
        <w:spacing w:line="240" w:lineRule="auto"/>
        <w:ind w:firstLine="640" w:firstLineChars="200"/>
        <w:rPr>
          <w:rFonts w:hAnsi="仿宋_GB2312" w:cs="仿宋_GB2312"/>
          <w:color w:val="000000"/>
        </w:rPr>
      </w:pPr>
      <w:r>
        <w:rPr>
          <w:rFonts w:hAnsi="仿宋_GB2312" w:cs="仿宋_GB2312"/>
          <w:color w:val="000000"/>
        </w:rPr>
        <w:t>2</w:t>
      </w:r>
      <w:r>
        <w:rPr>
          <w:rFonts w:hint="eastAsia" w:hAnsi="仿宋_GB2312" w:cs="仿宋_GB2312"/>
          <w:color w:val="000000"/>
        </w:rPr>
        <w:t>、组织实施国家和地方数据技术标准；研究拟定并组织实施区数据资源采集、存储、使用、开放、共享等标准规范。</w:t>
      </w:r>
    </w:p>
    <w:p>
      <w:pPr>
        <w:ind w:firstLine="640" w:firstLineChars="200"/>
        <w:rPr>
          <w:rFonts w:hAnsi="仿宋_GB2312" w:cs="仿宋_GB2312"/>
          <w:color w:val="000000"/>
        </w:rPr>
      </w:pPr>
      <w:r>
        <w:rPr>
          <w:rFonts w:hint="eastAsia" w:hAnsi="仿宋_GB2312" w:cs="仿宋_GB2312"/>
          <w:color w:val="000000"/>
        </w:rPr>
        <w:t>3、负责全区应用系统的统筹、管理、整合、共享，组织协调全区数据资源目录的制定、归集管理、整理利用、共享开发等工作；负责依托长沙市政务云大数据平台，推进数据平台在我区的应用工作，逐步破除“信息壁垒”。</w:t>
      </w:r>
    </w:p>
    <w:p>
      <w:pPr>
        <w:ind w:firstLine="640" w:firstLineChars="200"/>
        <w:rPr>
          <w:rFonts w:hAnsi="仿宋_GB2312" w:cs="仿宋_GB2312"/>
          <w:color w:val="000000"/>
        </w:rPr>
      </w:pPr>
      <w:r>
        <w:rPr>
          <w:rFonts w:hint="eastAsia" w:hAnsi="仿宋_GB2312" w:cs="仿宋_GB2312"/>
          <w:color w:val="000000"/>
        </w:rPr>
        <w:t>4、负责区政府门户网站的建设、管理、运行、维护和信息发布等工作；承担上级政府网站望城板块的信息发布；配合有关部门做好网络舆情监测、涉税信息报送等工作。</w:t>
      </w:r>
    </w:p>
    <w:p>
      <w:pPr>
        <w:ind w:firstLine="640" w:firstLineChars="200"/>
        <w:rPr>
          <w:rFonts w:hAnsi="仿宋_GB2312" w:cs="仿宋_GB2312"/>
          <w:color w:val="000000"/>
        </w:rPr>
      </w:pPr>
      <w:r>
        <w:rPr>
          <w:rFonts w:hint="eastAsia" w:hAnsi="仿宋_GB2312" w:cs="仿宋_GB2312"/>
          <w:color w:val="000000"/>
        </w:rPr>
        <w:t>5、负责全区各部门、街镇信息系统项目的统筹规划，组织开展项目的技术方案论证，指导项目实施</w:t>
      </w:r>
      <w:r>
        <w:rPr>
          <w:rFonts w:hint="eastAsia" w:hAnsi="仿宋_GB2312" w:cs="仿宋_GB2312"/>
          <w:iCs/>
          <w:color w:val="000000"/>
        </w:rPr>
        <w:t>。</w:t>
      </w:r>
    </w:p>
    <w:p>
      <w:pPr>
        <w:ind w:firstLine="640" w:firstLineChars="200"/>
        <w:rPr>
          <w:rFonts w:hAnsi="仿宋_GB2312" w:cs="仿宋_GB2312"/>
          <w:color w:val="000000"/>
        </w:rPr>
      </w:pPr>
      <w:r>
        <w:rPr>
          <w:rFonts w:hint="eastAsia" w:hAnsi="仿宋_GB2312" w:cs="仿宋_GB2312"/>
          <w:color w:val="000000"/>
        </w:rPr>
        <w:t>6、负责区电子政务中心机房和政务网络的统筹、建设、管理和运行维护工作，保障全区政务网络和政府门户网站的运行安全，为全区党政机关提供信息化技术支持。</w:t>
      </w:r>
    </w:p>
    <w:p>
      <w:pPr>
        <w:ind w:firstLine="640" w:firstLineChars="200"/>
        <w:rPr>
          <w:rFonts w:hAnsi="仿宋_GB2312" w:cs="仿宋_GB2312"/>
          <w:color w:val="000000"/>
        </w:rPr>
      </w:pPr>
      <w:r>
        <w:rPr>
          <w:rFonts w:hint="eastAsia" w:hAnsi="仿宋_GB2312" w:cs="仿宋_GB2312"/>
          <w:color w:val="000000"/>
        </w:rPr>
        <w:t>7、负责规划、统筹和协调全区新型智慧城市建设相关工作；承担望城区智慧城市发展规划编制、智慧城市应用推广等工作，打造智慧城市大数据运营中心，构建全覆盖的智慧城市应用服务体系。</w:t>
      </w:r>
    </w:p>
    <w:p>
      <w:pPr>
        <w:pStyle w:val="8"/>
        <w:spacing w:line="600" w:lineRule="exact"/>
        <w:ind w:firstLine="566" w:firstLineChars="177"/>
        <w:rPr>
          <w:rFonts w:ascii="Times New Roman" w:hAnsi="Times New Roman" w:eastAsia="黑体"/>
          <w:sz w:val="30"/>
        </w:rPr>
      </w:pPr>
      <w:r>
        <w:rPr>
          <w:rFonts w:hAnsi="仿宋_GB2312" w:cs="仿宋_GB2312"/>
          <w:color w:val="000000"/>
        </w:rPr>
        <w:t>8</w:t>
      </w:r>
      <w:r>
        <w:rPr>
          <w:rFonts w:hint="eastAsia" w:hAnsi="仿宋_GB2312" w:cs="仿宋_GB2312"/>
          <w:color w:val="000000"/>
        </w:rPr>
        <w:t>、负责全区数据资源、政务信息化领域的对外交流合作</w:t>
      </w:r>
    </w:p>
    <w:p>
      <w:pPr>
        <w:spacing w:line="600" w:lineRule="exact"/>
        <w:ind w:firstLine="567" w:firstLineChars="189"/>
        <w:rPr>
          <w:rFonts w:ascii="Times New Roman" w:hAnsi="Times New Roman" w:eastAsia="黑体"/>
          <w:sz w:val="30"/>
        </w:rPr>
      </w:pPr>
      <w:r>
        <w:rPr>
          <w:rFonts w:ascii="Times New Roman" w:hAnsi="Times New Roman" w:eastAsia="黑体"/>
          <w:sz w:val="30"/>
        </w:rPr>
        <w:t>二、预算管理及执行情况</w:t>
      </w:r>
    </w:p>
    <w:p>
      <w:pPr>
        <w:spacing w:line="600" w:lineRule="exact"/>
        <w:ind w:firstLine="640" w:firstLineChars="200"/>
        <w:rPr>
          <w:rFonts w:ascii="Times New Roman" w:hAnsi="Times New Roman" w:eastAsia="黑体"/>
          <w:sz w:val="30"/>
        </w:rPr>
      </w:pPr>
      <w:r>
        <w:rPr>
          <w:rFonts w:hint="eastAsia" w:hAnsi="仿宋_GB2312" w:cs="仿宋_GB2312"/>
          <w:color w:val="000000"/>
        </w:rPr>
        <w:t>本单位为2</w:t>
      </w:r>
      <w:r>
        <w:rPr>
          <w:rFonts w:hAnsi="仿宋_GB2312" w:cs="仿宋_GB2312"/>
          <w:color w:val="000000"/>
        </w:rPr>
        <w:t>019</w:t>
      </w:r>
      <w:r>
        <w:rPr>
          <w:rFonts w:hint="eastAsia" w:hAnsi="仿宋_GB2312" w:cs="仿宋_GB2312"/>
          <w:color w:val="000000"/>
        </w:rPr>
        <w:t>年3月机构改革时新增单位，无年度预算，故没有预算及执行对比数据。全年决算收入689.32万元，支出689.32万元，其中基本支出103.85万元，占比15%。项目支出585.47万元，占比85%。</w:t>
      </w:r>
    </w:p>
    <w:p>
      <w:pPr>
        <w:spacing w:line="600" w:lineRule="exact"/>
        <w:ind w:left="600"/>
        <w:rPr>
          <w:rFonts w:ascii="Times New Roman" w:hAnsi="Times New Roman" w:eastAsia="黑体"/>
          <w:sz w:val="30"/>
        </w:rPr>
      </w:pPr>
      <w:r>
        <w:rPr>
          <w:rFonts w:hint="eastAsia" w:ascii="Times New Roman" w:hAnsi="Times New Roman" w:eastAsia="黑体"/>
          <w:sz w:val="30"/>
          <w:highlight w:val="lightGray"/>
        </w:rPr>
        <w:t>三、</w:t>
      </w:r>
      <w:r>
        <w:rPr>
          <w:rFonts w:hint="eastAsia" w:ascii="Times New Roman" w:hAnsi="Times New Roman" w:eastAsia="黑体"/>
          <w:sz w:val="30"/>
        </w:rPr>
        <w:t>资产管理情况</w:t>
      </w:r>
    </w:p>
    <w:p>
      <w:pPr>
        <w:ind w:firstLine="720" w:firstLineChars="225"/>
      </w:pPr>
      <w:r>
        <w:rPr>
          <w:rFonts w:hint="eastAsia"/>
        </w:rPr>
        <w:t>我单位2019年3月成立，所有资产均为本年度新增，其中固定资产中调拨部分为</w:t>
      </w:r>
      <w:r>
        <w:t>613.81</w:t>
      </w:r>
      <w:r>
        <w:rPr>
          <w:rFonts w:hint="eastAsia"/>
        </w:rPr>
        <w:t>万元，占所有固定资产比重为</w:t>
      </w:r>
      <w:r>
        <w:t>90.28</w:t>
      </w:r>
      <w:r>
        <w:rPr>
          <w:rFonts w:hint="eastAsia"/>
        </w:rPr>
        <w:t>%。</w:t>
      </w:r>
      <w:r>
        <w:rPr>
          <w:rFonts w:hint="eastAsia" w:hAnsi="Times New Roman"/>
        </w:rPr>
        <w:t>资产总额</w:t>
      </w:r>
      <w:r>
        <w:rPr>
          <w:rFonts w:hint="eastAsia"/>
        </w:rPr>
        <w:t>1</w:t>
      </w:r>
      <w:r>
        <w:t>56.70</w:t>
      </w:r>
      <w:r>
        <w:rPr>
          <w:rFonts w:hint="eastAsia" w:hAnsi="Times New Roman"/>
        </w:rPr>
        <w:t>万元，</w:t>
      </w:r>
      <w:r>
        <w:rPr>
          <w:rFonts w:hint="eastAsia"/>
        </w:rPr>
        <w:t>其中流动资产</w:t>
      </w:r>
      <w:r>
        <w:t>0</w:t>
      </w:r>
      <w:r>
        <w:rPr>
          <w:rFonts w:hint="eastAsia"/>
        </w:rPr>
        <w:t>元、</w:t>
      </w:r>
      <w:r>
        <w:rPr>
          <w:rFonts w:hint="eastAsia" w:hAnsi="Times New Roman"/>
        </w:rPr>
        <w:t>固定资产原值</w:t>
      </w:r>
      <w:r>
        <w:t>679.92</w:t>
      </w:r>
      <w:r>
        <w:rPr>
          <w:rFonts w:hint="eastAsia" w:hAnsi="Times New Roman"/>
        </w:rPr>
        <w:t>万元，净值</w:t>
      </w:r>
      <w:r>
        <w:rPr>
          <w:rFonts w:hint="eastAsia"/>
        </w:rPr>
        <w:t>1</w:t>
      </w:r>
      <w:r>
        <w:t>56.70</w:t>
      </w:r>
      <w:r>
        <w:rPr>
          <w:rFonts w:hint="eastAsia" w:hAnsi="Times New Roman"/>
        </w:rPr>
        <w:t>万元。</w:t>
      </w:r>
      <w:r>
        <w:rPr>
          <w:rFonts w:hint="eastAsia"/>
        </w:rPr>
        <w:t>固定资产中土地及房屋建筑物均为</w:t>
      </w:r>
      <w:r>
        <w:t>0</w:t>
      </w:r>
      <w:r>
        <w:rPr>
          <w:rFonts w:hint="eastAsia"/>
        </w:rPr>
        <w:t>元，车辆</w:t>
      </w:r>
      <w:r>
        <w:t>0</w:t>
      </w:r>
      <w:r>
        <w:rPr>
          <w:rFonts w:hint="eastAsia"/>
        </w:rPr>
        <w:t>台，无50万元以上通用设备及100万元以上专用设备。资产使用为全部自用资产，无出租出借资产及对外投资情况。</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四</w:t>
      </w:r>
      <w:r>
        <w:rPr>
          <w:rFonts w:ascii="Times New Roman" w:hAnsi="Times New Roman" w:eastAsia="黑体"/>
          <w:sz w:val="30"/>
        </w:rPr>
        <w:t>、整体支出绩效目标及开展情况</w:t>
      </w:r>
    </w:p>
    <w:p>
      <w:pPr>
        <w:spacing w:line="600" w:lineRule="exact"/>
        <w:ind w:firstLine="640" w:firstLineChars="200"/>
        <w:rPr>
          <w:rFonts w:ascii="楷体_GB2312" w:hAnsi="黑体" w:eastAsia="楷体_GB2312"/>
          <w:b/>
        </w:rPr>
      </w:pPr>
      <w:r>
        <w:rPr>
          <w:rFonts w:hint="eastAsia"/>
        </w:rPr>
        <w:t>望城区数据资源中心自2019年</w:t>
      </w:r>
      <w:r>
        <w:rPr>
          <w:rFonts w:hint="eastAsia"/>
          <w:lang w:val="en-US" w:eastAsia="zh-CN"/>
        </w:rPr>
        <w:t>3</w:t>
      </w:r>
      <w:r>
        <w:rPr>
          <w:rFonts w:hint="eastAsia"/>
        </w:rPr>
        <w:t>月</w:t>
      </w:r>
      <w:r>
        <w:rPr>
          <w:rFonts w:hint="eastAsia"/>
          <w:lang w:val="en-US" w:eastAsia="zh-CN"/>
        </w:rPr>
        <w:t>成立</w:t>
      </w:r>
      <w:r>
        <w:rPr>
          <w:rFonts w:hint="eastAsia"/>
        </w:rPr>
        <w:t>以来，根据区委、政府的指示安排，全面铺开望城区新型智慧城市（一期）建设；提供了区直部门、街镇村社的网络及平台搭建，有效助力我区行政审批提速及营商环境优化；对全区的网站建设进行监督和梳理，提供了安全有保障的政务服务公开环境。</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w:t>
      </w:r>
      <w:r>
        <w:rPr>
          <w:rFonts w:ascii="Times New Roman" w:hAnsi="Times New Roman" w:eastAsia="黑体"/>
          <w:sz w:val="30"/>
        </w:rPr>
        <w:t>、整体支出绩效实现情况</w:t>
      </w:r>
    </w:p>
    <w:p>
      <w:pPr>
        <w:spacing w:line="600" w:lineRule="exact"/>
        <w:ind w:firstLine="600" w:firstLineChars="200"/>
      </w:pPr>
      <w:r>
        <w:rPr>
          <w:rFonts w:ascii="Times New Roman" w:hAnsi="Times New Roman"/>
          <w:sz w:val="30"/>
        </w:rPr>
        <w:t>（一）履职完成情况：</w:t>
      </w:r>
      <w:r>
        <w:rPr>
          <w:rFonts w:hint="eastAsia"/>
        </w:rPr>
        <w:t xml:space="preserve"> </w:t>
      </w:r>
    </w:p>
    <w:p>
      <w:pPr>
        <w:spacing w:line="600" w:lineRule="exact"/>
        <w:ind w:firstLine="640" w:firstLineChars="200"/>
      </w:pPr>
      <w:r>
        <w:rPr>
          <w:rFonts w:hint="eastAsia"/>
        </w:rPr>
        <w:t>1.有效推进新型智慧城市（一期）建设</w:t>
      </w:r>
    </w:p>
    <w:p>
      <w:pPr>
        <w:spacing w:line="600" w:lineRule="exact"/>
        <w:ind w:firstLine="640" w:firstLineChars="200"/>
      </w:pPr>
      <w:r>
        <w:rPr>
          <w:rFonts w:hint="eastAsia"/>
        </w:rPr>
        <w:t>⑴创新实施“双组长专家制”。成立了以区委书记、区长任双组长的新型智慧城市建设领导小组，组建了以国家信息中心、国防科技大学、湖南大学等单位共17名专家为成员的区新型智慧城市建设专家委员会，聘请了深圳智慧城市大数据研究院为咨询顾问单位，为全区新型智慧城市建设工作提供了坚实的组织保障。</w:t>
      </w:r>
    </w:p>
    <w:p>
      <w:pPr>
        <w:spacing w:line="600" w:lineRule="exact"/>
        <w:ind w:firstLine="640" w:firstLineChars="200"/>
      </w:pPr>
      <w:r>
        <w:rPr>
          <w:rFonts w:hint="eastAsia"/>
        </w:rPr>
        <w:t>⑵委托资深公司进行整体设计。委托湖南邮电设计院编制了望城区新型智慧城市顶层设计文本，并由区长办公会议审定内容。根据“基础先建，急用先行”的建设思路，制定并提交区长办公会议审定了《望城区新型智慧城市建设一期实施方案》，同步完成望城区新型智慧城市（一期）建设可研报告和初步设计编制，明确了云底座、IOC智慧城市运营中心，智慧园区、智慧水务、智慧交通、智慧教育、社会治理等一批重点建设项目。</w:t>
      </w:r>
    </w:p>
    <w:p>
      <w:pPr>
        <w:spacing w:line="600" w:lineRule="exact"/>
        <w:ind w:firstLine="640" w:firstLineChars="200"/>
      </w:pPr>
      <w:r>
        <w:rPr>
          <w:rFonts w:hint="eastAsia"/>
        </w:rPr>
        <w:t>⑶创新采用项目总承包模式。根据区委常委</w:t>
      </w:r>
      <w:r>
        <w:rPr>
          <w:rFonts w:hint="eastAsia"/>
          <w:lang w:eastAsia="zh-CN"/>
        </w:rPr>
        <w:t>会</w:t>
      </w:r>
      <w:r>
        <w:rPr>
          <w:rFonts w:hint="eastAsia"/>
        </w:rPr>
        <w:t xml:space="preserve">会议精神，我区新型智慧城市建设（2019年-2022年）采取总承包建设模式，以竞争性磋商的方式进行招标，极大的缩短了项目审批流程，加快项目落地进程。目前已由中心牵头组织招标代理公司拟定了新型智慧城市（2019-2022年）总承包供应商竞争性磋商招标文件，招标文件已经专家评审和区政府审定，启动了挂网招标工作。 </w:t>
      </w:r>
    </w:p>
    <w:p>
      <w:pPr>
        <w:spacing w:line="600" w:lineRule="exact"/>
        <w:ind w:firstLine="640" w:firstLineChars="200"/>
      </w:pPr>
      <w:r>
        <w:rPr>
          <w:rFonts w:hint="eastAsia"/>
        </w:rPr>
        <w:t xml:space="preserve">⑷助力优化营商环境政策落地。把“智慧城市”建设作为再创望城营商环境新优势的着力点破口，推进“互联网+政务服务”，打通数据“壁垒”，加紧电子证照库的建设，推进和促进电子证照推广使用，加强征信体系的硬件建设，持续激发市场活力和社会创造力，提高企业的获得感。另外在推进极省营商工作上，中心安排圈人士进行对接和服务，为BSC（望城区商事服务平台）的建设和发展出谋划策。            </w:t>
      </w:r>
    </w:p>
    <w:p>
      <w:pPr>
        <w:spacing w:line="600" w:lineRule="exact"/>
        <w:ind w:firstLine="640" w:firstLineChars="200"/>
      </w:pPr>
      <w:r>
        <w:rPr>
          <w:rFonts w:hint="eastAsia"/>
        </w:rPr>
        <w:t>2.加快网络设施与线上审批建设。</w:t>
      </w:r>
    </w:p>
    <w:p>
      <w:pPr>
        <w:spacing w:line="600" w:lineRule="exact"/>
        <w:ind w:firstLine="640" w:firstLineChars="200"/>
      </w:pPr>
      <w:r>
        <w:rPr>
          <w:rFonts w:hint="eastAsia"/>
        </w:rPr>
        <w:t xml:space="preserve">⑴全面升级区内网络线路，2019年4月至今，全区新增政务网、教育网线路共计75条，处理政务网网络故障264起，为确保网络畅通及运行速率，对我区电子政务网络线路及网络出口进行了重新招标。 </w:t>
      </w:r>
    </w:p>
    <w:p>
      <w:pPr>
        <w:spacing w:line="600" w:lineRule="exact"/>
        <w:ind w:firstLine="640" w:firstLineChars="200"/>
      </w:pPr>
      <w:r>
        <w:rPr>
          <w:rFonts w:hint="eastAsia"/>
        </w:rPr>
        <w:t xml:space="preserve">⑵全面摸清信息资源底数，为全面摸清我区政务信息资源底数，促进政务数据资源科学配置和深度利用，今年4月份启动了全区政务信息资源目录梳理编制工作，共涉及34个区直部门，共梳理资源目录1350条，信息项14965条。  </w:t>
      </w:r>
    </w:p>
    <w:p>
      <w:pPr>
        <w:spacing w:line="600" w:lineRule="exact"/>
        <w:ind w:firstLine="640" w:firstLineChars="200"/>
      </w:pPr>
      <w:r>
        <w:t xml:space="preserve">（二）履职效果情况： </w:t>
      </w:r>
    </w:p>
    <w:p>
      <w:pPr>
        <w:spacing w:line="600" w:lineRule="exact"/>
        <w:ind w:firstLine="640" w:firstLineChars="200"/>
      </w:pPr>
      <w:r>
        <w:t>1</w:t>
      </w:r>
      <w:r>
        <w:rPr>
          <w:rFonts w:hint="eastAsia"/>
        </w:rPr>
        <w:t>、全面升级区内网络线路。启动了智慧政务基础设施建设，对电子政务机房网络、安全全面升级，项目建成后将全区电子政务网络处理能力将提升至万兆级。</w:t>
      </w:r>
    </w:p>
    <w:p>
      <w:pPr>
        <w:spacing w:line="600" w:lineRule="exact"/>
        <w:ind w:firstLine="640" w:firstLineChars="200"/>
        <w:rPr>
          <w:rFonts w:ascii="Times New Roman" w:hAnsi="Times New Roman"/>
          <w:sz w:val="30"/>
        </w:rPr>
      </w:pPr>
      <w:r>
        <w:t>2</w:t>
      </w:r>
      <w:r>
        <w:rPr>
          <w:rFonts w:hint="eastAsia"/>
        </w:rPr>
        <w:t>、打造全流程网上审批新平台。2019年中心积极推行项目网上审批提速，开发建设了</w:t>
      </w:r>
      <w:bookmarkStart w:id="0" w:name="_GoBack"/>
      <w:bookmarkEnd w:id="0"/>
      <w:r>
        <w:rPr>
          <w:rFonts w:hint="eastAsia"/>
        </w:rPr>
        <w:t>项目网上全流程审批平台，实现了并联审批、数据共享、材料复用。5月10日，望城区投资项目全流程网上审批平台正式上线运行。</w:t>
      </w:r>
    </w:p>
    <w:p>
      <w:pPr>
        <w:spacing w:line="600" w:lineRule="exact"/>
        <w:ind w:firstLine="600" w:firstLineChars="200"/>
        <w:rPr>
          <w:rFonts w:ascii="Times New Roman" w:hAnsi="Times New Roman"/>
          <w:sz w:val="30"/>
        </w:rPr>
      </w:pPr>
      <w:r>
        <w:rPr>
          <w:rFonts w:ascii="Times New Roman" w:hAnsi="Times New Roman"/>
          <w:sz w:val="30"/>
        </w:rPr>
        <w:t>（三）社会满意度情况</w:t>
      </w:r>
    </w:p>
    <w:p>
      <w:pPr>
        <w:spacing w:line="600" w:lineRule="exact"/>
        <w:ind w:firstLine="640" w:firstLineChars="200"/>
      </w:pPr>
      <w:r>
        <w:rPr>
          <w:rFonts w:hint="eastAsia"/>
        </w:rPr>
        <w:t>深化信息公开提升网站服务，完善区政府门户网站建设得到区政府以及各服务单位深度认可。其中数据资源中心获电子政务理事会评选为2019年互联网+政务服务先进单位。提升政务信息公开深度，采取专人维护、按月通报、严把标准等方式做好网站内容保障工作，充分发挥平台载体作用，中心党组书记、主任邹勇获电子政务理事会评选为2019政府网站最佳管理者；中心副主任易振君获电子政务理事会评选为2019政府网站最佳实践者。</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六</w:t>
      </w:r>
      <w:r>
        <w:rPr>
          <w:rFonts w:ascii="Times New Roman" w:hAnsi="Times New Roman" w:eastAsia="黑体"/>
          <w:sz w:val="30"/>
        </w:rPr>
        <w:t>、整体支出绩效中存在问题及改进措施</w:t>
      </w:r>
    </w:p>
    <w:p>
      <w:pPr>
        <w:spacing w:line="600" w:lineRule="exact"/>
        <w:ind w:firstLine="600" w:firstLineChars="200"/>
        <w:rPr>
          <w:rFonts w:ascii="Times New Roman" w:hAnsi="Times New Roman"/>
          <w:sz w:val="30"/>
        </w:rPr>
      </w:pPr>
      <w:r>
        <w:rPr>
          <w:rFonts w:ascii="Times New Roman" w:hAnsi="Times New Roman"/>
          <w:sz w:val="30"/>
        </w:rPr>
        <w:t>（一）主要问题及原因分析</w:t>
      </w:r>
    </w:p>
    <w:p>
      <w:pPr>
        <w:spacing w:line="600" w:lineRule="exact"/>
        <w:ind w:firstLine="600" w:firstLineChars="200"/>
        <w:rPr>
          <w:rFonts w:hint="eastAsia" w:ascii="Times New Roman" w:hAnsi="Times New Roman"/>
          <w:sz w:val="30"/>
        </w:rPr>
      </w:pPr>
      <w:r>
        <w:rPr>
          <w:rFonts w:hint="eastAsia" w:ascii="Times New Roman" w:hAnsi="Times New Roman"/>
          <w:sz w:val="30"/>
        </w:rPr>
        <w:t>关于如何进行智慧城市建设是一项新的课题，从宏观全局到具体实施都属于新的挑战，如何进行该项具体工作还有待艰巨的学习与深入研究。</w:t>
      </w:r>
    </w:p>
    <w:p>
      <w:pPr>
        <w:spacing w:line="600" w:lineRule="exact"/>
        <w:ind w:firstLine="600" w:firstLineChars="200"/>
        <w:rPr>
          <w:rFonts w:ascii="Times New Roman" w:hAnsi="Times New Roman"/>
          <w:sz w:val="30"/>
        </w:rPr>
      </w:pPr>
      <w:r>
        <w:rPr>
          <w:rFonts w:ascii="Times New Roman" w:hAnsi="Times New Roman"/>
          <w:sz w:val="30"/>
        </w:rPr>
        <w:t>（二）改进的方向和具体措施</w:t>
      </w:r>
    </w:p>
    <w:p>
      <w:pPr>
        <w:spacing w:line="600" w:lineRule="exact"/>
        <w:ind w:firstLine="640" w:firstLineChars="200"/>
      </w:pPr>
      <w:r>
        <w:rPr>
          <w:rFonts w:hint="eastAsia"/>
        </w:rPr>
        <w:t>1.加速我区新型智慧城市建设。根据区委、政府的指示，铺排接下来的智慧城市一期建设工作。完成区新型智慧城市2019年-202</w:t>
      </w:r>
      <w:r>
        <w:rPr>
          <w:rFonts w:hint="eastAsia"/>
          <w:lang w:val="en-US" w:eastAsia="zh-CN"/>
        </w:rPr>
        <w:t>2</w:t>
      </w:r>
      <w:r>
        <w:rPr>
          <w:rFonts w:hint="eastAsia"/>
        </w:rPr>
        <w:t>年（三期）总承包建设模式的招标工作。</w:t>
      </w:r>
    </w:p>
    <w:p>
      <w:pPr>
        <w:spacing w:line="600" w:lineRule="exact"/>
        <w:ind w:firstLine="640" w:firstLineChars="200"/>
      </w:pPr>
      <w:r>
        <w:rPr>
          <w:rFonts w:hint="eastAsia"/>
        </w:rPr>
        <w:t>2.进一步夯实电子政务平台基础建设。完成望城区智慧政务“基础设施体系”项目建设，升级我区电子政务网络平台，优化网络结构，提质网络设备，提升网络传输效率。为长沙市政务服务“一体化”平台的顺利推进提供网络保障及技术支持，打通线上审批最后一公里。</w:t>
      </w:r>
    </w:p>
    <w:p>
      <w:pPr>
        <w:spacing w:line="600" w:lineRule="exact"/>
        <w:ind w:firstLine="640" w:firstLineChars="200"/>
      </w:pPr>
      <w:r>
        <w:rPr>
          <w:rFonts w:hint="eastAsia"/>
        </w:rPr>
        <w:t>3.完成区政府门户网站集约化建设工作。按照国办“建基于统一信息资源库的政府网站集约化平台：统一标准体系、统一技术平台、统一安全防护、统一运维监管”的要求以及省市集约化建设工作要求，完成门户网站集约化建设工作。</w:t>
      </w:r>
    </w:p>
    <w:p>
      <w:pPr>
        <w:shd w:val="clear" w:color="auto" w:fill="FFFFFF"/>
        <w:adjustRightInd w:val="0"/>
        <w:snapToGrid w:val="0"/>
        <w:spacing w:line="600" w:lineRule="exact"/>
        <w:ind w:firstLine="640" w:firstLineChars="200"/>
      </w:pPr>
      <w:r>
        <w:rPr>
          <w:rFonts w:hint="eastAsia"/>
        </w:rPr>
        <w:t>4.推进我区信息资源共享开放。</w:t>
      </w:r>
      <w:r>
        <w:t>通过</w:t>
      </w:r>
      <w:r>
        <w:rPr>
          <w:rFonts w:hint="eastAsia"/>
        </w:rPr>
        <w:t>建设基础数据库、</w:t>
      </w:r>
      <w:r>
        <w:t>共享交换平台等信息化基础系统和设施</w:t>
      </w:r>
      <w:r>
        <w:rPr>
          <w:rFonts w:hint="eastAsia"/>
        </w:rPr>
        <w:t>，为各部门政务信息资源的整合、共享、交换提供基础性支撑，进一步打通数据“壁垒”，建设</w:t>
      </w:r>
      <w:r>
        <w:t>统一的数据开放服务门户，提升开发数据的数量、质量、时效性和易用性</w:t>
      </w:r>
      <w:r>
        <w:rPr>
          <w:rFonts w:hint="eastAsia"/>
        </w:rPr>
        <w:t>，构建数字望城。</w:t>
      </w:r>
    </w:p>
    <w:p>
      <w:pPr>
        <w:spacing w:line="600" w:lineRule="exact"/>
        <w:ind w:firstLine="640" w:firstLineChars="200"/>
      </w:pPr>
      <w:r>
        <w:rPr>
          <w:rFonts w:hint="eastAsia"/>
        </w:rPr>
        <w:t>5.探索新型智慧城市深度合作模式。探索与华为公司在望城区新型智慧城市建设上的深度合作，打造“华为城”。推动智能终端产业发展的进度，进一步深化与华为公司关于我区新型智慧城市建设的战略合作，借助华为公司强大的专业技术团队和优质的智慧城市解决方案，促进我区产业发展转型升级，确保我区新型智慧城市健康快速发展。</w:t>
      </w:r>
    </w:p>
    <w:p>
      <w:pPr>
        <w:spacing w:line="600" w:lineRule="exact"/>
        <w:ind w:firstLine="600" w:firstLineChars="200"/>
        <w:rPr>
          <w:rFonts w:ascii="Times New Roman" w:hAnsi="Times New Roman" w:eastAsia="黑体"/>
          <w:sz w:val="30"/>
        </w:rPr>
      </w:pPr>
      <w:r>
        <w:rPr>
          <w:rFonts w:ascii="Times New Roman" w:hAnsi="Times New Roman" w:eastAsia="黑体"/>
          <w:sz w:val="30"/>
        </w:rPr>
        <w:t>七、其它需要说明的情况</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无</w:t>
      </w:r>
    </w:p>
    <w:p>
      <w:pPr>
        <w:spacing w:line="600" w:lineRule="exact"/>
        <w:ind w:firstLine="600" w:firstLineChars="200"/>
        <w:jc w:val="right"/>
        <w:rPr>
          <w:rFonts w:ascii="Times New Roman" w:hAnsi="Times New Roman" w:eastAsia="黑体"/>
          <w:sz w:val="30"/>
        </w:rPr>
      </w:pPr>
    </w:p>
    <w:p>
      <w:pPr>
        <w:spacing w:line="600" w:lineRule="exact"/>
        <w:ind w:firstLine="600" w:firstLineChars="200"/>
        <w:jc w:val="right"/>
        <w:rPr>
          <w:rFonts w:ascii="Times New Roman" w:hAnsi="Times New Roman" w:eastAsia="黑体"/>
          <w:sz w:val="30"/>
        </w:rPr>
      </w:pPr>
    </w:p>
    <w:p>
      <w:pPr>
        <w:spacing w:line="600" w:lineRule="exact"/>
        <w:ind w:firstLine="600" w:firstLineChars="200"/>
        <w:jc w:val="right"/>
        <w:rPr>
          <w:rFonts w:ascii="Times New Roman" w:hAnsi="Times New Roman" w:eastAsia="黑体"/>
          <w:sz w:val="30"/>
        </w:rPr>
      </w:pPr>
      <w:r>
        <w:rPr>
          <w:rFonts w:hint="eastAsia" w:ascii="Times New Roman" w:hAnsi="Times New Roman" w:eastAsia="黑体"/>
          <w:sz w:val="30"/>
        </w:rPr>
        <w:t>长沙市望城区数据资源中心</w:t>
      </w:r>
    </w:p>
    <w:p>
      <w:pPr>
        <w:spacing w:line="600" w:lineRule="exact"/>
        <w:ind w:firstLine="600" w:firstLineChars="200"/>
        <w:jc w:val="right"/>
        <w:rPr>
          <w:rFonts w:ascii="Times New Roman" w:hAnsi="Times New Roman" w:eastAsia="方正小标宋简体"/>
          <w:bCs/>
          <w:color w:val="000000"/>
          <w:kern w:val="0"/>
          <w:sz w:val="36"/>
          <w:szCs w:val="36"/>
        </w:rPr>
      </w:pPr>
      <w:r>
        <w:rPr>
          <w:rFonts w:hint="eastAsia" w:ascii="Times New Roman" w:hAnsi="Times New Roman" w:eastAsia="黑体"/>
          <w:sz w:val="30"/>
        </w:rPr>
        <w:t>2</w:t>
      </w:r>
      <w:r>
        <w:rPr>
          <w:rFonts w:ascii="Times New Roman" w:hAnsi="Times New Roman" w:eastAsia="黑体"/>
          <w:sz w:val="30"/>
        </w:rPr>
        <w:t>020</w:t>
      </w:r>
      <w:r>
        <w:rPr>
          <w:rFonts w:hint="eastAsia" w:ascii="Times New Roman" w:hAnsi="Times New Roman" w:eastAsia="黑体"/>
          <w:sz w:val="30"/>
        </w:rPr>
        <w:t>年4月1日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CA4DDD"/>
    <w:multiLevelType w:val="multilevel"/>
    <w:tmpl w:val="08CA4DDD"/>
    <w:lvl w:ilvl="0" w:tentative="0">
      <w:start w:val="1"/>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3YTlhMTkzNTU0OWNmMmJmNDEyMGYxMjBmZjY4ODUifQ=="/>
  </w:docVars>
  <w:rsids>
    <w:rsidRoot w:val="004F4491"/>
    <w:rsid w:val="00043ABF"/>
    <w:rsid w:val="00172E5C"/>
    <w:rsid w:val="00177366"/>
    <w:rsid w:val="00192C60"/>
    <w:rsid w:val="00292ACD"/>
    <w:rsid w:val="00295131"/>
    <w:rsid w:val="002B35FB"/>
    <w:rsid w:val="00305DC4"/>
    <w:rsid w:val="00357E28"/>
    <w:rsid w:val="00382BA0"/>
    <w:rsid w:val="00441E90"/>
    <w:rsid w:val="004E420A"/>
    <w:rsid w:val="004F4491"/>
    <w:rsid w:val="004F4BAC"/>
    <w:rsid w:val="004F7BBF"/>
    <w:rsid w:val="00563CD1"/>
    <w:rsid w:val="00564A83"/>
    <w:rsid w:val="005A7364"/>
    <w:rsid w:val="005C248D"/>
    <w:rsid w:val="00714203"/>
    <w:rsid w:val="00733B4E"/>
    <w:rsid w:val="007F3A4B"/>
    <w:rsid w:val="00933224"/>
    <w:rsid w:val="00986720"/>
    <w:rsid w:val="009D3D06"/>
    <w:rsid w:val="00A635F5"/>
    <w:rsid w:val="00A93255"/>
    <w:rsid w:val="00AF533C"/>
    <w:rsid w:val="00B35178"/>
    <w:rsid w:val="00BA0AF3"/>
    <w:rsid w:val="00BA2C2E"/>
    <w:rsid w:val="00C24428"/>
    <w:rsid w:val="00CE71C2"/>
    <w:rsid w:val="00D7615D"/>
    <w:rsid w:val="00E77961"/>
    <w:rsid w:val="00F26D22"/>
    <w:rsid w:val="00F65C90"/>
    <w:rsid w:val="00FE46AC"/>
    <w:rsid w:val="0905460B"/>
    <w:rsid w:val="09FF4913"/>
    <w:rsid w:val="18F32D68"/>
    <w:rsid w:val="2CB01B6A"/>
    <w:rsid w:val="32FD7779"/>
    <w:rsid w:val="38E75FE8"/>
    <w:rsid w:val="51A82947"/>
    <w:rsid w:val="5BDF28AB"/>
    <w:rsid w:val="5F830A1F"/>
    <w:rsid w:val="76F95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0"/>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4853</Words>
  <Characters>5221</Characters>
  <Lines>39</Lines>
  <Paragraphs>11</Paragraphs>
  <TotalTime>42</TotalTime>
  <ScaleCrop>false</ScaleCrop>
  <LinksUpToDate>false</LinksUpToDate>
  <CharactersWithSpaces>5263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2020-03-29T03:30:00Z</dcterms:created>
  <dc:creator>丁 启骏</dc:creator>
  <cp:lastModifiedBy>姣^o^</cp:lastModifiedBy>
  <dcterms:modified xsi:type="dcterms:W3CDTF">2022-05-12T03:25:30Z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E43EC3E9D42949B88260DFAC09A78C6D</vt:lpwstr>
  </property>
  <property fmtid="{D5CDD505-2E9C-101B-9397-08002B2CF9AE}" pid="4" name="commondata">
    <vt:lpwstr>eyJoZGlkIjoiMWM3YTlhMTkzNTU0OWNmMmJmNDEyMGYxMjBmZjY4ODUifQ==</vt:lpwstr>
  </property>
</Properties>
</file>