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A04" w:rsidRDefault="003F2A04" w:rsidP="003F2A04">
      <w:pPr>
        <w:jc w:val="left"/>
        <w:rPr>
          <w:rFonts w:ascii="黑体" w:eastAsia="黑体" w:hAnsi="黑体" w:cs="黑体"/>
          <w:kern w:val="0"/>
        </w:rPr>
      </w:pPr>
    </w:p>
    <w:p w:rsidR="003F2A04" w:rsidRDefault="003F2A04" w:rsidP="003F2A04">
      <w:pPr>
        <w:spacing w:line="560" w:lineRule="exact"/>
        <w:jc w:val="center"/>
        <w:rPr>
          <w:rFonts w:eastAsia="方正小标宋简体"/>
          <w:kern w:val="0"/>
          <w:sz w:val="40"/>
          <w:szCs w:val="40"/>
        </w:rPr>
      </w:pPr>
      <w:r>
        <w:rPr>
          <w:rFonts w:ascii="仿宋" w:eastAsia="仿宋" w:hAnsi="仿宋" w:cs="仿宋" w:hint="eastAsia"/>
          <w:kern w:val="0"/>
          <w:sz w:val="40"/>
          <w:szCs w:val="40"/>
        </w:rPr>
        <w:t>2019</w:t>
      </w:r>
      <w:r>
        <w:rPr>
          <w:rFonts w:eastAsia="方正小标宋简体" w:hint="eastAsia"/>
          <w:kern w:val="0"/>
          <w:sz w:val="40"/>
          <w:szCs w:val="40"/>
        </w:rPr>
        <w:t>年度</w:t>
      </w:r>
      <w:r>
        <w:rPr>
          <w:rFonts w:eastAsia="方正小标宋简体"/>
          <w:kern w:val="0"/>
          <w:sz w:val="40"/>
          <w:szCs w:val="40"/>
        </w:rPr>
        <w:t>部门整体支出绩效</w:t>
      </w:r>
      <w:r>
        <w:rPr>
          <w:rFonts w:eastAsia="方正小标宋简体" w:hint="eastAsia"/>
          <w:kern w:val="0"/>
          <w:sz w:val="40"/>
          <w:szCs w:val="40"/>
        </w:rPr>
        <w:t>自</w:t>
      </w:r>
      <w:r>
        <w:rPr>
          <w:rFonts w:eastAsia="方正小标宋简体"/>
          <w:kern w:val="0"/>
          <w:sz w:val="40"/>
          <w:szCs w:val="40"/>
        </w:rPr>
        <w:t>评表</w:t>
      </w:r>
    </w:p>
    <w:p w:rsidR="003F2A04" w:rsidRDefault="003F2A04" w:rsidP="003F2A04">
      <w:pPr>
        <w:spacing w:line="240" w:lineRule="auto"/>
        <w:jc w:val="center"/>
        <w:rPr>
          <w:rFonts w:asciiTheme="minorEastAsia" w:eastAsiaTheme="minorEastAsia" w:hAnsiTheme="minorEastAsia" w:cstheme="minorEastAsia"/>
          <w:kern w:val="0"/>
          <w:sz w:val="21"/>
          <w:szCs w:val="21"/>
        </w:rPr>
      </w:pPr>
    </w:p>
    <w:tbl>
      <w:tblPr>
        <w:tblW w:w="9063" w:type="dxa"/>
        <w:jc w:val="center"/>
        <w:tblInd w:w="2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rsidR="003F2A04" w:rsidTr="003D0349">
        <w:trPr>
          <w:trHeight w:val="539"/>
          <w:jc w:val="center"/>
        </w:trPr>
        <w:tc>
          <w:tcPr>
            <w:tcW w:w="1689" w:type="dxa"/>
            <w:gridSpan w:val="5"/>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Pr="003F2A04">
              <w:rPr>
                <w:rFonts w:asciiTheme="minorEastAsia" w:eastAsiaTheme="minorEastAsia" w:hAnsiTheme="minorEastAsia" w:cstheme="minorEastAsia" w:hint="eastAsia"/>
                <w:color w:val="000000"/>
                <w:sz w:val="18"/>
                <w:szCs w:val="21"/>
              </w:rPr>
              <w:t>中共长沙市望城区委机构编制委员会办公室</w:t>
            </w:r>
          </w:p>
        </w:tc>
        <w:tc>
          <w:tcPr>
            <w:tcW w:w="2102" w:type="dxa"/>
            <w:gridSpan w:val="3"/>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w:t>
            </w:r>
          </w:p>
        </w:tc>
      </w:tr>
      <w:tr w:rsidR="003F2A04" w:rsidTr="003D0349">
        <w:trPr>
          <w:trHeight w:val="539"/>
          <w:jc w:val="center"/>
        </w:trPr>
        <w:tc>
          <w:tcPr>
            <w:tcW w:w="1689" w:type="dxa"/>
            <w:gridSpan w:val="5"/>
            <w:vMerge w:val="restart"/>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项目</w:t>
            </w:r>
          </w:p>
        </w:tc>
        <w:tc>
          <w:tcPr>
            <w:tcW w:w="2309" w:type="dxa"/>
            <w:gridSpan w:val="4"/>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执行率</w:t>
            </w:r>
          </w:p>
        </w:tc>
      </w:tr>
      <w:tr w:rsidR="003F2A04" w:rsidTr="003D0349">
        <w:trPr>
          <w:trHeight w:val="539"/>
          <w:jc w:val="center"/>
        </w:trPr>
        <w:tc>
          <w:tcPr>
            <w:tcW w:w="1689" w:type="dxa"/>
            <w:gridSpan w:val="5"/>
            <w:vMerge/>
            <w:tcBorders>
              <w:tl2br w:val="nil"/>
              <w:tr2bl w:val="nil"/>
            </w:tcBorders>
            <w:vAlign w:val="center"/>
          </w:tcPr>
          <w:p w:rsidR="003F2A04" w:rsidRDefault="003F2A04" w:rsidP="003D0349">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来</w:t>
            </w:r>
          </w:p>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源</w:t>
            </w:r>
          </w:p>
          <w:p w:rsidR="003F2A04" w:rsidRDefault="003F2A04" w:rsidP="003D0349">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3F2A04" w:rsidRDefault="00DC6B38"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3007529.37元</w:t>
            </w:r>
          </w:p>
        </w:tc>
        <w:tc>
          <w:tcPr>
            <w:tcW w:w="2310" w:type="dxa"/>
            <w:gridSpan w:val="2"/>
            <w:tcBorders>
              <w:tl2br w:val="nil"/>
              <w:tr2bl w:val="nil"/>
            </w:tcBorders>
            <w:tcMar>
              <w:top w:w="15" w:type="dxa"/>
              <w:left w:w="15" w:type="dxa"/>
              <w:bottom w:w="0" w:type="dxa"/>
              <w:right w:w="15" w:type="dxa"/>
            </w:tcMar>
            <w:vAlign w:val="center"/>
          </w:tcPr>
          <w:p w:rsidR="003F2A04" w:rsidRDefault="007B7DCE"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3007529.37元</w:t>
            </w:r>
          </w:p>
        </w:tc>
        <w:tc>
          <w:tcPr>
            <w:tcW w:w="595" w:type="dxa"/>
            <w:tcBorders>
              <w:tl2br w:val="nil"/>
              <w:tr2bl w:val="nil"/>
            </w:tcBorders>
            <w:tcMar>
              <w:top w:w="15" w:type="dxa"/>
              <w:left w:w="15" w:type="dxa"/>
              <w:bottom w:w="0" w:type="dxa"/>
              <w:right w:w="15" w:type="dxa"/>
            </w:tcMar>
            <w:vAlign w:val="center"/>
          </w:tcPr>
          <w:p w:rsidR="003F2A04" w:rsidRDefault="003F2A04" w:rsidP="00DC6B38">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5719CC">
              <w:rPr>
                <w:rFonts w:asciiTheme="minorEastAsia" w:eastAsiaTheme="minorEastAsia" w:hAnsiTheme="minorEastAsia" w:cstheme="minorEastAsia" w:hint="eastAsia"/>
                <w:color w:val="000000"/>
                <w:sz w:val="21"/>
                <w:szCs w:val="21"/>
              </w:rPr>
              <w:t>1</w:t>
            </w:r>
            <w:r w:rsidR="00DC6B38">
              <w:rPr>
                <w:rFonts w:asciiTheme="minorEastAsia" w:eastAsiaTheme="minorEastAsia" w:hAnsiTheme="minorEastAsia" w:cstheme="minorEastAsia" w:hint="eastAsia"/>
                <w:color w:val="000000"/>
                <w:sz w:val="21"/>
                <w:szCs w:val="21"/>
              </w:rPr>
              <w:t>00</w:t>
            </w:r>
            <w:r w:rsidR="005719CC">
              <w:rPr>
                <w:rFonts w:asciiTheme="minorEastAsia" w:eastAsiaTheme="minorEastAsia" w:hAnsiTheme="minorEastAsia" w:cstheme="minorEastAsia" w:hint="eastAsia"/>
                <w:color w:val="000000"/>
                <w:sz w:val="21"/>
                <w:szCs w:val="21"/>
              </w:rPr>
              <w:t>%</w:t>
            </w:r>
          </w:p>
        </w:tc>
      </w:tr>
      <w:tr w:rsidR="003F2A04" w:rsidTr="003D0349">
        <w:trPr>
          <w:trHeight w:val="539"/>
          <w:jc w:val="center"/>
        </w:trPr>
        <w:tc>
          <w:tcPr>
            <w:tcW w:w="1689" w:type="dxa"/>
            <w:gridSpan w:val="5"/>
            <w:vMerge/>
            <w:tcBorders>
              <w:tl2br w:val="nil"/>
              <w:tr2bl w:val="nil"/>
            </w:tcBorders>
            <w:vAlign w:val="center"/>
          </w:tcPr>
          <w:p w:rsidR="003F2A04" w:rsidRDefault="003F2A04" w:rsidP="003D0349">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rsidR="003F2A04" w:rsidRDefault="00DC6B38"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3007529.37元</w:t>
            </w:r>
          </w:p>
        </w:tc>
        <w:tc>
          <w:tcPr>
            <w:tcW w:w="2310" w:type="dxa"/>
            <w:gridSpan w:val="2"/>
            <w:tcBorders>
              <w:tl2br w:val="nil"/>
              <w:tr2bl w:val="nil"/>
            </w:tcBorders>
            <w:tcMar>
              <w:top w:w="15" w:type="dxa"/>
              <w:left w:w="15" w:type="dxa"/>
              <w:bottom w:w="0" w:type="dxa"/>
              <w:right w:w="15" w:type="dxa"/>
            </w:tcMar>
            <w:vAlign w:val="center"/>
          </w:tcPr>
          <w:p w:rsidR="003F2A04" w:rsidRDefault="007B7DCE"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3007529.37元</w:t>
            </w:r>
          </w:p>
        </w:tc>
        <w:tc>
          <w:tcPr>
            <w:tcW w:w="595" w:type="dxa"/>
            <w:tcBorders>
              <w:tl2br w:val="nil"/>
              <w:tr2bl w:val="nil"/>
            </w:tcBorders>
            <w:tcMar>
              <w:top w:w="15" w:type="dxa"/>
              <w:left w:w="15" w:type="dxa"/>
              <w:bottom w:w="0" w:type="dxa"/>
              <w:right w:w="15" w:type="dxa"/>
            </w:tcMar>
            <w:vAlign w:val="center"/>
          </w:tcPr>
          <w:p w:rsidR="003F2A04" w:rsidRDefault="005719CC" w:rsidP="00DC6B38">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10</w:t>
            </w:r>
            <w:r w:rsidR="00DC6B38">
              <w:rPr>
                <w:rFonts w:asciiTheme="minorEastAsia" w:eastAsiaTheme="minorEastAsia" w:hAnsiTheme="minorEastAsia" w:cstheme="minorEastAsia" w:hint="eastAsia"/>
                <w:color w:val="000000"/>
                <w:sz w:val="21"/>
                <w:szCs w:val="21"/>
              </w:rPr>
              <w:t>0</w:t>
            </w:r>
            <w:r>
              <w:rPr>
                <w:rFonts w:asciiTheme="minorEastAsia" w:eastAsiaTheme="minorEastAsia" w:hAnsiTheme="minorEastAsia" w:cstheme="minorEastAsia" w:hint="eastAsia"/>
                <w:color w:val="000000"/>
                <w:sz w:val="21"/>
                <w:szCs w:val="21"/>
              </w:rPr>
              <w:t>%</w:t>
            </w:r>
          </w:p>
        </w:tc>
      </w:tr>
      <w:tr w:rsidR="003F2A04" w:rsidTr="003D0349">
        <w:trPr>
          <w:trHeight w:val="539"/>
          <w:jc w:val="center"/>
        </w:trPr>
        <w:tc>
          <w:tcPr>
            <w:tcW w:w="1689" w:type="dxa"/>
            <w:gridSpan w:val="5"/>
            <w:vMerge/>
            <w:tcBorders>
              <w:tl2br w:val="nil"/>
              <w:tr2bl w:val="nil"/>
            </w:tcBorders>
            <w:vAlign w:val="center"/>
          </w:tcPr>
          <w:p w:rsidR="003F2A04" w:rsidRDefault="003F2A04" w:rsidP="003D0349">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c>
          <w:tcPr>
            <w:tcW w:w="2310" w:type="dxa"/>
            <w:gridSpan w:val="2"/>
            <w:tcBorders>
              <w:tl2br w:val="nil"/>
              <w:tr2bl w:val="nil"/>
            </w:tcBorders>
            <w:tcMar>
              <w:top w:w="15" w:type="dxa"/>
              <w:left w:w="15" w:type="dxa"/>
              <w:bottom w:w="0" w:type="dxa"/>
              <w:right w:w="15" w:type="dxa"/>
            </w:tcMar>
            <w:vAlign w:val="center"/>
          </w:tcPr>
          <w:p w:rsidR="003F2A04" w:rsidRDefault="007B7DCE"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c>
          <w:tcPr>
            <w:tcW w:w="595" w:type="dxa"/>
            <w:tcBorders>
              <w:tl2br w:val="nil"/>
              <w:tr2bl w:val="nil"/>
            </w:tcBorders>
            <w:tcMar>
              <w:top w:w="15" w:type="dxa"/>
              <w:left w:w="15" w:type="dxa"/>
              <w:bottom w:w="0" w:type="dxa"/>
              <w:right w:w="15" w:type="dxa"/>
            </w:tcMar>
            <w:vAlign w:val="center"/>
          </w:tcPr>
          <w:p w:rsidR="003F2A04" w:rsidRDefault="003F2A04" w:rsidP="003D0349">
            <w:pPr>
              <w:spacing w:line="250" w:lineRule="exact"/>
              <w:rPr>
                <w:rFonts w:asciiTheme="minorEastAsia" w:eastAsiaTheme="minorEastAsia" w:hAnsiTheme="minorEastAsia" w:cstheme="minorEastAsia"/>
                <w:color w:val="000000"/>
                <w:sz w:val="21"/>
                <w:szCs w:val="21"/>
              </w:rPr>
            </w:pPr>
          </w:p>
        </w:tc>
      </w:tr>
      <w:tr w:rsidR="003F2A04" w:rsidTr="003D0349">
        <w:trPr>
          <w:trHeight w:val="539"/>
          <w:jc w:val="center"/>
        </w:trPr>
        <w:tc>
          <w:tcPr>
            <w:tcW w:w="1689" w:type="dxa"/>
            <w:gridSpan w:val="5"/>
            <w:vMerge/>
            <w:tcBorders>
              <w:tl2br w:val="nil"/>
              <w:tr2bl w:val="nil"/>
            </w:tcBorders>
            <w:vAlign w:val="center"/>
          </w:tcPr>
          <w:p w:rsidR="003F2A04" w:rsidRDefault="003F2A04" w:rsidP="003D0349">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结</w:t>
            </w:r>
          </w:p>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构</w:t>
            </w:r>
          </w:p>
          <w:p w:rsidR="003F2A04" w:rsidRDefault="003F2A04" w:rsidP="003D0349">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c>
          <w:tcPr>
            <w:tcW w:w="2310" w:type="dxa"/>
            <w:gridSpan w:val="2"/>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c>
          <w:tcPr>
            <w:tcW w:w="595" w:type="dxa"/>
            <w:tcBorders>
              <w:tl2br w:val="nil"/>
              <w:tr2bl w:val="nil"/>
            </w:tcBorders>
            <w:tcMar>
              <w:top w:w="15" w:type="dxa"/>
              <w:left w:w="15" w:type="dxa"/>
              <w:bottom w:w="0" w:type="dxa"/>
              <w:right w:w="15" w:type="dxa"/>
            </w:tcMar>
            <w:vAlign w:val="center"/>
          </w:tcPr>
          <w:p w:rsidR="003F2A04" w:rsidRDefault="003F2A04" w:rsidP="003D0349">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69733D" w:rsidTr="003D0349">
        <w:trPr>
          <w:trHeight w:val="539"/>
          <w:jc w:val="center"/>
        </w:trPr>
        <w:tc>
          <w:tcPr>
            <w:tcW w:w="1689" w:type="dxa"/>
            <w:gridSpan w:val="5"/>
            <w:vMerge/>
            <w:tcBorders>
              <w:tl2br w:val="nil"/>
              <w:tr2bl w:val="nil"/>
            </w:tcBorders>
            <w:vAlign w:val="center"/>
          </w:tcPr>
          <w:p w:rsidR="0069733D" w:rsidRDefault="0069733D" w:rsidP="003D0349">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69733D" w:rsidRDefault="0069733D" w:rsidP="003D0349">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69733D" w:rsidRDefault="0069733D"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rsidR="0069733D" w:rsidRDefault="0069733D"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2292446元</w:t>
            </w:r>
          </w:p>
        </w:tc>
        <w:tc>
          <w:tcPr>
            <w:tcW w:w="2310" w:type="dxa"/>
            <w:gridSpan w:val="2"/>
            <w:tcBorders>
              <w:tl2br w:val="nil"/>
              <w:tr2bl w:val="nil"/>
            </w:tcBorders>
            <w:tcMar>
              <w:top w:w="15" w:type="dxa"/>
              <w:left w:w="15" w:type="dxa"/>
              <w:bottom w:w="0" w:type="dxa"/>
              <w:right w:w="15" w:type="dxa"/>
            </w:tcMar>
            <w:vAlign w:val="center"/>
          </w:tcPr>
          <w:p w:rsidR="0069733D" w:rsidRDefault="0069733D"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2292446元</w:t>
            </w:r>
          </w:p>
        </w:tc>
        <w:tc>
          <w:tcPr>
            <w:tcW w:w="595" w:type="dxa"/>
            <w:tcBorders>
              <w:tl2br w:val="nil"/>
              <w:tr2bl w:val="nil"/>
            </w:tcBorders>
            <w:tcMar>
              <w:top w:w="15" w:type="dxa"/>
              <w:left w:w="15" w:type="dxa"/>
              <w:bottom w:w="0" w:type="dxa"/>
              <w:right w:w="15" w:type="dxa"/>
            </w:tcMar>
            <w:vAlign w:val="center"/>
          </w:tcPr>
          <w:p w:rsidR="0069733D" w:rsidRDefault="0069733D" w:rsidP="0069733D">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100%</w:t>
            </w:r>
          </w:p>
        </w:tc>
      </w:tr>
      <w:tr w:rsidR="0069733D" w:rsidTr="003D0349">
        <w:trPr>
          <w:trHeight w:val="539"/>
          <w:jc w:val="center"/>
        </w:trPr>
        <w:tc>
          <w:tcPr>
            <w:tcW w:w="1689" w:type="dxa"/>
            <w:gridSpan w:val="5"/>
            <w:vMerge/>
            <w:tcBorders>
              <w:tl2br w:val="nil"/>
              <w:tr2bl w:val="nil"/>
            </w:tcBorders>
            <w:vAlign w:val="center"/>
          </w:tcPr>
          <w:p w:rsidR="0069733D" w:rsidRDefault="0069733D" w:rsidP="003D0349">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69733D" w:rsidRDefault="0069733D" w:rsidP="003D0349">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69733D" w:rsidRDefault="0069733D" w:rsidP="003D0349">
            <w:pPr>
              <w:tabs>
                <w:tab w:val="left" w:pos="567"/>
              </w:tabs>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rsidR="0069733D" w:rsidRDefault="0069733D"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715083.37元</w:t>
            </w:r>
          </w:p>
        </w:tc>
        <w:tc>
          <w:tcPr>
            <w:tcW w:w="2310" w:type="dxa"/>
            <w:gridSpan w:val="2"/>
            <w:tcBorders>
              <w:tl2br w:val="nil"/>
              <w:tr2bl w:val="nil"/>
            </w:tcBorders>
            <w:tcMar>
              <w:top w:w="15" w:type="dxa"/>
              <w:left w:w="15" w:type="dxa"/>
              <w:bottom w:w="0" w:type="dxa"/>
              <w:right w:w="15" w:type="dxa"/>
            </w:tcMar>
            <w:vAlign w:val="center"/>
          </w:tcPr>
          <w:p w:rsidR="0069733D" w:rsidRDefault="0069733D"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715083.37元</w:t>
            </w:r>
          </w:p>
        </w:tc>
        <w:tc>
          <w:tcPr>
            <w:tcW w:w="595" w:type="dxa"/>
            <w:tcBorders>
              <w:tl2br w:val="nil"/>
              <w:tr2bl w:val="nil"/>
            </w:tcBorders>
            <w:tcMar>
              <w:top w:w="15" w:type="dxa"/>
              <w:left w:w="15" w:type="dxa"/>
              <w:bottom w:w="0" w:type="dxa"/>
              <w:right w:w="15" w:type="dxa"/>
            </w:tcMar>
            <w:vAlign w:val="center"/>
          </w:tcPr>
          <w:p w:rsidR="0069733D" w:rsidRDefault="0069733D" w:rsidP="005719CC">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100%</w:t>
            </w:r>
          </w:p>
        </w:tc>
      </w:tr>
      <w:tr w:rsidR="003F2A04" w:rsidTr="003D0349">
        <w:trPr>
          <w:trHeight w:val="628"/>
          <w:jc w:val="center"/>
        </w:trPr>
        <w:tc>
          <w:tcPr>
            <w:tcW w:w="1097" w:type="dxa"/>
            <w:gridSpan w:val="3"/>
            <w:vMerge w:val="restart"/>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年度总</w:t>
            </w:r>
          </w:p>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rsidR="003F2A04" w:rsidRDefault="003F2A04" w:rsidP="003D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全年完成情况</w:t>
            </w:r>
          </w:p>
        </w:tc>
      </w:tr>
      <w:tr w:rsidR="003F2A04" w:rsidTr="003D0349">
        <w:trPr>
          <w:trHeight w:val="1350"/>
          <w:jc w:val="center"/>
        </w:trPr>
        <w:tc>
          <w:tcPr>
            <w:tcW w:w="1097" w:type="dxa"/>
            <w:gridSpan w:val="3"/>
            <w:vMerge/>
            <w:tcBorders>
              <w:tl2br w:val="nil"/>
              <w:tr2bl w:val="nil"/>
            </w:tcBorders>
            <w:vAlign w:val="center"/>
          </w:tcPr>
          <w:p w:rsidR="003F2A04" w:rsidRDefault="003F2A04" w:rsidP="003D0349">
            <w:pPr>
              <w:spacing w:line="250" w:lineRule="exact"/>
              <w:rPr>
                <w:rFonts w:asciiTheme="minorEastAsia" w:eastAsiaTheme="minorEastAsia" w:hAnsi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rsidR="003F2A04" w:rsidRDefault="003F2A04" w:rsidP="007B7DCE">
            <w:pPr>
              <w:spacing w:line="250" w:lineRule="exact"/>
              <w:jc w:val="left"/>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 xml:space="preserve">　</w:t>
            </w:r>
            <w:r w:rsidR="007B7DCE">
              <w:rPr>
                <w:rFonts w:asciiTheme="minorEastAsia" w:eastAsiaTheme="minorEastAsia" w:hAnsiTheme="minorEastAsia" w:cstheme="minorEastAsia" w:hint="eastAsia"/>
                <w:color w:val="000000"/>
                <w:sz w:val="18"/>
                <w:szCs w:val="18"/>
              </w:rPr>
              <w:t>完成党政机构改革，完成承担行政职能事业单位改革，深化乡镇（街道）机构改革，推进综合行政执法改革，规范编制管理，调整优化编制资源，优化事业单位登记管理服务。</w:t>
            </w:r>
          </w:p>
        </w:tc>
        <w:tc>
          <w:tcPr>
            <w:tcW w:w="3983" w:type="dxa"/>
            <w:gridSpan w:val="6"/>
            <w:tcBorders>
              <w:tl2br w:val="nil"/>
              <w:tr2bl w:val="nil"/>
            </w:tcBorders>
            <w:tcMar>
              <w:top w:w="15" w:type="dxa"/>
              <w:left w:w="15" w:type="dxa"/>
              <w:bottom w:w="0" w:type="dxa"/>
              <w:right w:w="15" w:type="dxa"/>
            </w:tcMar>
            <w:vAlign w:val="center"/>
          </w:tcPr>
          <w:p w:rsidR="003F2A04" w:rsidRDefault="003F2A04" w:rsidP="00A94BE3">
            <w:pPr>
              <w:spacing w:line="250" w:lineRule="exact"/>
              <w:jc w:val="left"/>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 xml:space="preserve">　</w:t>
            </w:r>
            <w:r w:rsidR="00A94BE3">
              <w:rPr>
                <w:rFonts w:asciiTheme="minorEastAsia" w:eastAsiaTheme="minorEastAsia" w:hAnsiTheme="minorEastAsia" w:cstheme="minorEastAsia" w:hint="eastAsia"/>
                <w:color w:val="000000"/>
                <w:sz w:val="18"/>
                <w:szCs w:val="18"/>
              </w:rPr>
              <w:t>全面完成党政机构改革和承担行政职能事业单位改革，完成乡镇（街道）机构改革，</w:t>
            </w:r>
            <w:r w:rsidR="005719CC">
              <w:rPr>
                <w:rFonts w:asciiTheme="minorEastAsia" w:eastAsiaTheme="minorEastAsia" w:hAnsiTheme="minorEastAsia" w:cstheme="minorEastAsia" w:hint="eastAsia"/>
                <w:color w:val="000000"/>
                <w:sz w:val="18"/>
                <w:szCs w:val="18"/>
              </w:rPr>
              <w:t>稳步推进综合行政执法改革，合理配置编制资源，</w:t>
            </w:r>
            <w:r w:rsidR="005719CC" w:rsidRPr="005719CC">
              <w:rPr>
                <w:rFonts w:asciiTheme="minorEastAsia" w:eastAsiaTheme="minorEastAsia" w:hAnsiTheme="minorEastAsia" w:cstheme="minorEastAsia" w:hint="eastAsia"/>
                <w:color w:val="000000"/>
                <w:sz w:val="18"/>
                <w:szCs w:val="18"/>
              </w:rPr>
              <w:t>本年度圆满完成388家事业单位法人年审及公示工作</w:t>
            </w:r>
            <w:r w:rsidR="005719CC">
              <w:rPr>
                <w:rFonts w:asciiTheme="minorEastAsia" w:eastAsiaTheme="minorEastAsia" w:hAnsiTheme="minorEastAsia" w:cstheme="minorEastAsia" w:hint="eastAsia"/>
                <w:color w:val="000000"/>
                <w:sz w:val="18"/>
                <w:szCs w:val="18"/>
              </w:rPr>
              <w:t>。</w:t>
            </w:r>
          </w:p>
        </w:tc>
      </w:tr>
      <w:tr w:rsidR="003F2A04" w:rsidTr="003D0349">
        <w:trPr>
          <w:trHeight w:val="451"/>
          <w:jc w:val="center"/>
        </w:trPr>
        <w:tc>
          <w:tcPr>
            <w:tcW w:w="9063" w:type="dxa"/>
            <w:gridSpan w:val="17"/>
            <w:tcBorders>
              <w:tl2br w:val="nil"/>
              <w:tr2bl w:val="nil"/>
            </w:tcBorders>
            <w:vAlign w:val="center"/>
          </w:tcPr>
          <w:p w:rsidR="003F2A04" w:rsidRDefault="003F2A04" w:rsidP="003D0349">
            <w:pPr>
              <w:spacing w:line="250" w:lineRule="exact"/>
              <w:jc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分解目标自评</w:t>
            </w:r>
          </w:p>
        </w:tc>
      </w:tr>
      <w:tr w:rsidR="003F2A04" w:rsidTr="003D0349">
        <w:tblPrEx>
          <w:tblCellMar>
            <w:left w:w="28" w:type="dxa"/>
            <w:right w:w="28" w:type="dxa"/>
          </w:tblCellMar>
        </w:tblPrEx>
        <w:trPr>
          <w:tblHeader/>
          <w:jc w:val="center"/>
        </w:trPr>
        <w:tc>
          <w:tcPr>
            <w:tcW w:w="503" w:type="dxa"/>
            <w:tcBorders>
              <w:tl2br w:val="nil"/>
              <w:tr2bl w:val="nil"/>
            </w:tcBorders>
            <w:vAlign w:val="center"/>
          </w:tcPr>
          <w:p w:rsidR="003F2A04" w:rsidRDefault="003F2A04" w:rsidP="003D0349">
            <w:pPr>
              <w:spacing w:line="240" w:lineRule="auto"/>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一级指标</w:t>
            </w:r>
          </w:p>
        </w:tc>
        <w:tc>
          <w:tcPr>
            <w:tcW w:w="503" w:type="dxa"/>
            <w:tcBorders>
              <w:tl2br w:val="nil"/>
              <w:tr2bl w:val="nil"/>
            </w:tcBorders>
            <w:vAlign w:val="center"/>
          </w:tcPr>
          <w:p w:rsidR="003F2A04" w:rsidRDefault="003F2A04" w:rsidP="003D034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503" w:type="dxa"/>
            <w:gridSpan w:val="2"/>
            <w:tcBorders>
              <w:tl2br w:val="nil"/>
              <w:tr2bl w:val="nil"/>
            </w:tcBorders>
            <w:vAlign w:val="center"/>
          </w:tcPr>
          <w:p w:rsidR="003F2A04" w:rsidRDefault="003F2A04" w:rsidP="003D034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二级</w:t>
            </w:r>
          </w:p>
          <w:p w:rsidR="003F2A04" w:rsidRDefault="003F2A04" w:rsidP="003D034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03" w:type="dxa"/>
            <w:gridSpan w:val="2"/>
            <w:tcBorders>
              <w:tl2br w:val="nil"/>
              <w:tr2bl w:val="nil"/>
            </w:tcBorders>
            <w:vAlign w:val="center"/>
          </w:tcPr>
          <w:p w:rsidR="003F2A04" w:rsidRDefault="003F2A04" w:rsidP="003D034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783" w:type="dxa"/>
            <w:gridSpan w:val="2"/>
            <w:tcBorders>
              <w:tl2br w:val="nil"/>
              <w:tr2bl w:val="nil"/>
            </w:tcBorders>
            <w:vAlign w:val="center"/>
          </w:tcPr>
          <w:p w:rsidR="003F2A04" w:rsidRDefault="003F2A04" w:rsidP="003D034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三级</w:t>
            </w:r>
          </w:p>
          <w:p w:rsidR="003F2A04" w:rsidRDefault="003F2A04" w:rsidP="003D034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17" w:type="dxa"/>
            <w:tcBorders>
              <w:tl2br w:val="nil"/>
              <w:tr2bl w:val="nil"/>
            </w:tcBorders>
            <w:vAlign w:val="center"/>
          </w:tcPr>
          <w:p w:rsidR="003F2A04" w:rsidRDefault="003F2A04" w:rsidP="003D034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2483" w:type="dxa"/>
            <w:gridSpan w:val="4"/>
            <w:tcBorders>
              <w:tl2br w:val="nil"/>
              <w:tr2bl w:val="nil"/>
            </w:tcBorders>
            <w:vAlign w:val="center"/>
          </w:tcPr>
          <w:p w:rsidR="003F2A04" w:rsidRDefault="003F2A04" w:rsidP="003D034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评价标准</w:t>
            </w:r>
          </w:p>
        </w:tc>
        <w:tc>
          <w:tcPr>
            <w:tcW w:w="2673" w:type="dxa"/>
            <w:gridSpan w:val="3"/>
            <w:tcBorders>
              <w:tl2br w:val="nil"/>
              <w:tr2bl w:val="nil"/>
            </w:tcBorders>
            <w:vAlign w:val="center"/>
          </w:tcPr>
          <w:p w:rsidR="003F2A04" w:rsidRDefault="003F2A04" w:rsidP="003D034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指标说明</w:t>
            </w:r>
          </w:p>
        </w:tc>
        <w:tc>
          <w:tcPr>
            <w:tcW w:w="595" w:type="dxa"/>
            <w:tcBorders>
              <w:tl2br w:val="nil"/>
              <w:tr2bl w:val="nil"/>
            </w:tcBorders>
            <w:vAlign w:val="center"/>
          </w:tcPr>
          <w:p w:rsidR="003F2A04" w:rsidRDefault="003F2A04" w:rsidP="003D034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得分</w:t>
            </w:r>
          </w:p>
        </w:tc>
      </w:tr>
      <w:tr w:rsidR="003F2A04" w:rsidTr="003D0349">
        <w:tblPrEx>
          <w:tblCellMar>
            <w:left w:w="28" w:type="dxa"/>
            <w:right w:w="28" w:type="dxa"/>
          </w:tblCellMar>
        </w:tblPrEx>
        <w:trPr>
          <w:trHeight w:val="1680"/>
          <w:jc w:val="center"/>
        </w:trPr>
        <w:tc>
          <w:tcPr>
            <w:tcW w:w="503" w:type="dxa"/>
            <w:vMerge w:val="restart"/>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投入</w:t>
            </w:r>
          </w:p>
        </w:tc>
        <w:tc>
          <w:tcPr>
            <w:tcW w:w="503" w:type="dxa"/>
            <w:vMerge w:val="restart"/>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503" w:type="dxa"/>
            <w:gridSpan w:val="2"/>
            <w:vMerge w:val="restart"/>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预算配置</w:t>
            </w:r>
          </w:p>
        </w:tc>
        <w:tc>
          <w:tcPr>
            <w:tcW w:w="503" w:type="dxa"/>
            <w:gridSpan w:val="2"/>
            <w:vMerge w:val="restart"/>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w:t>
            </w:r>
          </w:p>
        </w:tc>
        <w:tc>
          <w:tcPr>
            <w:tcW w:w="517" w:type="dxa"/>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在职人员控制率=（在职人员数/编制数）×100%，在职人员数：部门（单位）实际在职人数，以财政厅确定的部门决算编制口径为准。</w:t>
            </w:r>
            <w:r>
              <w:rPr>
                <w:rFonts w:asciiTheme="minorEastAsia" w:eastAsiaTheme="minorEastAsia" w:hAnsiTheme="minorEastAsia" w:cstheme="minorEastAsia" w:hint="eastAsia"/>
                <w:kern w:val="0"/>
                <w:sz w:val="18"/>
                <w:szCs w:val="18"/>
              </w:rPr>
              <w:br/>
              <w:t>编制数：机构编制部门核定批复的部门（单位）的人员编制数。</w:t>
            </w:r>
          </w:p>
        </w:tc>
        <w:tc>
          <w:tcPr>
            <w:tcW w:w="595" w:type="dxa"/>
            <w:tcBorders>
              <w:tl2br w:val="nil"/>
              <w:tr2bl w:val="nil"/>
            </w:tcBorders>
            <w:vAlign w:val="center"/>
          </w:tcPr>
          <w:p w:rsidR="003F2A04" w:rsidRDefault="00B11A97" w:rsidP="00111682">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F2A04" w:rsidTr="003D0349">
        <w:tblPrEx>
          <w:tblCellMar>
            <w:left w:w="28" w:type="dxa"/>
            <w:right w:w="28" w:type="dxa"/>
          </w:tblCellMar>
        </w:tblPrEx>
        <w:trPr>
          <w:trHeight w:val="1849"/>
          <w:jc w:val="center"/>
        </w:trPr>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w:t>
            </w:r>
          </w:p>
        </w:tc>
        <w:tc>
          <w:tcPr>
            <w:tcW w:w="517" w:type="dxa"/>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“三公经费”变动率≦0,计5分；“三公经费”＞0，每超过一个百分点扣0.8分，扣完为止。</w:t>
            </w:r>
          </w:p>
        </w:tc>
        <w:tc>
          <w:tcPr>
            <w:tcW w:w="2673" w:type="dxa"/>
            <w:gridSpan w:val="3"/>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rsidR="003F2A04" w:rsidRDefault="00B11A97" w:rsidP="00111682">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F2A04" w:rsidTr="003D0349">
        <w:tblPrEx>
          <w:tblCellMar>
            <w:left w:w="28" w:type="dxa"/>
            <w:right w:w="28" w:type="dxa"/>
          </w:tblCellMar>
        </w:tblPrEx>
        <w:trPr>
          <w:trHeight w:val="1560"/>
          <w:jc w:val="center"/>
        </w:trPr>
        <w:tc>
          <w:tcPr>
            <w:tcW w:w="503" w:type="dxa"/>
            <w:vMerge w:val="restart"/>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lastRenderedPageBreak/>
              <w:t>过</w:t>
            </w:r>
          </w:p>
          <w:p w:rsidR="003F2A04" w:rsidRDefault="003F2A04" w:rsidP="003D0349">
            <w:pPr>
              <w:spacing w:line="240" w:lineRule="exact"/>
              <w:jc w:val="center"/>
              <w:rPr>
                <w:rFonts w:asciiTheme="minorEastAsia" w:eastAsiaTheme="minorEastAsia" w:hAnsiTheme="minorEastAsia" w:cstheme="minorEastAsia"/>
                <w:kern w:val="0"/>
                <w:sz w:val="18"/>
                <w:szCs w:val="18"/>
              </w:rPr>
            </w:pPr>
          </w:p>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预算执行</w:t>
            </w:r>
          </w:p>
        </w:tc>
        <w:tc>
          <w:tcPr>
            <w:tcW w:w="503" w:type="dxa"/>
            <w:gridSpan w:val="2"/>
            <w:vMerge w:val="restart"/>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20</w:t>
            </w:r>
          </w:p>
        </w:tc>
        <w:tc>
          <w:tcPr>
            <w:tcW w:w="783" w:type="dxa"/>
            <w:gridSpan w:val="2"/>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w:t>
            </w:r>
          </w:p>
        </w:tc>
        <w:tc>
          <w:tcPr>
            <w:tcW w:w="517" w:type="dxa"/>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100%计满分，每低于5%扣2分，扣完为止。</w:t>
            </w:r>
          </w:p>
        </w:tc>
        <w:tc>
          <w:tcPr>
            <w:tcW w:w="2673" w:type="dxa"/>
            <w:gridSpan w:val="3"/>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rsidR="003F2A04" w:rsidRDefault="00B11A97" w:rsidP="00111682">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F2A04" w:rsidTr="003D0349">
        <w:tblPrEx>
          <w:tblCellMar>
            <w:left w:w="28" w:type="dxa"/>
            <w:right w:w="28" w:type="dxa"/>
          </w:tblCellMar>
        </w:tblPrEx>
        <w:trPr>
          <w:trHeight w:val="1560"/>
          <w:jc w:val="center"/>
        </w:trPr>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w:t>
            </w:r>
          </w:p>
        </w:tc>
        <w:tc>
          <w:tcPr>
            <w:tcW w:w="517" w:type="dxa"/>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预算控制率=0，计5分；0-10%（含），计4分；10-20%（含），计3分；20-30%（含），计2分；大于30%不得分。</w:t>
            </w:r>
          </w:p>
        </w:tc>
        <w:tc>
          <w:tcPr>
            <w:tcW w:w="2673" w:type="dxa"/>
            <w:gridSpan w:val="3"/>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预算控制率=（本年追加预算/年初预算）×100%。</w:t>
            </w:r>
          </w:p>
        </w:tc>
        <w:tc>
          <w:tcPr>
            <w:tcW w:w="595" w:type="dxa"/>
            <w:tcBorders>
              <w:tl2br w:val="nil"/>
              <w:tr2bl w:val="nil"/>
            </w:tcBorders>
            <w:vAlign w:val="center"/>
          </w:tcPr>
          <w:p w:rsidR="003F2A04" w:rsidRDefault="00B11A97" w:rsidP="00111682">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F2A04" w:rsidTr="003D0349">
        <w:tblPrEx>
          <w:tblCellMar>
            <w:left w:w="28" w:type="dxa"/>
            <w:right w:w="28" w:type="dxa"/>
          </w:tblCellMar>
        </w:tblPrEx>
        <w:trPr>
          <w:trHeight w:val="1560"/>
          <w:jc w:val="center"/>
        </w:trPr>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新建楼堂馆所面积控制率</w:t>
            </w:r>
          </w:p>
        </w:tc>
        <w:tc>
          <w:tcPr>
            <w:tcW w:w="517" w:type="dxa"/>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楼堂馆所面积控制率=实际建设面积/批准建设面积×100%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3F2A04" w:rsidRDefault="00B11A97" w:rsidP="00111682">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F2A04" w:rsidTr="003D0349">
        <w:tblPrEx>
          <w:tblCellMar>
            <w:left w:w="28" w:type="dxa"/>
            <w:right w:w="28" w:type="dxa"/>
          </w:tblCellMar>
        </w:tblPrEx>
        <w:trPr>
          <w:trHeight w:val="1560"/>
          <w:jc w:val="center"/>
        </w:trPr>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新建楼堂馆所投资概算控制率</w:t>
            </w:r>
          </w:p>
        </w:tc>
        <w:tc>
          <w:tcPr>
            <w:tcW w:w="517" w:type="dxa"/>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w:t>
            </w:r>
          </w:p>
        </w:tc>
        <w:tc>
          <w:tcPr>
            <w:tcW w:w="2673" w:type="dxa"/>
            <w:gridSpan w:val="3"/>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楼堂馆所投资预算控制率=实际投资金额/批准投资金额×100%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3F2A04" w:rsidRDefault="00B11A97" w:rsidP="00111682">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F2A04" w:rsidTr="003D0349">
        <w:tblPrEx>
          <w:tblCellMar>
            <w:left w:w="28" w:type="dxa"/>
            <w:right w:w="28" w:type="dxa"/>
          </w:tblCellMar>
        </w:tblPrEx>
        <w:trPr>
          <w:trHeight w:val="1560"/>
          <w:jc w:val="center"/>
        </w:trPr>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w:t>
            </w:r>
          </w:p>
        </w:tc>
        <w:tc>
          <w:tcPr>
            <w:tcW w:w="517" w:type="dxa"/>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公用经费控制率=（实际支出公用经费总额/预算安排公用经费总额）×100%。</w:t>
            </w:r>
            <w:r>
              <w:rPr>
                <w:rFonts w:asciiTheme="minorEastAsia" w:eastAsiaTheme="minorEastAsia" w:hAnsiTheme="minorEastAsia" w:cstheme="minorEastAsia" w:hint="eastAsia"/>
                <w:kern w:val="0"/>
                <w:sz w:val="18"/>
                <w:szCs w:val="18"/>
              </w:rPr>
              <w:br/>
              <w:t>公用经费支出是指部门基本支出中的一般商品和服务支出。</w:t>
            </w:r>
          </w:p>
        </w:tc>
        <w:tc>
          <w:tcPr>
            <w:tcW w:w="595" w:type="dxa"/>
            <w:tcBorders>
              <w:tl2br w:val="nil"/>
              <w:tr2bl w:val="nil"/>
            </w:tcBorders>
            <w:vAlign w:val="center"/>
          </w:tcPr>
          <w:p w:rsidR="003F2A04" w:rsidRDefault="00B11A97" w:rsidP="00111682">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w:t>
            </w:r>
          </w:p>
        </w:tc>
      </w:tr>
      <w:tr w:rsidR="003F2A04" w:rsidTr="003D0349">
        <w:tblPrEx>
          <w:tblCellMar>
            <w:left w:w="28" w:type="dxa"/>
            <w:right w:w="28" w:type="dxa"/>
          </w:tblCellMar>
        </w:tblPrEx>
        <w:trPr>
          <w:trHeight w:val="1560"/>
          <w:jc w:val="center"/>
        </w:trPr>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w:t>
            </w:r>
          </w:p>
        </w:tc>
        <w:tc>
          <w:tcPr>
            <w:tcW w:w="517" w:type="dxa"/>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7</w:t>
            </w:r>
          </w:p>
        </w:tc>
        <w:tc>
          <w:tcPr>
            <w:tcW w:w="2483" w:type="dxa"/>
            <w:gridSpan w:val="4"/>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“三公经费”控制率=（“三公经费”实际支出数/“三公经费”预算安排数）×100%。</w:t>
            </w:r>
          </w:p>
        </w:tc>
        <w:tc>
          <w:tcPr>
            <w:tcW w:w="595" w:type="dxa"/>
            <w:tcBorders>
              <w:tl2br w:val="nil"/>
              <w:tr2bl w:val="nil"/>
            </w:tcBorders>
            <w:vAlign w:val="center"/>
          </w:tcPr>
          <w:p w:rsidR="003F2A04" w:rsidRDefault="00B11A97" w:rsidP="00111682">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F2A04" w:rsidTr="003D0349">
        <w:tblPrEx>
          <w:tblCellMar>
            <w:left w:w="28" w:type="dxa"/>
            <w:right w:w="28" w:type="dxa"/>
          </w:tblCellMar>
        </w:tblPrEx>
        <w:trPr>
          <w:trHeight w:val="1560"/>
          <w:jc w:val="center"/>
        </w:trPr>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w:t>
            </w:r>
          </w:p>
        </w:tc>
        <w:tc>
          <w:tcPr>
            <w:tcW w:w="517" w:type="dxa"/>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100%计满分，每超过（降低）5%扣2分。扣完为止。</w:t>
            </w:r>
          </w:p>
        </w:tc>
        <w:tc>
          <w:tcPr>
            <w:tcW w:w="2673" w:type="dxa"/>
            <w:gridSpan w:val="3"/>
            <w:tcBorders>
              <w:tl2br w:val="nil"/>
              <w:tr2bl w:val="nil"/>
            </w:tcBorders>
            <w:vAlign w:val="center"/>
          </w:tcPr>
          <w:p w:rsidR="003F2A04" w:rsidRDefault="003F2A04" w:rsidP="003D034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政府采购执行率=（实际政府采购金额/政府采购预算数）×100%</w:t>
            </w:r>
          </w:p>
        </w:tc>
        <w:tc>
          <w:tcPr>
            <w:tcW w:w="595" w:type="dxa"/>
            <w:tcBorders>
              <w:tl2br w:val="nil"/>
              <w:tr2bl w:val="nil"/>
            </w:tcBorders>
            <w:vAlign w:val="center"/>
          </w:tcPr>
          <w:p w:rsidR="003F2A04" w:rsidRDefault="00B11A97" w:rsidP="00111682">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5</w:t>
            </w:r>
            <w:r w:rsidR="003E672E">
              <w:rPr>
                <w:rFonts w:asciiTheme="minorEastAsia" w:eastAsiaTheme="minorEastAsia" w:hAnsiTheme="minorEastAsia" w:cstheme="minorEastAsia" w:hint="eastAsia"/>
                <w:kern w:val="0"/>
                <w:sz w:val="18"/>
                <w:szCs w:val="18"/>
                <w:shd w:val="clear" w:color="auto" w:fill="FFFFFF"/>
              </w:rPr>
              <w:fldChar w:fldCharType="begin">
                <w:fldData xml:space="preserve">QQAyADgAOAA0ADIANgBBAEUANwBDADYANABEADMARABCADQAQgA1ADEAQgAzAEIAQgBBAEIARAAy
ADcARQAzAA==
</w:fldData>
              </w:fldChar>
            </w:r>
            <w:r w:rsidR="003F2A04">
              <w:rPr>
                <w:rFonts w:asciiTheme="minorEastAsia" w:eastAsiaTheme="minorEastAsia" w:hAnsiTheme="minorEastAsia" w:cstheme="minorEastAsia" w:hint="eastAsia"/>
                <w:kern w:val="0"/>
                <w:sz w:val="18"/>
                <w:szCs w:val="18"/>
                <w:shd w:val="clear" w:color="auto" w:fill="FFFFFF"/>
              </w:rPr>
              <w:instrText>Addin PF9</w:instrText>
            </w:r>
            <w:r w:rsidR="003E672E">
              <w:rPr>
                <w:rFonts w:asciiTheme="minorEastAsia" w:eastAsiaTheme="minorEastAsia" w:hAnsiTheme="minorEastAsia" w:cstheme="minorEastAsia" w:hint="eastAsia"/>
                <w:kern w:val="0"/>
                <w:sz w:val="18"/>
                <w:szCs w:val="18"/>
                <w:shd w:val="clear" w:color="auto" w:fill="FFFFFF"/>
              </w:rPr>
            </w:r>
            <w:r w:rsidR="003E672E">
              <w:rPr>
                <w:rFonts w:asciiTheme="minorEastAsia" w:eastAsiaTheme="minorEastAsia" w:hAnsiTheme="minorEastAsia" w:cstheme="minorEastAsia" w:hint="eastAsia"/>
                <w:kern w:val="0"/>
                <w:sz w:val="18"/>
                <w:szCs w:val="18"/>
                <w:shd w:val="clear" w:color="auto" w:fill="FFFFFF"/>
              </w:rPr>
              <w:fldChar w:fldCharType="end"/>
            </w:r>
          </w:p>
        </w:tc>
      </w:tr>
      <w:tr w:rsidR="003F2A04" w:rsidTr="003D0349">
        <w:tblPrEx>
          <w:tblCellMar>
            <w:left w:w="28" w:type="dxa"/>
            <w:right w:w="28" w:type="dxa"/>
          </w:tblCellMar>
        </w:tblPrEx>
        <w:trPr>
          <w:trHeight w:val="2016"/>
          <w:jc w:val="center"/>
        </w:trPr>
        <w:tc>
          <w:tcPr>
            <w:tcW w:w="503" w:type="dxa"/>
            <w:vMerge/>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管理制度健全性</w:t>
            </w:r>
          </w:p>
        </w:tc>
        <w:tc>
          <w:tcPr>
            <w:tcW w:w="517" w:type="dxa"/>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3F2A04" w:rsidRDefault="003F2A04" w:rsidP="003D0349">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①有内部财务管理制度、会计核算制度等管理制度，2分；</w:t>
            </w:r>
            <w:r>
              <w:rPr>
                <w:rFonts w:asciiTheme="minorEastAsia" w:eastAsiaTheme="minorEastAsia" w:hAnsiTheme="minorEastAsia" w:cstheme="minorEastAsia" w:hint="eastAsia"/>
                <w:kern w:val="0"/>
                <w:sz w:val="18"/>
                <w:szCs w:val="18"/>
              </w:rPr>
              <w:br/>
              <w:t>②有本部门厉行节约制度,2分；</w:t>
            </w:r>
            <w:r>
              <w:rPr>
                <w:rFonts w:asciiTheme="minorEastAsia" w:eastAsiaTheme="minorEastAsia" w:hAnsiTheme="minorEastAsia" w:cstheme="minorEastAsia" w:hint="eastAsia"/>
                <w:kern w:val="0"/>
                <w:sz w:val="18"/>
                <w:szCs w:val="18"/>
              </w:rPr>
              <w:br/>
              <w:t>③相关管理制度合法、合规、完整，2分；④相关管理制度得到有效执行，2分。</w:t>
            </w:r>
          </w:p>
        </w:tc>
        <w:tc>
          <w:tcPr>
            <w:tcW w:w="2673" w:type="dxa"/>
            <w:gridSpan w:val="3"/>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3F2A04" w:rsidRDefault="00111682" w:rsidP="00111682">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F2A04" w:rsidTr="003D0349">
        <w:tblPrEx>
          <w:tblCellMar>
            <w:left w:w="28" w:type="dxa"/>
            <w:right w:w="28" w:type="dxa"/>
          </w:tblCellMar>
        </w:tblPrEx>
        <w:trPr>
          <w:trHeight w:val="2485"/>
          <w:jc w:val="center"/>
        </w:trPr>
        <w:tc>
          <w:tcPr>
            <w:tcW w:w="503" w:type="dxa"/>
            <w:vMerge w:val="restart"/>
            <w:tcBorders>
              <w:tl2br w:val="nil"/>
              <w:tr2bl w:val="nil"/>
            </w:tcBorders>
            <w:vAlign w:val="center"/>
          </w:tcPr>
          <w:p w:rsidR="003F2A04" w:rsidRDefault="003F2A04" w:rsidP="003D034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lastRenderedPageBreak/>
              <w:t>过</w:t>
            </w:r>
          </w:p>
          <w:p w:rsidR="003F2A04" w:rsidRDefault="003F2A04" w:rsidP="003D0349">
            <w:pPr>
              <w:spacing w:line="240" w:lineRule="exact"/>
              <w:jc w:val="center"/>
              <w:rPr>
                <w:rFonts w:asciiTheme="minorEastAsia" w:eastAsiaTheme="minorEastAsia" w:hAnsiTheme="minorEastAsia" w:cstheme="minorEastAsia"/>
                <w:kern w:val="0"/>
                <w:sz w:val="18"/>
                <w:szCs w:val="18"/>
              </w:rPr>
            </w:pPr>
          </w:p>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资金使用合规性</w:t>
            </w:r>
          </w:p>
        </w:tc>
        <w:tc>
          <w:tcPr>
            <w:tcW w:w="517" w:type="dxa"/>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3F2A04" w:rsidRDefault="003F2A04" w:rsidP="003D0349">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Theme="minorEastAsia" w:eastAsiaTheme="minorEastAsia" w:hAnsiTheme="minorEastAsia" w:cstheme="minorEastAsia" w:hint="eastAsia"/>
                <w:kern w:val="0"/>
                <w:sz w:val="18"/>
                <w:szCs w:val="18"/>
              </w:rPr>
              <w:br/>
              <w:t>以上情况每出现一例不符合要求的扣1分，扣完为止。</w:t>
            </w:r>
          </w:p>
        </w:tc>
        <w:tc>
          <w:tcPr>
            <w:tcW w:w="2673" w:type="dxa"/>
            <w:gridSpan w:val="3"/>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3F2A04" w:rsidRDefault="00111682" w:rsidP="00111682">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3F2A04" w:rsidTr="003D0349">
        <w:tblPrEx>
          <w:tblCellMar>
            <w:left w:w="28" w:type="dxa"/>
            <w:right w:w="28" w:type="dxa"/>
          </w:tblCellMar>
        </w:tblPrEx>
        <w:trPr>
          <w:trHeight w:val="1865"/>
          <w:jc w:val="center"/>
        </w:trPr>
        <w:tc>
          <w:tcPr>
            <w:tcW w:w="503"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预决算信息公开性</w:t>
            </w:r>
          </w:p>
        </w:tc>
        <w:tc>
          <w:tcPr>
            <w:tcW w:w="517" w:type="dxa"/>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F2A04" w:rsidRDefault="003F2A04" w:rsidP="003D0349">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预决算信息是指与部门预算、执行、决算、监督、绩效等管理相关的信息。</w:t>
            </w:r>
          </w:p>
        </w:tc>
        <w:tc>
          <w:tcPr>
            <w:tcW w:w="595" w:type="dxa"/>
            <w:tcBorders>
              <w:tl2br w:val="nil"/>
              <w:tr2bl w:val="nil"/>
            </w:tcBorders>
            <w:vAlign w:val="center"/>
          </w:tcPr>
          <w:p w:rsidR="003F2A04" w:rsidRDefault="00111682" w:rsidP="00111682">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F2A04" w:rsidTr="003D0349">
        <w:tblPrEx>
          <w:tblCellMar>
            <w:left w:w="28" w:type="dxa"/>
            <w:right w:w="28" w:type="dxa"/>
          </w:tblCellMar>
        </w:tblPrEx>
        <w:trPr>
          <w:trHeight w:val="1735"/>
          <w:jc w:val="center"/>
        </w:trPr>
        <w:tc>
          <w:tcPr>
            <w:tcW w:w="503" w:type="dxa"/>
            <w:vMerge w:val="restart"/>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产出及效率</w:t>
            </w:r>
          </w:p>
        </w:tc>
        <w:tc>
          <w:tcPr>
            <w:tcW w:w="503" w:type="dxa"/>
            <w:vMerge w:val="restart"/>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30</w:t>
            </w:r>
          </w:p>
        </w:tc>
        <w:tc>
          <w:tcPr>
            <w:tcW w:w="503" w:type="dxa"/>
            <w:gridSpan w:val="2"/>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职责履行</w:t>
            </w:r>
          </w:p>
        </w:tc>
        <w:tc>
          <w:tcPr>
            <w:tcW w:w="503" w:type="dxa"/>
            <w:gridSpan w:val="2"/>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783" w:type="dxa"/>
            <w:gridSpan w:val="2"/>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重点工作实际完成率</w:t>
            </w:r>
          </w:p>
        </w:tc>
        <w:tc>
          <w:tcPr>
            <w:tcW w:w="517" w:type="dxa"/>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3F2A04" w:rsidRDefault="00111682" w:rsidP="00111682">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F2A04" w:rsidTr="003D0349">
        <w:tblPrEx>
          <w:tblCellMar>
            <w:left w:w="28" w:type="dxa"/>
            <w:right w:w="28" w:type="dxa"/>
          </w:tblCellMar>
        </w:tblPrEx>
        <w:trPr>
          <w:trHeight w:val="754"/>
          <w:jc w:val="center"/>
        </w:trPr>
        <w:tc>
          <w:tcPr>
            <w:tcW w:w="503"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履职 效益</w:t>
            </w:r>
          </w:p>
        </w:tc>
        <w:tc>
          <w:tcPr>
            <w:tcW w:w="503" w:type="dxa"/>
            <w:gridSpan w:val="2"/>
            <w:vMerge w:val="restart"/>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经济</w:t>
            </w:r>
          </w:p>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val="restart"/>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2483" w:type="dxa"/>
            <w:gridSpan w:val="4"/>
            <w:vMerge w:val="restart"/>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color w:val="000000"/>
                <w:kern w:val="0"/>
                <w:sz w:val="18"/>
                <w:szCs w:val="18"/>
              </w:rPr>
            </w:pPr>
          </w:p>
        </w:tc>
        <w:tc>
          <w:tcPr>
            <w:tcW w:w="595" w:type="dxa"/>
            <w:vMerge w:val="restart"/>
            <w:tcBorders>
              <w:tl2br w:val="nil"/>
              <w:tr2bl w:val="nil"/>
            </w:tcBorders>
            <w:vAlign w:val="center"/>
          </w:tcPr>
          <w:p w:rsidR="003F2A04" w:rsidRDefault="00111682" w:rsidP="00111682">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10</w:t>
            </w:r>
          </w:p>
        </w:tc>
      </w:tr>
      <w:tr w:rsidR="003F2A04" w:rsidTr="003D0349">
        <w:tblPrEx>
          <w:tblCellMar>
            <w:left w:w="28" w:type="dxa"/>
            <w:right w:w="28" w:type="dxa"/>
          </w:tblCellMar>
        </w:tblPrEx>
        <w:trPr>
          <w:trHeight w:val="669"/>
          <w:jc w:val="center"/>
        </w:trPr>
        <w:tc>
          <w:tcPr>
            <w:tcW w:w="503"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w:t>
            </w:r>
          </w:p>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2483" w:type="dxa"/>
            <w:gridSpan w:val="4"/>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2673" w:type="dxa"/>
            <w:gridSpan w:val="3"/>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95"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r>
      <w:tr w:rsidR="003F2A04" w:rsidTr="003D0349">
        <w:tblPrEx>
          <w:tblCellMar>
            <w:left w:w="28" w:type="dxa"/>
            <w:right w:w="28" w:type="dxa"/>
          </w:tblCellMar>
        </w:tblPrEx>
        <w:trPr>
          <w:trHeight w:val="1584"/>
          <w:jc w:val="center"/>
        </w:trPr>
        <w:tc>
          <w:tcPr>
            <w:tcW w:w="503"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12</w:t>
            </w:r>
          </w:p>
        </w:tc>
        <w:tc>
          <w:tcPr>
            <w:tcW w:w="783" w:type="dxa"/>
            <w:gridSpan w:val="2"/>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行政</w:t>
            </w:r>
          </w:p>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效能</w:t>
            </w:r>
          </w:p>
        </w:tc>
        <w:tc>
          <w:tcPr>
            <w:tcW w:w="517" w:type="dxa"/>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根据部门自评材料评定。</w:t>
            </w:r>
          </w:p>
        </w:tc>
        <w:tc>
          <w:tcPr>
            <w:tcW w:w="595" w:type="dxa"/>
            <w:tcBorders>
              <w:tl2br w:val="nil"/>
              <w:tr2bl w:val="nil"/>
            </w:tcBorders>
            <w:vAlign w:val="center"/>
          </w:tcPr>
          <w:p w:rsidR="003F2A04" w:rsidRDefault="00111682" w:rsidP="00111682">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3F2A04" w:rsidTr="003D0349">
        <w:tblPrEx>
          <w:tblCellMar>
            <w:left w:w="28" w:type="dxa"/>
            <w:right w:w="28" w:type="dxa"/>
          </w:tblCellMar>
        </w:tblPrEx>
        <w:trPr>
          <w:trHeight w:val="1584"/>
          <w:jc w:val="center"/>
        </w:trPr>
        <w:tc>
          <w:tcPr>
            <w:tcW w:w="503"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社会公众或服务对象满意度</w:t>
            </w:r>
          </w:p>
        </w:tc>
        <w:tc>
          <w:tcPr>
            <w:tcW w:w="517" w:type="dxa"/>
            <w:tcBorders>
              <w:tl2br w:val="nil"/>
              <w:tr2bl w:val="nil"/>
            </w:tcBorders>
            <w:vAlign w:val="center"/>
          </w:tcPr>
          <w:p w:rsidR="003F2A04" w:rsidRDefault="003F2A04" w:rsidP="003D034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90%（含）以上计6分；</w:t>
            </w:r>
            <w:r>
              <w:rPr>
                <w:rFonts w:asciiTheme="minorEastAsia" w:eastAsiaTheme="minorEastAsia" w:hAnsiTheme="minorEastAsia" w:cstheme="minorEastAsia" w:hint="eastAsia"/>
                <w:kern w:val="0"/>
                <w:sz w:val="18"/>
                <w:szCs w:val="18"/>
              </w:rPr>
              <w:br/>
              <w:t>80%（含）-90%，计4分；</w:t>
            </w:r>
            <w:r>
              <w:rPr>
                <w:rFonts w:asciiTheme="minorEastAsia" w:eastAsiaTheme="minorEastAsia" w:hAnsiTheme="minorEastAsia" w:cstheme="minorEastAsia" w:hint="eastAsia"/>
                <w:kern w:val="0"/>
                <w:sz w:val="18"/>
                <w:szCs w:val="18"/>
              </w:rPr>
              <w:br/>
              <w:t>70%（含）-80%，计2分；</w:t>
            </w:r>
            <w:r>
              <w:rPr>
                <w:rFonts w:asciiTheme="minorEastAsia" w:eastAsiaTheme="minorEastAsia" w:hAnsiTheme="minorEastAsia" w:cstheme="minorEastAsia" w:hint="eastAsia"/>
                <w:kern w:val="0"/>
                <w:sz w:val="18"/>
                <w:szCs w:val="18"/>
              </w:rPr>
              <w:br/>
              <w:t>低于70%计0分。</w:t>
            </w:r>
          </w:p>
        </w:tc>
        <w:tc>
          <w:tcPr>
            <w:tcW w:w="2673" w:type="dxa"/>
            <w:gridSpan w:val="3"/>
            <w:tcBorders>
              <w:tl2br w:val="nil"/>
              <w:tr2bl w:val="nil"/>
            </w:tcBorders>
            <w:vAlign w:val="center"/>
          </w:tcPr>
          <w:p w:rsidR="003F2A04" w:rsidRDefault="003F2A04" w:rsidP="003D034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rsidR="003F2A04" w:rsidRDefault="00111682" w:rsidP="00111682">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shd w:val="clear" w:color="auto" w:fill="FFFFFF"/>
              </w:rPr>
              <w:t>6</w:t>
            </w:r>
            <w:r w:rsidR="003E672E">
              <w:rPr>
                <w:rFonts w:asciiTheme="minorEastAsia" w:eastAsiaTheme="minorEastAsia" w:hAnsiTheme="minorEastAsia" w:cstheme="minorEastAsia" w:hint="eastAsia"/>
                <w:kern w:val="0"/>
                <w:sz w:val="18"/>
                <w:szCs w:val="18"/>
                <w:shd w:val="clear" w:color="auto" w:fill="FFFFFF"/>
              </w:rPr>
              <w:fldChar w:fldCharType="begin">
                <w:fldData xml:space="preserve">QgAzADUAMgBGADUAMgBDADkAMAAzADAANAA1ADMAOABCADAARgA0ADAANAA5AEEAOQA0AEUAMgA0
ADQARQAxAA==
</w:fldData>
              </w:fldChar>
            </w:r>
            <w:r w:rsidR="003F2A04">
              <w:rPr>
                <w:rFonts w:asciiTheme="minorEastAsia" w:eastAsiaTheme="minorEastAsia" w:hAnsiTheme="minorEastAsia" w:cstheme="minorEastAsia" w:hint="eastAsia"/>
                <w:kern w:val="0"/>
                <w:sz w:val="18"/>
                <w:szCs w:val="18"/>
                <w:shd w:val="clear" w:color="auto" w:fill="FFFFFF"/>
              </w:rPr>
              <w:instrText>Addin PF16</w:instrText>
            </w:r>
            <w:r w:rsidR="003E672E">
              <w:rPr>
                <w:rFonts w:asciiTheme="minorEastAsia" w:eastAsiaTheme="minorEastAsia" w:hAnsiTheme="minorEastAsia" w:cstheme="minorEastAsia" w:hint="eastAsia"/>
                <w:kern w:val="0"/>
                <w:sz w:val="18"/>
                <w:szCs w:val="18"/>
                <w:shd w:val="clear" w:color="auto" w:fill="FFFFFF"/>
              </w:rPr>
            </w:r>
            <w:r w:rsidR="003E672E">
              <w:rPr>
                <w:rFonts w:asciiTheme="minorEastAsia" w:eastAsiaTheme="minorEastAsia" w:hAnsiTheme="minorEastAsia" w:cstheme="minorEastAsia" w:hint="eastAsia"/>
                <w:kern w:val="0"/>
                <w:sz w:val="18"/>
                <w:szCs w:val="18"/>
                <w:shd w:val="clear" w:color="auto" w:fill="FFFFFF"/>
              </w:rPr>
              <w:fldChar w:fldCharType="end"/>
            </w:r>
          </w:p>
        </w:tc>
      </w:tr>
    </w:tbl>
    <w:p w:rsidR="003F2A04" w:rsidRDefault="003F2A04" w:rsidP="003F2A04">
      <w:pPr>
        <w:adjustRightInd w:val="0"/>
        <w:snapToGrid w:val="0"/>
        <w:spacing w:line="600" w:lineRule="exact"/>
        <w:jc w:val="center"/>
        <w:rPr>
          <w:rFonts w:ascii="Times New Roman" w:eastAsia="方正小标宋简体" w:hAnsi="Times New Roman"/>
          <w:bCs/>
          <w:color w:val="000000"/>
          <w:kern w:val="0"/>
          <w:sz w:val="36"/>
          <w:szCs w:val="36"/>
        </w:rPr>
      </w:pPr>
    </w:p>
    <w:p w:rsidR="00E93BCB" w:rsidRDefault="00E93BCB">
      <w:pPr>
        <w:widowControl/>
        <w:spacing w:line="240" w:lineRule="auto"/>
        <w:jc w:val="left"/>
      </w:pPr>
      <w:r>
        <w:br w:type="page"/>
      </w:r>
    </w:p>
    <w:p w:rsidR="00E93BCB" w:rsidRPr="00601CBA" w:rsidRDefault="00E93BCB" w:rsidP="00E93BCB">
      <w:pPr>
        <w:spacing w:line="600" w:lineRule="exact"/>
        <w:jc w:val="center"/>
        <w:rPr>
          <w:rFonts w:ascii="方正小标宋简体" w:eastAsia="方正小标宋简体" w:hAnsi="Times New Roman"/>
          <w:sz w:val="36"/>
          <w:szCs w:val="36"/>
        </w:rPr>
      </w:pPr>
      <w:r w:rsidRPr="00601CBA">
        <w:rPr>
          <w:rFonts w:ascii="方正小标宋简体" w:eastAsia="方正小标宋简体" w:hAnsi="仿宋" w:cs="仿宋" w:hint="eastAsia"/>
          <w:sz w:val="36"/>
          <w:szCs w:val="36"/>
        </w:rPr>
        <w:lastRenderedPageBreak/>
        <w:t>2019</w:t>
      </w:r>
      <w:r w:rsidRPr="00601CBA">
        <w:rPr>
          <w:rFonts w:ascii="方正小标宋简体" w:eastAsia="方正小标宋简体" w:hAnsi="方正小标宋_GBK" w:cs="方正小标宋_GBK" w:hint="eastAsia"/>
          <w:sz w:val="36"/>
          <w:szCs w:val="36"/>
        </w:rPr>
        <w:t>年度</w:t>
      </w:r>
      <w:r w:rsidRPr="00601CBA">
        <w:rPr>
          <w:rFonts w:ascii="方正小标宋简体" w:eastAsia="方正小标宋简体" w:hAnsi="仿宋" w:cs="仿宋" w:hint="eastAsia"/>
          <w:sz w:val="36"/>
          <w:szCs w:val="36"/>
        </w:rPr>
        <w:t>区委编办</w:t>
      </w:r>
      <w:r w:rsidRPr="00601CBA">
        <w:rPr>
          <w:rFonts w:ascii="方正小标宋简体" w:eastAsia="方正小标宋简体" w:hAnsi="方正小标宋_GBK" w:cs="方正小标宋_GBK" w:hint="eastAsia"/>
          <w:sz w:val="36"/>
          <w:szCs w:val="36"/>
        </w:rPr>
        <w:t>整体支出预算绩效</w:t>
      </w:r>
      <w:r w:rsidRPr="00601CBA">
        <w:rPr>
          <w:rFonts w:ascii="方正小标宋简体" w:eastAsia="方正小标宋简体" w:hAnsi="Times New Roman" w:hint="eastAsia"/>
          <w:sz w:val="36"/>
          <w:szCs w:val="36"/>
        </w:rPr>
        <w:t>自评报告</w:t>
      </w:r>
    </w:p>
    <w:p w:rsidR="00E93BCB" w:rsidRDefault="00E93BCB" w:rsidP="00E93BCB">
      <w:pPr>
        <w:spacing w:line="600" w:lineRule="exact"/>
        <w:jc w:val="center"/>
        <w:rPr>
          <w:rFonts w:ascii="Times New Roman" w:hAnsi="Times New Roman"/>
        </w:rPr>
      </w:pPr>
    </w:p>
    <w:p w:rsidR="00E93BCB" w:rsidRDefault="00E93BCB" w:rsidP="00E93BCB">
      <w:pPr>
        <w:spacing w:line="600" w:lineRule="exact"/>
        <w:ind w:firstLineChars="200" w:firstLine="600"/>
        <w:rPr>
          <w:rFonts w:ascii="Times New Roman" w:eastAsia="黑体" w:hAnsi="Times New Roman"/>
          <w:sz w:val="30"/>
        </w:rPr>
      </w:pPr>
      <w:r>
        <w:rPr>
          <w:rFonts w:ascii="Times New Roman" w:eastAsia="黑体" w:hAnsi="Times New Roman"/>
          <w:sz w:val="30"/>
        </w:rPr>
        <w:t>一、部门（单位）基本情况</w:t>
      </w:r>
    </w:p>
    <w:p w:rsidR="00E93BCB" w:rsidRDefault="00E93BCB" w:rsidP="00E93BCB">
      <w:pPr>
        <w:spacing w:line="600" w:lineRule="exact"/>
        <w:ind w:firstLineChars="200" w:firstLine="640"/>
        <w:rPr>
          <w:shd w:val="clear" w:color="auto" w:fill="FFFFFF"/>
        </w:rPr>
      </w:pPr>
      <w:r w:rsidRPr="00A0405F">
        <w:rPr>
          <w:rFonts w:hint="eastAsia"/>
          <w:shd w:val="clear" w:color="auto" w:fill="FFFFFF"/>
        </w:rPr>
        <w:t>中共长沙市望城区委机构编制委员会办公室是区委机构编制委员会的常设办事机构，是区委工作机关，归口组织部管理，负责我区行政管理体制和机构改革以及机构编制日常管理工作。机关共有行政编制9名，事业编制6名，工勤编制1名，班子一正二副，实有在职在编1</w:t>
      </w:r>
      <w:r w:rsidR="006027C7">
        <w:rPr>
          <w:rFonts w:hint="eastAsia"/>
          <w:shd w:val="clear" w:color="auto" w:fill="FFFFFF"/>
        </w:rPr>
        <w:t>0</w:t>
      </w:r>
      <w:r w:rsidRPr="00A0405F">
        <w:rPr>
          <w:rFonts w:hint="eastAsia"/>
          <w:shd w:val="clear" w:color="auto" w:fill="FFFFFF"/>
        </w:rPr>
        <w:t>人（行政编制人员</w:t>
      </w:r>
      <w:r w:rsidR="006027C7">
        <w:rPr>
          <w:rFonts w:hint="eastAsia"/>
          <w:shd w:val="clear" w:color="auto" w:fill="FFFFFF"/>
        </w:rPr>
        <w:t>7</w:t>
      </w:r>
      <w:r w:rsidRPr="00A0405F">
        <w:rPr>
          <w:rFonts w:hint="eastAsia"/>
          <w:shd w:val="clear" w:color="auto" w:fill="FFFFFF"/>
        </w:rPr>
        <w:t>人，事业编制人员3人），临聘人员2人，退休4人</w:t>
      </w:r>
      <w:r>
        <w:rPr>
          <w:rFonts w:hint="eastAsia"/>
          <w:shd w:val="clear" w:color="auto" w:fill="FFFFFF"/>
        </w:rPr>
        <w:t>。</w:t>
      </w:r>
    </w:p>
    <w:p w:rsidR="00E93BCB" w:rsidRPr="003E3F8F" w:rsidRDefault="00E93BCB" w:rsidP="00E93BCB">
      <w:pPr>
        <w:spacing w:line="600" w:lineRule="exact"/>
        <w:ind w:firstLineChars="200" w:firstLine="640"/>
        <w:rPr>
          <w:rFonts w:ascii="Times New Roman" w:eastAsia="黑体" w:hAnsi="Times New Roman"/>
          <w:sz w:val="30"/>
        </w:rPr>
      </w:pPr>
      <w:r w:rsidRPr="00255896">
        <w:rPr>
          <w:rFonts w:hint="eastAsia"/>
          <w:color w:val="000000"/>
          <w:kern w:val="0"/>
        </w:rPr>
        <w:t>项目基本情况简介</w:t>
      </w:r>
      <w:r>
        <w:rPr>
          <w:rFonts w:hint="eastAsia"/>
          <w:color w:val="000000"/>
          <w:kern w:val="0"/>
        </w:rPr>
        <w:t>。我办的项目都为一般项目，统称行政事业单位编制专项，为区委编办办机关使用，主要用于机构编制管理、数据库系统维护、机构编制课题研究、机构改革、事业单位分类改革、事业单位登记管理等方面。</w:t>
      </w:r>
    </w:p>
    <w:p w:rsidR="00E93BCB" w:rsidRDefault="00E93BCB" w:rsidP="00E93BCB">
      <w:pPr>
        <w:spacing w:line="600" w:lineRule="exact"/>
        <w:ind w:firstLineChars="200" w:firstLine="600"/>
        <w:rPr>
          <w:rFonts w:ascii="Times New Roman" w:eastAsia="黑体" w:hAnsi="Times New Roman"/>
          <w:sz w:val="30"/>
        </w:rPr>
      </w:pPr>
      <w:r>
        <w:rPr>
          <w:rFonts w:ascii="Times New Roman" w:eastAsia="黑体" w:hAnsi="Times New Roman"/>
          <w:sz w:val="30"/>
        </w:rPr>
        <w:t>二、部门（单位）预算管理及执行情况</w:t>
      </w:r>
    </w:p>
    <w:p w:rsidR="00E93BCB" w:rsidRPr="003F2C26" w:rsidRDefault="00E93BCB" w:rsidP="00E93BCB">
      <w:pPr>
        <w:widowControl/>
        <w:shd w:val="clear" w:color="auto" w:fill="FFFFFF"/>
        <w:spacing w:line="560" w:lineRule="atLeast"/>
        <w:ind w:firstLine="640"/>
        <w:jc w:val="left"/>
        <w:textAlignment w:val="center"/>
        <w:rPr>
          <w:rFonts w:ascii="微软雅黑" w:eastAsia="微软雅黑" w:hAnsi="微软雅黑" w:cs="宋体"/>
          <w:color w:val="000000"/>
          <w:kern w:val="0"/>
          <w:sz w:val="21"/>
          <w:szCs w:val="21"/>
        </w:rPr>
      </w:pPr>
      <w:r w:rsidRPr="003F2C26">
        <w:rPr>
          <w:rFonts w:hAnsi="微软雅黑" w:cs="宋体" w:hint="eastAsia"/>
          <w:color w:val="000000"/>
          <w:kern w:val="0"/>
        </w:rPr>
        <w:t>2019年区编委办预算编报范围包括办机关。收入主要是财政预算拨款收入；支出既包括保障办机关基本运行经费，也包括全区机关事业单位机构编制专项经费，主要用于党政机构改革、事业单位分类改革、行政体制改革、行政审批制度改革、事业单位登记管理、机构编制督查和机构编制信息化管理等方面。</w:t>
      </w:r>
      <w:r w:rsidRPr="003F2C26">
        <w:rPr>
          <w:rFonts w:ascii="微软雅黑" w:eastAsia="微软雅黑" w:hAnsi="微软雅黑" w:cs="宋体" w:hint="eastAsia"/>
          <w:color w:val="000000"/>
          <w:kern w:val="0"/>
          <w:sz w:val="21"/>
          <w:szCs w:val="21"/>
        </w:rPr>
        <w:t> </w:t>
      </w:r>
    </w:p>
    <w:p w:rsidR="00E93BCB" w:rsidRPr="003F2C26" w:rsidRDefault="00E93BCB" w:rsidP="00E93BCB">
      <w:pPr>
        <w:widowControl/>
        <w:shd w:val="clear" w:color="auto" w:fill="FFFFFF"/>
        <w:spacing w:line="560" w:lineRule="atLeast"/>
        <w:ind w:firstLine="640"/>
        <w:jc w:val="left"/>
        <w:textAlignment w:val="center"/>
        <w:rPr>
          <w:rFonts w:ascii="微软雅黑" w:eastAsia="微软雅黑" w:hAnsi="微软雅黑" w:cs="宋体"/>
          <w:color w:val="000000"/>
          <w:kern w:val="0"/>
        </w:rPr>
      </w:pPr>
      <w:r w:rsidRPr="003F2C26">
        <w:rPr>
          <w:rFonts w:hAnsi="微软雅黑" w:cs="宋体" w:hint="eastAsia"/>
          <w:color w:val="000000"/>
          <w:kern w:val="0"/>
        </w:rPr>
        <w:t>（一）收入预算，</w:t>
      </w:r>
      <w:r w:rsidRPr="003F2C26">
        <w:rPr>
          <w:rFonts w:ascii="宋体" w:eastAsia="宋体" w:hAnsi="宋体" w:cs="宋体" w:hint="eastAsia"/>
          <w:color w:val="000000"/>
          <w:kern w:val="0"/>
        </w:rPr>
        <w:t>2019</w:t>
      </w:r>
      <w:r w:rsidRPr="003F2C26">
        <w:rPr>
          <w:rFonts w:hAnsi="微软雅黑" w:cs="宋体" w:hint="eastAsia"/>
          <w:color w:val="000000"/>
          <w:kern w:val="0"/>
        </w:rPr>
        <w:t>年全年预算数：</w:t>
      </w:r>
      <w:r w:rsidRPr="003F2C26">
        <w:rPr>
          <w:rFonts w:ascii="宋体" w:eastAsia="宋体" w:hAnsi="宋体" w:cs="宋体" w:hint="eastAsia"/>
          <w:color w:val="000000"/>
          <w:kern w:val="0"/>
        </w:rPr>
        <w:t>300.75</w:t>
      </w:r>
      <w:r w:rsidRPr="003F2C26">
        <w:rPr>
          <w:rFonts w:hAnsi="微软雅黑" w:cs="宋体" w:hint="eastAsia"/>
          <w:color w:val="000000"/>
          <w:kern w:val="0"/>
        </w:rPr>
        <w:t>万元。均为一般公共预算拨款。</w:t>
      </w:r>
      <w:r w:rsidRPr="003F2C26">
        <w:rPr>
          <w:rFonts w:ascii="微软雅黑" w:eastAsia="微软雅黑" w:hAnsi="微软雅黑" w:cs="宋体" w:hint="eastAsia"/>
          <w:color w:val="000000"/>
          <w:kern w:val="0"/>
        </w:rPr>
        <w:t> </w:t>
      </w:r>
    </w:p>
    <w:p w:rsidR="00E93BCB" w:rsidRPr="003F2C26" w:rsidRDefault="00E93BCB" w:rsidP="00E93BCB">
      <w:pPr>
        <w:widowControl/>
        <w:shd w:val="clear" w:color="auto" w:fill="FFFFFF"/>
        <w:spacing w:line="560" w:lineRule="atLeast"/>
        <w:ind w:firstLine="640"/>
        <w:jc w:val="left"/>
        <w:textAlignment w:val="center"/>
        <w:rPr>
          <w:rFonts w:ascii="微软雅黑" w:eastAsia="微软雅黑" w:hAnsi="微软雅黑" w:cs="宋体"/>
          <w:color w:val="000000"/>
          <w:kern w:val="0"/>
        </w:rPr>
      </w:pPr>
      <w:r w:rsidRPr="003F2C26">
        <w:rPr>
          <w:rFonts w:hAnsi="微软雅黑" w:cs="宋体" w:hint="eastAsia"/>
          <w:color w:val="000000"/>
          <w:kern w:val="0"/>
        </w:rPr>
        <w:lastRenderedPageBreak/>
        <w:t>（二）支出预算，</w:t>
      </w:r>
      <w:r w:rsidRPr="003F2C26">
        <w:rPr>
          <w:rFonts w:ascii="宋体" w:eastAsia="宋体" w:hAnsi="宋体" w:cs="宋体" w:hint="eastAsia"/>
          <w:color w:val="000000"/>
          <w:kern w:val="0"/>
        </w:rPr>
        <w:t>2019</w:t>
      </w:r>
      <w:r w:rsidRPr="003F2C26">
        <w:rPr>
          <w:rFonts w:hAnsi="微软雅黑" w:cs="宋体" w:hint="eastAsia"/>
          <w:color w:val="000000"/>
          <w:kern w:val="0"/>
        </w:rPr>
        <w:t>年全年预算数：</w:t>
      </w:r>
      <w:r w:rsidRPr="003F2C26">
        <w:rPr>
          <w:rFonts w:ascii="宋体" w:eastAsia="宋体" w:hAnsi="宋体" w:cs="宋体" w:hint="eastAsia"/>
          <w:color w:val="000000"/>
          <w:kern w:val="0"/>
        </w:rPr>
        <w:t>300.75</w:t>
      </w:r>
      <w:r w:rsidRPr="003F2C26">
        <w:rPr>
          <w:rFonts w:hAnsi="微软雅黑" w:cs="宋体" w:hint="eastAsia"/>
          <w:color w:val="000000"/>
          <w:kern w:val="0"/>
        </w:rPr>
        <w:t>万元。</w:t>
      </w:r>
      <w:r w:rsidRPr="003F2C26">
        <w:rPr>
          <w:rFonts w:ascii="微软雅黑" w:eastAsia="微软雅黑" w:hAnsi="微软雅黑" w:cs="宋体" w:hint="eastAsia"/>
          <w:color w:val="000000"/>
          <w:kern w:val="0"/>
        </w:rPr>
        <w:t> </w:t>
      </w:r>
    </w:p>
    <w:p w:rsidR="00E93BCB" w:rsidRPr="003F2C26" w:rsidRDefault="00E93BCB" w:rsidP="00E93BCB">
      <w:pPr>
        <w:widowControl/>
        <w:shd w:val="clear" w:color="auto" w:fill="FFFFFF"/>
        <w:spacing w:line="560" w:lineRule="atLeast"/>
        <w:ind w:firstLine="640"/>
        <w:jc w:val="left"/>
        <w:textAlignment w:val="center"/>
        <w:rPr>
          <w:rFonts w:ascii="微软雅黑" w:eastAsia="微软雅黑" w:hAnsi="微软雅黑" w:cs="宋体"/>
          <w:color w:val="000000"/>
          <w:kern w:val="0"/>
          <w:sz w:val="21"/>
          <w:szCs w:val="21"/>
        </w:rPr>
      </w:pPr>
      <w:r w:rsidRPr="003F2C26">
        <w:rPr>
          <w:rFonts w:hAnsi="微软雅黑" w:cs="宋体" w:hint="eastAsia"/>
          <w:color w:val="000000"/>
          <w:kern w:val="0"/>
        </w:rPr>
        <w:t>1.基本支出：</w:t>
      </w:r>
      <w:r w:rsidRPr="003F2C26">
        <w:rPr>
          <w:rFonts w:ascii="宋体" w:eastAsia="宋体" w:hAnsi="宋体" w:cs="宋体" w:hint="eastAsia"/>
          <w:color w:val="000000"/>
          <w:kern w:val="0"/>
        </w:rPr>
        <w:t>2019</w:t>
      </w:r>
      <w:r w:rsidRPr="003F2C26">
        <w:rPr>
          <w:rFonts w:hAnsi="微软雅黑" w:cs="宋体" w:hint="eastAsia"/>
          <w:color w:val="000000"/>
          <w:kern w:val="0"/>
        </w:rPr>
        <w:t>年</w:t>
      </w:r>
      <w:r>
        <w:rPr>
          <w:rFonts w:hAnsi="微软雅黑" w:cs="宋体" w:hint="eastAsia"/>
          <w:color w:val="000000"/>
          <w:kern w:val="0"/>
        </w:rPr>
        <w:t>基本支出</w:t>
      </w:r>
      <w:r w:rsidRPr="003F2C26">
        <w:rPr>
          <w:rFonts w:hAnsi="微软雅黑" w:cs="宋体" w:hint="eastAsia"/>
          <w:color w:val="000000"/>
          <w:kern w:val="0"/>
        </w:rPr>
        <w:t>为</w:t>
      </w:r>
      <w:r>
        <w:rPr>
          <w:rFonts w:ascii="宋体" w:eastAsia="宋体" w:hAnsi="宋体" w:cs="宋体" w:hint="eastAsia"/>
          <w:color w:val="000000"/>
          <w:kern w:val="0"/>
        </w:rPr>
        <w:t>229.24</w:t>
      </w:r>
      <w:r w:rsidRPr="003F2C26">
        <w:rPr>
          <w:rFonts w:hAnsi="微软雅黑" w:cs="宋体" w:hint="eastAsia"/>
          <w:color w:val="000000"/>
          <w:kern w:val="0"/>
        </w:rPr>
        <w:t>万元，</w:t>
      </w:r>
      <w:r>
        <w:rPr>
          <w:rFonts w:hAnsi="微软雅黑" w:cs="宋体" w:hint="eastAsia"/>
          <w:color w:val="000000"/>
          <w:kern w:val="0"/>
        </w:rPr>
        <w:t>执行率100%，</w:t>
      </w:r>
      <w:r w:rsidRPr="003F2C26">
        <w:rPr>
          <w:rFonts w:hAnsi="微软雅黑" w:cs="宋体" w:hint="eastAsia"/>
          <w:color w:val="000000"/>
          <w:kern w:val="0"/>
        </w:rPr>
        <w:t>是指为保障单位机构运转，完成日常工作任务而发生的各项支出，包括基本工资、津补贴等人员经费以及办公费、印刷费、水电费、办公设备购置等日常公用经费。</w:t>
      </w:r>
      <w:r w:rsidRPr="003F2C26">
        <w:rPr>
          <w:rFonts w:ascii="微软雅黑" w:eastAsia="微软雅黑" w:hAnsi="微软雅黑" w:cs="宋体" w:hint="eastAsia"/>
          <w:color w:val="000000"/>
          <w:kern w:val="0"/>
          <w:sz w:val="21"/>
          <w:szCs w:val="21"/>
        </w:rPr>
        <w:t> </w:t>
      </w:r>
    </w:p>
    <w:p w:rsidR="00E93BCB" w:rsidRPr="003F2C26" w:rsidRDefault="00E93BCB" w:rsidP="00E93BCB">
      <w:pPr>
        <w:widowControl/>
        <w:shd w:val="clear" w:color="auto" w:fill="FFFFFF"/>
        <w:spacing w:line="560" w:lineRule="atLeast"/>
        <w:ind w:firstLine="640"/>
        <w:jc w:val="left"/>
        <w:textAlignment w:val="center"/>
        <w:rPr>
          <w:rFonts w:ascii="微软雅黑" w:eastAsia="微软雅黑" w:hAnsi="微软雅黑" w:cs="宋体"/>
          <w:color w:val="000000"/>
          <w:kern w:val="0"/>
          <w:sz w:val="21"/>
          <w:szCs w:val="21"/>
        </w:rPr>
      </w:pPr>
      <w:r w:rsidRPr="003F2C26">
        <w:rPr>
          <w:rFonts w:hAnsi="微软雅黑" w:cs="宋体" w:hint="eastAsia"/>
          <w:color w:val="000000"/>
          <w:kern w:val="0"/>
        </w:rPr>
        <w:t>2.项目支出：</w:t>
      </w:r>
      <w:r w:rsidRPr="003F2C26">
        <w:rPr>
          <w:rFonts w:ascii="宋体" w:eastAsia="宋体" w:hAnsi="宋体" w:cs="宋体" w:hint="eastAsia"/>
          <w:color w:val="000000"/>
          <w:kern w:val="0"/>
        </w:rPr>
        <w:t>2019</w:t>
      </w:r>
      <w:r w:rsidRPr="003F2C26">
        <w:rPr>
          <w:rFonts w:hAnsi="微软雅黑" w:cs="宋体" w:hint="eastAsia"/>
          <w:color w:val="000000"/>
          <w:kern w:val="0"/>
        </w:rPr>
        <w:t>年</w:t>
      </w:r>
      <w:r>
        <w:rPr>
          <w:rFonts w:hAnsi="微软雅黑" w:cs="宋体" w:hint="eastAsia"/>
          <w:color w:val="000000"/>
          <w:kern w:val="0"/>
        </w:rPr>
        <w:t>项目支出</w:t>
      </w:r>
      <w:r w:rsidRPr="003F2C26">
        <w:rPr>
          <w:rFonts w:hAnsi="微软雅黑" w:cs="宋体" w:hint="eastAsia"/>
          <w:color w:val="000000"/>
          <w:kern w:val="0"/>
        </w:rPr>
        <w:t>为</w:t>
      </w:r>
      <w:r>
        <w:rPr>
          <w:rFonts w:ascii="宋体" w:eastAsia="宋体" w:hAnsi="宋体" w:cs="宋体" w:hint="eastAsia"/>
          <w:color w:val="000000"/>
          <w:kern w:val="0"/>
        </w:rPr>
        <w:t>71.5</w:t>
      </w:r>
      <w:r w:rsidRPr="003F2C26">
        <w:rPr>
          <w:rFonts w:hAnsi="微软雅黑" w:cs="宋体" w:hint="eastAsia"/>
          <w:color w:val="000000"/>
          <w:kern w:val="0"/>
        </w:rPr>
        <w:t>万元，</w:t>
      </w:r>
      <w:r>
        <w:rPr>
          <w:rFonts w:hAnsi="微软雅黑" w:cs="宋体" w:hint="eastAsia"/>
          <w:color w:val="000000"/>
          <w:kern w:val="0"/>
        </w:rPr>
        <w:t>执行率100%，</w:t>
      </w:r>
      <w:r w:rsidRPr="003F2C26">
        <w:rPr>
          <w:rFonts w:hAnsi="微软雅黑" w:cs="宋体" w:hint="eastAsia"/>
          <w:color w:val="000000"/>
          <w:kern w:val="0"/>
        </w:rPr>
        <w:t>是指单位为完成特定行政工作发生的支出</w:t>
      </w:r>
      <w:r>
        <w:rPr>
          <w:rFonts w:hAnsi="微软雅黑" w:cs="宋体" w:hint="eastAsia"/>
          <w:color w:val="000000"/>
          <w:kern w:val="0"/>
        </w:rPr>
        <w:t>，</w:t>
      </w:r>
      <w:r w:rsidRPr="003F2C26">
        <w:rPr>
          <w:rFonts w:hAnsi="微软雅黑" w:cs="宋体" w:hint="eastAsia"/>
          <w:color w:val="000000"/>
          <w:kern w:val="0"/>
        </w:rPr>
        <w:t>主要用于事业单位分类改革、行政体制改革、行政审批制度改革、事业单位登记管理、机构编制督查和机构编制信息化管理等方面。</w:t>
      </w:r>
    </w:p>
    <w:p w:rsidR="00E93BCB" w:rsidRDefault="00E93BCB" w:rsidP="00E93BCB">
      <w:pPr>
        <w:spacing w:line="600" w:lineRule="exact"/>
        <w:ind w:firstLineChars="200" w:firstLine="600"/>
        <w:rPr>
          <w:rFonts w:ascii="Times New Roman" w:eastAsia="黑体" w:hAnsi="Times New Roman"/>
          <w:sz w:val="30"/>
        </w:rPr>
      </w:pPr>
      <w:r>
        <w:rPr>
          <w:rFonts w:ascii="Times New Roman" w:eastAsia="黑体" w:hAnsi="Times New Roman" w:hint="eastAsia"/>
          <w:sz w:val="30"/>
        </w:rPr>
        <w:t>三、</w:t>
      </w:r>
      <w:r>
        <w:rPr>
          <w:rFonts w:ascii="Times New Roman" w:eastAsia="黑体" w:hAnsi="Times New Roman"/>
          <w:sz w:val="30"/>
        </w:rPr>
        <w:t>部门（单位）</w:t>
      </w:r>
      <w:r>
        <w:rPr>
          <w:rFonts w:ascii="Times New Roman" w:eastAsia="黑体" w:hAnsi="Times New Roman" w:hint="eastAsia"/>
          <w:sz w:val="30"/>
        </w:rPr>
        <w:t>资产管理情况</w:t>
      </w:r>
    </w:p>
    <w:p w:rsidR="00E93BCB" w:rsidRDefault="00E93BCB" w:rsidP="00E93BCB">
      <w:pPr>
        <w:spacing w:line="600" w:lineRule="exact"/>
        <w:ind w:firstLineChars="200" w:firstLine="640"/>
        <w:rPr>
          <w:rFonts w:ascii="Times New Roman" w:eastAsia="黑体" w:hAnsi="Times New Roman"/>
          <w:sz w:val="30"/>
        </w:rPr>
      </w:pPr>
      <w:r>
        <w:rPr>
          <w:rFonts w:hAnsi="仿宋" w:cs="仿宋" w:hint="eastAsia"/>
          <w:bCs/>
        </w:rPr>
        <w:t>本年度固定资产采购共计30020元，主要是购新设机构办公家俱和党支部活动室家具等。另，集中采购复印纸4250元。</w:t>
      </w:r>
    </w:p>
    <w:p w:rsidR="00E93BCB" w:rsidRDefault="00E93BCB" w:rsidP="00E93BCB">
      <w:pPr>
        <w:spacing w:line="600" w:lineRule="exact"/>
        <w:ind w:firstLineChars="200" w:firstLine="600"/>
        <w:rPr>
          <w:rFonts w:ascii="Times New Roman" w:eastAsia="黑体" w:hAnsi="Times New Roman"/>
          <w:sz w:val="30"/>
        </w:rPr>
      </w:pPr>
      <w:r>
        <w:rPr>
          <w:rFonts w:ascii="Times New Roman" w:eastAsia="黑体" w:hAnsi="Times New Roman" w:hint="eastAsia"/>
          <w:sz w:val="30"/>
        </w:rPr>
        <w:t>四</w:t>
      </w:r>
      <w:r>
        <w:rPr>
          <w:rFonts w:ascii="Times New Roman" w:eastAsia="黑体" w:hAnsi="Times New Roman"/>
          <w:sz w:val="30"/>
        </w:rPr>
        <w:t>、部门（单位）整体支出绩效目标及开展情况</w:t>
      </w:r>
    </w:p>
    <w:p w:rsidR="00E93BCB" w:rsidRDefault="00E93BCB" w:rsidP="00E93BCB">
      <w:pPr>
        <w:spacing w:line="600" w:lineRule="exact"/>
        <w:ind w:firstLineChars="200" w:firstLine="640"/>
        <w:rPr>
          <w:rFonts w:hAnsi="仿宋_GB2312" w:cs="仿宋_GB2312"/>
        </w:rPr>
      </w:pPr>
      <w:r>
        <w:rPr>
          <w:rFonts w:hAnsi="仿宋_GB2312" w:hint="eastAsia"/>
        </w:rPr>
        <w:t>（一）</w:t>
      </w:r>
      <w:r w:rsidRPr="00BD1648">
        <w:rPr>
          <w:rFonts w:hint="eastAsia"/>
        </w:rPr>
        <w:t>党政群机构改革</w:t>
      </w:r>
      <w:r>
        <w:rPr>
          <w:rFonts w:hAnsi="仿宋_GB2312" w:hint="eastAsia"/>
        </w:rPr>
        <w:t>。</w:t>
      </w:r>
      <w:r>
        <w:rPr>
          <w:rFonts w:hAnsi="仿宋_GB2312" w:cs="仿宋_GB2312" w:hint="eastAsia"/>
        </w:rPr>
        <w:t>在区委深化机构改革领导小组的坚强领导下，以大组工成员单位为核心力量，历时半年攻坚克难，高效完成各项改革任务，被市委列为迎接机构改革国检的两个备选区县市之一。科学</w:t>
      </w:r>
      <w:r>
        <w:rPr>
          <w:rFonts w:hAnsi="仿宋_GB2312" w:cs="仿宋_GB2312" w:hint="eastAsia"/>
          <w:bCs/>
        </w:rPr>
        <w:t>合理设置机构</w:t>
      </w:r>
      <w:r w:rsidRPr="00BD1648">
        <w:rPr>
          <w:rFonts w:hAnsi="仿宋_GB2312" w:cs="仿宋_GB2312" w:hint="eastAsia"/>
          <w:bCs/>
        </w:rPr>
        <w:t>。</w:t>
      </w:r>
      <w:r>
        <w:rPr>
          <w:rFonts w:hAnsi="仿宋_GB2312" w:cs="仿宋_GB2312" w:hint="eastAsia"/>
          <w:kern w:val="0"/>
        </w:rPr>
        <w:t>组建了区退役军人事务局、区应急管理局等11个部门；重新组建区司法局；优化了区发改局等3个部门的职责；对区经信局进行了更名；将区信访局、区商务局调整为区政府工作部门，形成了上下一致、运行顺畅的工作体系。同时，</w:t>
      </w:r>
      <w:r w:rsidRPr="00BD1648">
        <w:rPr>
          <w:rFonts w:hAnsi="仿宋_GB2312" w:cs="仿宋_GB2312" w:hint="eastAsia"/>
        </w:rPr>
        <w:t>结合湘江流</w:t>
      </w:r>
      <w:r w:rsidRPr="00BD1648">
        <w:rPr>
          <w:rFonts w:hAnsi="仿宋_GB2312" w:cs="仿宋_GB2312" w:hint="eastAsia"/>
        </w:rPr>
        <w:lastRenderedPageBreak/>
        <w:t>域的现实需求，选设区水利局；适应信息化、大数据发展趋势，组建区数据资源中心；契合基层治理体系和治理能力现代化的要求，组建区社会治理服务中心。</w:t>
      </w:r>
      <w:r w:rsidRPr="0056596C">
        <w:rPr>
          <w:rFonts w:hint="eastAsia"/>
        </w:rPr>
        <w:t>整合优化职能职责</w:t>
      </w:r>
      <w:r w:rsidRPr="00BD1648">
        <w:rPr>
          <w:rFonts w:hAnsi="仿宋_GB2312" w:cs="仿宋_GB2312" w:hint="eastAsia"/>
          <w:bCs/>
        </w:rPr>
        <w:t>。</w:t>
      </w:r>
      <w:r w:rsidRPr="00BD1648">
        <w:rPr>
          <w:rFonts w:hAnsi="仿宋_GB2312" w:cs="仿宋_GB2312" w:hint="eastAsia"/>
        </w:rPr>
        <w:t>应对防范化解重大风险、精准脱贫、污染防治“三大攻坚战”，组建区金融办、扶贫开发事务中心，积极配合做好环保垂管调整工作；</w:t>
      </w:r>
      <w:r w:rsidRPr="00BD1648">
        <w:rPr>
          <w:rFonts w:hAnsi="仿宋_GB2312" w:cs="仿宋_GB2312"/>
        </w:rPr>
        <w:t>按照一类事项原则上由一个部门统筹、一件事情原则上由一个部门负责，</w:t>
      </w:r>
      <w:r w:rsidRPr="00BD1648">
        <w:rPr>
          <w:rFonts w:hAnsi="仿宋_GB2312" w:cs="仿宋_GB2312" w:hint="eastAsia"/>
        </w:rPr>
        <w:t>强化了对应急管理、自然资源、行政审批、综合执法、社会治理和数据资源等领域职责整合优化；认真开展职能优化查漏补缺，将</w:t>
      </w:r>
      <w:r w:rsidRPr="00BD1648">
        <w:rPr>
          <w:rFonts w:cs="仿宋_GB2312" w:hint="eastAsia"/>
        </w:rPr>
        <w:t>乡村振兴“五治五美”中“五治”、公共停车场地建设管理、铁路建设管理维护、充电桩建设管理等原未明确责任主体的职责进行了分工明确；着重厘清职责边界，重点理顺了项目建设、公共节能、水资源保护、城区防涝排渍、城市黑臭水体整治、优化营商环境、集体土地违规建筑（构）物查处等领域的职责交叉问题</w:t>
      </w:r>
      <w:r w:rsidRPr="00BD1648">
        <w:rPr>
          <w:rFonts w:hAnsi="仿宋_GB2312" w:cs="仿宋_GB2312" w:hint="eastAsia"/>
        </w:rPr>
        <w:t>，为部门履职顺畅高效夯实了基础。</w:t>
      </w:r>
      <w:r>
        <w:rPr>
          <w:rFonts w:hAnsi="楷体_GB2312" w:cs="楷体_GB2312" w:hint="eastAsia"/>
        </w:rPr>
        <w:t>合理配置编制资源</w:t>
      </w:r>
      <w:r>
        <w:rPr>
          <w:rFonts w:hAnsi="仿宋_GB2312" w:hint="eastAsia"/>
        </w:rPr>
        <w:t>。</w:t>
      </w:r>
      <w:r>
        <w:rPr>
          <w:rFonts w:hAnsi="仿宋_GB2312" w:cs="仿宋_GB2312"/>
        </w:rPr>
        <w:t>加大部门间编制统筹调剂力度</w:t>
      </w:r>
      <w:r>
        <w:rPr>
          <w:rFonts w:hAnsi="仿宋_GB2312" w:cs="仿宋_GB2312" w:hint="eastAsia"/>
        </w:rPr>
        <w:t>，</w:t>
      </w:r>
      <w:r>
        <w:rPr>
          <w:rFonts w:hAnsi="仿宋_GB2312" w:cs="仿宋_GB2312" w:hint="eastAsia"/>
          <w:bCs/>
        </w:rPr>
        <w:t>按照先“回收”再“分配”和“优化”的方针，动态调整分配区直行政编制754名、事业编制948名，将有限的编制资源向应急管理、住房和城乡建设、审计重点部门和关键领域倾斜；盘活用</w:t>
      </w:r>
      <w:r>
        <w:rPr>
          <w:rFonts w:hAnsi="仿宋_GB2312" w:cs="仿宋_GB2312" w:hint="eastAsia"/>
        </w:rPr>
        <w:t>好事业单位撤并回收的</w:t>
      </w:r>
      <w:bookmarkStart w:id="0" w:name="_GoBack"/>
      <w:bookmarkEnd w:id="0"/>
      <w:r>
        <w:rPr>
          <w:rFonts w:hAnsi="仿宋_GB2312" w:cs="仿宋_GB2312" w:hint="eastAsia"/>
        </w:rPr>
        <w:t>事业编制，将其调整充实到区社会治理服务中心、区数据资源中心、区高层次人才服务发展中心、区退役军人服务中心等新设机构和职能增强的应急、审计等部门。</w:t>
      </w:r>
      <w:r w:rsidRPr="007714FC">
        <w:rPr>
          <w:rFonts w:hAnsi="仿宋_GB2312" w:cs="仿宋_GB2312" w:hint="eastAsia"/>
        </w:rPr>
        <w:t>平稳完成人员转隶。出台了《全区机构改革机构人员转隶工作指</w:t>
      </w:r>
      <w:r w:rsidRPr="007714FC">
        <w:rPr>
          <w:rFonts w:hAnsi="仿宋_GB2312" w:cs="仿宋_GB2312" w:hint="eastAsia"/>
        </w:rPr>
        <w:lastRenderedPageBreak/>
        <w:t>导意见》，明确三大类12小类的政策口径，尽量保障转隶人员待遇不减，圆满完成41个涉改一级机构人员转隶工作任务，率先全市平稳完成人员转隶任务。认真制定“三定”规定。制定并印发68个单位</w:t>
      </w:r>
      <w:r>
        <w:rPr>
          <w:rFonts w:hAnsi="仿宋_GB2312" w:cs="仿宋_GB2312" w:hint="eastAsia"/>
        </w:rPr>
        <w:t>的</w:t>
      </w:r>
      <w:r w:rsidRPr="007714FC">
        <w:rPr>
          <w:rFonts w:hAnsi="仿宋_GB2312" w:cs="仿宋_GB2312" w:hint="eastAsia"/>
        </w:rPr>
        <w:t>“三定”规定，10个单位</w:t>
      </w:r>
      <w:r>
        <w:rPr>
          <w:rFonts w:hAnsi="仿宋_GB2312" w:cs="仿宋_GB2312" w:hint="eastAsia"/>
        </w:rPr>
        <w:t>的</w:t>
      </w:r>
      <w:r w:rsidRPr="007714FC">
        <w:rPr>
          <w:rFonts w:hAnsi="仿宋_GB2312" w:cs="仿宋_GB2312" w:hint="eastAsia"/>
        </w:rPr>
        <w:t>机构编制调整文件</w:t>
      </w:r>
      <w:r>
        <w:rPr>
          <w:rFonts w:hAnsi="仿宋_GB2312" w:cs="仿宋_GB2312" w:hint="eastAsia"/>
        </w:rPr>
        <w:t>，</w:t>
      </w:r>
      <w:r w:rsidRPr="007714FC">
        <w:rPr>
          <w:rFonts w:hAnsi="仿宋_GB2312" w:cs="仿宋_GB2312" w:hint="eastAsia"/>
        </w:rPr>
        <w:t>切实规范</w:t>
      </w:r>
      <w:r>
        <w:rPr>
          <w:rFonts w:hAnsi="仿宋_GB2312" w:cs="仿宋_GB2312" w:hint="eastAsia"/>
        </w:rPr>
        <w:t>了</w:t>
      </w:r>
      <w:r w:rsidRPr="007714FC">
        <w:rPr>
          <w:rFonts w:hAnsi="仿宋_GB2312" w:cs="仿宋_GB2312" w:hint="eastAsia"/>
        </w:rPr>
        <w:t>内设机构设置，杜绝1人科室和无人科室，防止人浮于事。</w:t>
      </w:r>
    </w:p>
    <w:p w:rsidR="00E93BCB" w:rsidRPr="0045206E" w:rsidRDefault="00E93BCB" w:rsidP="00E93BCB">
      <w:pPr>
        <w:spacing w:line="600" w:lineRule="exact"/>
        <w:ind w:firstLineChars="200" w:firstLine="640"/>
        <w:rPr>
          <w:rFonts w:hAnsi="仿宋_GB2312"/>
        </w:rPr>
      </w:pPr>
      <w:r>
        <w:rPr>
          <w:rFonts w:hAnsi="仿宋_GB2312" w:hint="eastAsia"/>
        </w:rPr>
        <w:t>（二）</w:t>
      </w:r>
      <w:r>
        <w:rPr>
          <w:rFonts w:hAnsi="仿宋_GB2312" w:cs="仿宋_GB2312"/>
        </w:rPr>
        <w:t>乡镇（街道）机构改革</w:t>
      </w:r>
      <w:r>
        <w:rPr>
          <w:rFonts w:hAnsi="仿宋_GB2312" w:hint="eastAsia"/>
        </w:rPr>
        <w:t>。</w:t>
      </w:r>
      <w:r>
        <w:rPr>
          <w:rFonts w:hAnsi="楷体_GB2312" w:cs="楷体_GB2312" w:hint="eastAsia"/>
          <w:bCs/>
        </w:rPr>
        <w:t>按照构建更好服务群众、</w:t>
      </w:r>
      <w:r>
        <w:rPr>
          <w:rFonts w:hAnsi="仿宋_GB2312" w:cs="仿宋_GB2312" w:hint="eastAsia"/>
        </w:rPr>
        <w:t>简约精干的基层组织架构的要求，在机构限额内，整合审批、服务、执法等方面的职能职责，进一步调整优化乡镇（街道）党政机构和事业单位设置，综合设置党政综合办公室等6个内设机构、政务服务中心等3个直属事业单位和1个综合行政执法机构。保留设置财政所、退役军人服务中心等2个不占限额机构。在限额内，加挂卫生健康办公室、城市管理办公室、文化综合服务站、安全生产监督站牌子。深入推进乡镇（街道）机构改革的后续工作，配合行政审批服务部门系统梳理了乡镇116项法定权责，并将区直52项经济社会管理权限赋予乡镇（街道）。</w:t>
      </w:r>
    </w:p>
    <w:p w:rsidR="00E93BCB" w:rsidRDefault="00E93BCB" w:rsidP="00E93BCB">
      <w:pPr>
        <w:spacing w:line="600" w:lineRule="exact"/>
        <w:ind w:firstLineChars="200" w:firstLine="640"/>
        <w:rPr>
          <w:rFonts w:hAnsi="仿宋_GB2312" w:cs="仿宋_GB2312"/>
        </w:rPr>
      </w:pPr>
      <w:r>
        <w:rPr>
          <w:rFonts w:hAnsi="仿宋_GB2312" w:hint="eastAsia"/>
        </w:rPr>
        <w:t>（三）</w:t>
      </w:r>
      <w:r>
        <w:rPr>
          <w:rFonts w:hAnsi="楷体_GB2312" w:cs="楷体_GB2312" w:hint="eastAsia"/>
        </w:rPr>
        <w:t>承担行政职能事业单位改革</w:t>
      </w:r>
      <w:r>
        <w:rPr>
          <w:rFonts w:hAnsi="仿宋_GB2312" w:hint="eastAsia"/>
        </w:rPr>
        <w:t>。</w:t>
      </w:r>
      <w:r>
        <w:rPr>
          <w:rFonts w:hAnsi="仿宋_GB2312" w:cs="仿宋_GB2312" w:hint="eastAsia"/>
        </w:rPr>
        <w:t>对完全、主要和部分承担行政职能的事业单位进行全面清理。按照合并调整或转为行政机构、更名并调整归属、剥离行政职能、撤销等方式，全面完成承担行政职能的42个事业单位改革任务，将行政职能收归机关，根除“事业局”。改革后，除行政执法机构外，不再保留或新设承担行政职能的事业单位。</w:t>
      </w:r>
    </w:p>
    <w:p w:rsidR="00E93BCB" w:rsidRDefault="00E93BCB" w:rsidP="00E93BCB">
      <w:pPr>
        <w:spacing w:line="600" w:lineRule="exact"/>
        <w:ind w:firstLineChars="200" w:firstLine="640"/>
        <w:rPr>
          <w:rFonts w:hAnsi="仿宋_GB2312" w:cs="仿宋_GB2312"/>
        </w:rPr>
      </w:pPr>
      <w:r>
        <w:rPr>
          <w:rFonts w:hAnsi="仿宋_GB2312" w:hint="eastAsia"/>
        </w:rPr>
        <w:lastRenderedPageBreak/>
        <w:t>（四）</w:t>
      </w:r>
      <w:r w:rsidRPr="0036432B">
        <w:rPr>
          <w:rFonts w:hAnsi="仿宋_GB2312" w:cs="仿宋_GB2312" w:hint="eastAsia"/>
        </w:rPr>
        <w:t>综合行政执法改革</w:t>
      </w:r>
      <w:r>
        <w:rPr>
          <w:rFonts w:hAnsi="仿宋_GB2312" w:hint="eastAsia"/>
        </w:rPr>
        <w:t>。</w:t>
      </w:r>
      <w:r w:rsidRPr="0036432B">
        <w:rPr>
          <w:rFonts w:hAnsi="仿宋_GB2312" w:hint="eastAsia"/>
        </w:rPr>
        <w:t>按照省委的部署要求，开展</w:t>
      </w:r>
      <w:r>
        <w:rPr>
          <w:rFonts w:hAnsi="仿宋_GB2312" w:hint="eastAsia"/>
        </w:rPr>
        <w:t>了</w:t>
      </w:r>
      <w:r w:rsidRPr="0036432B">
        <w:rPr>
          <w:rFonts w:hAnsi="仿宋_GB2312" w:hint="eastAsia"/>
        </w:rPr>
        <w:t>综合行政执</w:t>
      </w:r>
      <w:r>
        <w:rPr>
          <w:rFonts w:hAnsi="仿宋_GB2312" w:hint="eastAsia"/>
        </w:rPr>
        <w:t>法改革调研，印发了市场监管、农业、文化市场、交通运输</w:t>
      </w:r>
      <w:r w:rsidRPr="0036432B">
        <w:rPr>
          <w:rFonts w:hAnsi="仿宋_GB2312" w:hint="eastAsia"/>
        </w:rPr>
        <w:t>等领域的综合行政执法改革方案，</w:t>
      </w:r>
      <w:r>
        <w:rPr>
          <w:rFonts w:hAnsi="仿宋_GB2312" w:cs="仿宋_GB2312" w:hint="eastAsia"/>
          <w:kern w:val="0"/>
        </w:rPr>
        <w:t>将各领域分散的行政处罚及与</w:t>
      </w:r>
      <w:r>
        <w:rPr>
          <w:rFonts w:hAnsi="仿宋_GB2312" w:cs="仿宋_GB2312" w:hint="eastAsia"/>
        </w:rPr>
        <w:t>之相关的行政检查、行政强制等职能进行整合，规范了执法层级；在各乡镇（街道）综合设置了执法队伍，明确乡镇（街道）辅助执法队伍与派驻专业执法队伍的配合关系；在月亮岛街道开展了优化城市管理工作试点，推进执法重心下移，将事权、财权、人事任免建议权、工作考核权等下放到乡镇（街道）。2020年将根据省市统一部署和区委对改革的要求，全面推进</w:t>
      </w:r>
      <w:r w:rsidRPr="0036432B">
        <w:rPr>
          <w:rFonts w:hAnsi="仿宋_GB2312" w:cs="仿宋_GB2312" w:hint="eastAsia"/>
        </w:rPr>
        <w:t>综合行政执法改革</w:t>
      </w:r>
      <w:r>
        <w:rPr>
          <w:rFonts w:hAnsi="仿宋_GB2312" w:cs="仿宋_GB2312" w:hint="eastAsia"/>
        </w:rPr>
        <w:t>和城管体制改革。</w:t>
      </w:r>
    </w:p>
    <w:p w:rsidR="00E93BCB" w:rsidRDefault="00E93BCB" w:rsidP="00E93BCB">
      <w:pPr>
        <w:spacing w:line="560" w:lineRule="exact"/>
        <w:ind w:firstLine="630"/>
      </w:pPr>
      <w:r>
        <w:rPr>
          <w:rFonts w:hAnsi="仿宋_GB2312" w:hint="eastAsia"/>
        </w:rPr>
        <w:t>（五）</w:t>
      </w:r>
      <w:r w:rsidRPr="0060373E">
        <w:rPr>
          <w:rFonts w:hAnsi="仿宋_GB2312" w:cs="仿宋_GB2312" w:hint="eastAsia"/>
        </w:rPr>
        <w:t>事业单位登记管理服务</w:t>
      </w:r>
      <w:r>
        <w:rPr>
          <w:rFonts w:hAnsi="仿宋_GB2312" w:hint="eastAsia"/>
        </w:rPr>
        <w:t>。</w:t>
      </w:r>
      <w:r>
        <w:rPr>
          <w:rFonts w:cs="仿宋_GB2312" w:hint="eastAsia"/>
        </w:rPr>
        <w:t>全面实施登记管理服务标</w:t>
      </w:r>
      <w:r>
        <w:t>准化，推进</w:t>
      </w:r>
      <w:r>
        <w:t>“</w:t>
      </w:r>
      <w:r>
        <w:t>全事项</w:t>
      </w:r>
      <w:r>
        <w:t>”</w:t>
      </w:r>
      <w:r>
        <w:t>、</w:t>
      </w:r>
      <w:r>
        <w:t>“</w:t>
      </w:r>
      <w:r>
        <w:t>全流程</w:t>
      </w:r>
      <w:r>
        <w:t>”</w:t>
      </w:r>
      <w:r>
        <w:t>网上办理，本年度圆满完成3</w:t>
      </w:r>
      <w:r>
        <w:rPr>
          <w:rFonts w:hint="eastAsia"/>
        </w:rPr>
        <w:t>7</w:t>
      </w:r>
      <w:r>
        <w:t>8家事业单位法人年审及公示工作</w:t>
      </w:r>
      <w:r>
        <w:rPr>
          <w:rFonts w:hint="eastAsia"/>
        </w:rPr>
        <w:t>，</w:t>
      </w:r>
      <w:r>
        <w:t>完成事业单位设立登记</w:t>
      </w:r>
      <w:r>
        <w:rPr>
          <w:rFonts w:hint="eastAsia"/>
        </w:rPr>
        <w:t>21</w:t>
      </w:r>
      <w:r>
        <w:t>家、变更登记</w:t>
      </w:r>
      <w:r>
        <w:rPr>
          <w:rFonts w:hint="eastAsia"/>
        </w:rPr>
        <w:t>110</w:t>
      </w:r>
      <w:r>
        <w:t>家、注销登记1</w:t>
      </w:r>
      <w:r>
        <w:rPr>
          <w:rFonts w:hint="eastAsia"/>
        </w:rPr>
        <w:t>5</w:t>
      </w:r>
      <w:r>
        <w:t>家</w:t>
      </w:r>
      <w:r>
        <w:rPr>
          <w:rFonts w:hint="eastAsia"/>
        </w:rPr>
        <w:t>。</w:t>
      </w:r>
    </w:p>
    <w:p w:rsidR="00E93BCB" w:rsidRDefault="00E93BCB" w:rsidP="00E93BCB">
      <w:pPr>
        <w:spacing w:line="600" w:lineRule="exact"/>
        <w:ind w:firstLineChars="200" w:firstLine="600"/>
        <w:rPr>
          <w:rFonts w:ascii="Times New Roman" w:eastAsia="黑体" w:hAnsi="Times New Roman"/>
          <w:sz w:val="30"/>
        </w:rPr>
      </w:pPr>
      <w:r>
        <w:rPr>
          <w:rFonts w:ascii="Times New Roman" w:eastAsia="黑体" w:hAnsi="Times New Roman" w:hint="eastAsia"/>
          <w:sz w:val="30"/>
        </w:rPr>
        <w:t>五</w:t>
      </w:r>
      <w:r>
        <w:rPr>
          <w:rFonts w:ascii="Times New Roman" w:eastAsia="黑体" w:hAnsi="Times New Roman"/>
          <w:sz w:val="30"/>
        </w:rPr>
        <w:t>、部门（单位）整体支出绩效实现情况</w:t>
      </w:r>
    </w:p>
    <w:p w:rsidR="00E93BCB" w:rsidRPr="00725AAD" w:rsidRDefault="00E93BCB" w:rsidP="00E93BCB">
      <w:pPr>
        <w:spacing w:line="560" w:lineRule="exact"/>
        <w:ind w:firstLine="630"/>
      </w:pPr>
      <w:r w:rsidRPr="00725AAD">
        <w:t>（一）履职完成情况：</w:t>
      </w:r>
      <w:r>
        <w:rPr>
          <w:rFonts w:hint="eastAsia"/>
        </w:rPr>
        <w:t>在本年度内圆满地完成了各项年初即定目标，</w:t>
      </w:r>
      <w:r>
        <w:rPr>
          <w:rFonts w:hint="eastAsia"/>
          <w:color w:val="000000"/>
          <w:kern w:val="0"/>
        </w:rPr>
        <w:t>按照“严格总量、盘活存量、有增有减、动态调整”的方针，务实的开展工作，高效推进了机构改革、事业单位分类改革、事业单位登记管理、机关事业单位域名注册管理和机构编制实名制数据库建设等重大工作。</w:t>
      </w:r>
    </w:p>
    <w:p w:rsidR="00E93BCB" w:rsidRPr="00725AAD" w:rsidRDefault="00E93BCB" w:rsidP="00E93BCB">
      <w:pPr>
        <w:spacing w:line="560" w:lineRule="exact"/>
        <w:ind w:firstLine="630"/>
      </w:pPr>
      <w:r w:rsidRPr="00725AAD">
        <w:t>（二）履职效果情况：</w:t>
      </w:r>
      <w:r>
        <w:rPr>
          <w:rFonts w:hint="eastAsia"/>
        </w:rPr>
        <w:t>经过机构改革，全区党政机关事业单位权责更加明晰；全区</w:t>
      </w:r>
      <w:r w:rsidRPr="00922D70">
        <w:rPr>
          <w:rFonts w:ascii="宋体" w:hAnsi="宋体" w:hint="eastAsia"/>
          <w:kern w:val="0"/>
          <w:szCs w:val="21"/>
        </w:rPr>
        <w:t>机构编制资源潜力</w:t>
      </w:r>
      <w:r>
        <w:rPr>
          <w:rFonts w:ascii="宋体" w:hAnsi="宋体" w:hint="eastAsia"/>
          <w:kern w:val="0"/>
          <w:szCs w:val="21"/>
        </w:rPr>
        <w:t>进一步优化，机构编制管理进一步规范。</w:t>
      </w:r>
    </w:p>
    <w:p w:rsidR="00E93BCB" w:rsidRPr="00725AAD" w:rsidRDefault="00E93BCB" w:rsidP="00E93BCB">
      <w:pPr>
        <w:spacing w:line="560" w:lineRule="exact"/>
        <w:ind w:firstLine="630"/>
      </w:pPr>
      <w:r w:rsidRPr="00725AAD">
        <w:lastRenderedPageBreak/>
        <w:t>（三）社会满意度情况</w:t>
      </w:r>
      <w:r>
        <w:rPr>
          <w:rFonts w:hint="eastAsia"/>
        </w:rPr>
        <w:t>：满意度100%。</w:t>
      </w:r>
    </w:p>
    <w:p w:rsidR="00E93BCB" w:rsidRDefault="00E93BCB" w:rsidP="00E93BCB">
      <w:pPr>
        <w:spacing w:line="600" w:lineRule="exact"/>
        <w:ind w:firstLineChars="200" w:firstLine="600"/>
        <w:rPr>
          <w:rFonts w:ascii="Times New Roman" w:eastAsia="黑体" w:hAnsi="Times New Roman"/>
          <w:sz w:val="30"/>
        </w:rPr>
      </w:pPr>
      <w:r>
        <w:rPr>
          <w:rFonts w:ascii="Times New Roman" w:eastAsia="黑体" w:hAnsi="Times New Roman" w:hint="eastAsia"/>
          <w:sz w:val="30"/>
        </w:rPr>
        <w:t>六</w:t>
      </w:r>
      <w:r>
        <w:rPr>
          <w:rFonts w:ascii="Times New Roman" w:eastAsia="黑体" w:hAnsi="Times New Roman"/>
          <w:sz w:val="30"/>
        </w:rPr>
        <w:t>、部门（单位）整体支出绩效中存在问题及改进措施</w:t>
      </w:r>
    </w:p>
    <w:p w:rsidR="00E93BCB" w:rsidRPr="00A87A87" w:rsidRDefault="00E93BCB" w:rsidP="00E93BCB">
      <w:pPr>
        <w:spacing w:line="560" w:lineRule="exact"/>
        <w:ind w:firstLine="630"/>
      </w:pPr>
      <w:r w:rsidRPr="00A87A87">
        <w:rPr>
          <w:rFonts w:hint="eastAsia"/>
        </w:rPr>
        <w:t>无</w:t>
      </w:r>
    </w:p>
    <w:p w:rsidR="00E93BCB" w:rsidRDefault="00E93BCB" w:rsidP="00E93BCB">
      <w:pPr>
        <w:spacing w:line="600" w:lineRule="exact"/>
        <w:ind w:firstLineChars="200" w:firstLine="600"/>
        <w:rPr>
          <w:rFonts w:ascii="Times New Roman" w:hAnsi="Times New Roman"/>
          <w:sz w:val="30"/>
        </w:rPr>
      </w:pPr>
      <w:r>
        <w:rPr>
          <w:rFonts w:ascii="Times New Roman" w:eastAsia="黑体" w:hAnsi="Times New Roman"/>
          <w:sz w:val="30"/>
        </w:rPr>
        <w:t>七、其它需要说明的情况</w:t>
      </w:r>
    </w:p>
    <w:p w:rsidR="00E93BCB" w:rsidRDefault="00E93BCB" w:rsidP="00E93BCB">
      <w:pPr>
        <w:spacing w:line="560" w:lineRule="exact"/>
        <w:ind w:firstLine="630"/>
      </w:pPr>
      <w:r>
        <w:rPr>
          <w:rFonts w:hint="eastAsia"/>
        </w:rPr>
        <w:t>无</w:t>
      </w:r>
    </w:p>
    <w:p w:rsidR="00E93BCB" w:rsidRDefault="00E93BCB" w:rsidP="00E93BCB">
      <w:pPr>
        <w:spacing w:line="560" w:lineRule="exact"/>
        <w:ind w:firstLine="630"/>
      </w:pPr>
    </w:p>
    <w:p w:rsidR="00D32EAA" w:rsidRPr="003F2A04" w:rsidRDefault="00D32EAA"/>
    <w:sectPr w:rsidR="00D32EAA" w:rsidRPr="003F2A04" w:rsidSect="00D32EA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73CA" w:rsidRDefault="00CE73CA" w:rsidP="00DC6B38">
      <w:pPr>
        <w:spacing w:line="240" w:lineRule="auto"/>
      </w:pPr>
      <w:r>
        <w:separator/>
      </w:r>
    </w:p>
  </w:endnote>
  <w:endnote w:type="continuationSeparator" w:id="1">
    <w:p w:rsidR="00CE73CA" w:rsidRDefault="00CE73CA" w:rsidP="00DC6B3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altName w:val="黑体"/>
    <w:panose1 w:val="00000000000000000000"/>
    <w:charset w:val="86"/>
    <w:family w:val="script"/>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73CA" w:rsidRDefault="00CE73CA" w:rsidP="00DC6B38">
      <w:pPr>
        <w:spacing w:line="240" w:lineRule="auto"/>
      </w:pPr>
      <w:r>
        <w:separator/>
      </w:r>
    </w:p>
  </w:footnote>
  <w:footnote w:type="continuationSeparator" w:id="1">
    <w:p w:rsidR="00CE73CA" w:rsidRDefault="00CE73CA" w:rsidP="00DC6B38">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2A04"/>
    <w:rsid w:val="00111682"/>
    <w:rsid w:val="003E672E"/>
    <w:rsid w:val="003F2A04"/>
    <w:rsid w:val="005719CC"/>
    <w:rsid w:val="006027C7"/>
    <w:rsid w:val="0069733D"/>
    <w:rsid w:val="007B7DCE"/>
    <w:rsid w:val="0086036D"/>
    <w:rsid w:val="00913162"/>
    <w:rsid w:val="00A94BE3"/>
    <w:rsid w:val="00B11A97"/>
    <w:rsid w:val="00B51399"/>
    <w:rsid w:val="00CE73CA"/>
    <w:rsid w:val="00D32EAA"/>
    <w:rsid w:val="00DC6B38"/>
    <w:rsid w:val="00E93B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A04"/>
    <w:pPr>
      <w:widowControl w:val="0"/>
      <w:spacing w:line="580" w:lineRule="exact"/>
      <w:jc w:val="both"/>
    </w:pPr>
    <w:rPr>
      <w:rFonts w:ascii="仿宋_GB2312" w:eastAsia="仿宋_GB2312" w:hAnsi="Calibri"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C6B38"/>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DC6B38"/>
    <w:rPr>
      <w:rFonts w:ascii="仿宋_GB2312" w:eastAsia="仿宋_GB2312" w:hAnsi="Calibri" w:cs="Times New Roman"/>
      <w:sz w:val="18"/>
      <w:szCs w:val="18"/>
    </w:rPr>
  </w:style>
  <w:style w:type="paragraph" w:styleId="a4">
    <w:name w:val="footer"/>
    <w:basedOn w:val="a"/>
    <w:link w:val="Char0"/>
    <w:uiPriority w:val="99"/>
    <w:semiHidden/>
    <w:unhideWhenUsed/>
    <w:rsid w:val="00DC6B38"/>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DC6B38"/>
    <w:rPr>
      <w:rFonts w:ascii="仿宋_GB2312" w:eastAsia="仿宋_GB2312"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9</Pages>
  <Words>781</Words>
  <Characters>4458</Characters>
  <Application>Microsoft Office Word</Application>
  <DocSecurity>0</DocSecurity>
  <Lines>37</Lines>
  <Paragraphs>10</Paragraphs>
  <ScaleCrop>false</ScaleCrop>
  <Company>Microsoft</Company>
  <LinksUpToDate>false</LinksUpToDate>
  <CharactersWithSpaces>5229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6</cp:revision>
  <dcterms:created xsi:type="dcterms:W3CDTF">2020-04-10T03:25:00Z</dcterms:created>
  <dcterms:modified xsi:type="dcterms:W3CDTF">2020-08-28T12:28:00Z</dcterms:modified>
</cp:coreProperties>
</file>