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望城区2019年部门整体支出绩效目标申报表</w:t>
      </w: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eastAsia="黑体"/>
          <w:kern w:val="0"/>
          <w:szCs w:val="21"/>
        </w:rPr>
        <w:tab/>
      </w:r>
      <w:r>
        <w:rPr>
          <w:rFonts w:hint="eastAsia" w:eastAsia="黑体"/>
          <w:kern w:val="0"/>
          <w:szCs w:val="21"/>
        </w:rPr>
        <w:t>长沙市望城区财政局</w:t>
      </w:r>
    </w:p>
    <w:tbl>
      <w:tblPr>
        <w:tblStyle w:val="5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420"/>
        <w:gridCol w:w="567"/>
        <w:gridCol w:w="708"/>
        <w:gridCol w:w="3505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60" w:type="dxa"/>
            <w:gridSpan w:val="2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980" w:type="dxa"/>
            <w:gridSpan w:val="4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　长沙市望城区财政局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98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4185.6</w:t>
            </w:r>
            <w:r>
              <w:rPr>
                <w:rFonts w:hint="eastAsia" w:ascii="宋体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78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780" w:type="dxa"/>
            <w:gridSpan w:val="3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4185.6</w:t>
            </w:r>
            <w:r>
              <w:rPr>
                <w:rFonts w:hint="eastAsia" w:ascii="宋体" w:hAnsi="宋体"/>
                <w:kern w:val="0"/>
                <w:szCs w:val="21"/>
              </w:rPr>
              <w:t>万元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2355.6</w:t>
            </w:r>
            <w:r>
              <w:rPr>
                <w:rFonts w:hint="eastAsia" w:ascii="宋体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78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政府性基金拨款：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1830</w:t>
            </w:r>
            <w:r>
              <w:rPr>
                <w:rFonts w:hint="eastAsia" w:ascii="宋体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78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78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其他资金：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ind w:firstLine="1470" w:firstLineChars="700"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2" w:hRule="atLeast"/>
          <w:jc w:val="center"/>
        </w:trPr>
        <w:tc>
          <w:tcPr>
            <w:tcW w:w="1660" w:type="dxa"/>
            <w:gridSpan w:val="2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980" w:type="dxa"/>
            <w:gridSpan w:val="4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组织贯彻执行国家财税法律、法规和方针政策，拟定全区财政政策、改革方案草案并监督执行；参与制订各项宏观经济政策；提出运用财税政策实施宏观调控和综合平衡社会财力的建议。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负责编制区本级年度区级预算草案并组织预算执行；汇编全区财政收支预算，汇总全区财政总决算；受区人民政府委托，向区人大常委会报告年度预算及执行情况，向区人大常委会报告决算；组织制定全区经费开支标准、定额草案，承担审核批复部门（单位）的年度预决算责任，根据区人民政府授权，依法对各乡镇人民政府的预算执行情况实施监督。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承担政府非税收入管理责任，按规定管理政府性基金；管理财政票据，承担彩票监督管理工作。4、组织制定国库管理制度、国库集中支付制度，指导和监督本级国库业务，按规定开展国库资金管理工作；制定政府采购相关制度并监督实施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5、管理行政事业单位国有资产，组织实施国有资产的清产核资、产权界定和登记；负责国有资产管理的统计、分析、转让和处置以及产权纠纷调处与行政仲裁；负责产权交易、资产评估、国有资本运营管理。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6、负责审核部门预算项目支出和政府投资项目决算；推行重点工程项目的报账管理；承担农业财务、财政支农有关专项资金和农业综合开发责任。执行社会保障资金的财务管理制度。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7、贯彻执行政府内外债务管理的政策、制度和办法，防范财政风险。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8、承担全区的会计管理责任；组织财会人员培训；指导和管理社会审计。监督财税方针政策、法律法规的执行情况；监督执行会计规章制度，检查反映财政收支管理中的重大问题；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9、承办区委、区人民政府和上级主管部门交办的其他事项。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60" w:type="dxa"/>
            <w:gridSpan w:val="2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98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目标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全力以赴促增收。坚定“在高质量发展进程中奋力赶超”的目标要求，不断夯实财源基础，确保实现财税收入过百亿</w:t>
            </w:r>
            <w:r>
              <w:rPr>
                <w:rFonts w:hint="eastAsia"/>
                <w:kern w:val="0"/>
                <w:sz w:val="18"/>
                <w:szCs w:val="18"/>
              </w:rPr>
              <w:t>的历史新跨越。企业帮扶再精准。开展重大行业、重点企业精准帮扶，落实减税降费政策，加大融资担保，缓解民营企业融资难融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资贵等难题，支持出台现代服务业奖补政策，切实降低营商成本，支持实体经济做大做强。招商引资再发力。加大“四新”产业招商引资力度，持续推进“四上”企业引进培育，培育龙头产业链条，支持企业技术创新，形成新的税收增长极。税收征管再创新。充分运用综合治税平台大数据优势，强化涉税信息分析，打造税收征管新亮点。深化协税办、项目办、帮扶办、基税办等部门联动，实现项目服务与税收征缴同步推进，勤征细管，确保颗粒归仓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目标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千方百计保民生。统筹全区财力，将新增财力的80%以上用于优先保障和改善民生。深入推进脱贫攻坚。认真落实就业扶贫、产业扶贫、教育扶贫等精准扶贫政策，提高就业质量和居民收入水平，强化社会政策兜底保障功能，让困难群众共享改革发展成果。持续加大公共投入。推进教育基础设施建设，优化教育资源配置，支持人民医院整体迁建，加大公共安全、科学技术、文化体育等投入，提升公共服务水平。大力支持污染防治。加强截污管网等城乡基础设施建设，服务蓝天保卫战、碧水攻坚战，创建天蓝水清的绿色宜居生态环境。全力助推乡村振兴。培育新型村级集体经济，发展望城特色农业，支持乡村产业振兴；深化农村“五治”、改善农村人居环境，支持农村生态振兴；同步推进乡村组织、人才、文化振兴，全力助推城乡统筹样板区建设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目标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3：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务实创新谋改革。深化财政改革，有效防范风险，持续优化财政运行。全面实施预算绩效管理。强化政府债务、PPP等政府投融资活动的全预算管控，健全预算绩效管理体系，强调成本效益，硬化责任约束，提高预算管理水平和政策实施效率，促进预算和绩效管理一体化。切实防范政府债务风险。坚持尽力而为、量力而行铺排政府投资项目、出台民生政策，完善政府债务预警机制和考核体系，努力争取一般债券和专项债券额度，积极稳妥处理政府债务风险。推动国资国企改革发展。加强国有资产有偿使用收入征收管理和闲置资产处置，推进平台公司市场化转型，支持推动完成“僵尸企业”处置。落实政府会计制度改革。实施权责发生制记账方式及政府综合财务报告制度改革，提高会计信息质量，规范行政事业单位财务管理。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目标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4：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锱铢必较强监管。健全制度体系，强化执行监督，提升财政管理水平。优化国库集中支付。推进国库集中支付电子化改革，强化预算执行动态监控体系建设，提高支付效率和保障资金安全。提高投资评审效能。加强项目预结算评审管理，进一步规范评审流程，严格审核标准，提高评审效率。规范政府采购行为。严把采购预算关口，启用政府采购云服务平台，开通电子卖场，提高服务效率和诚信度。打造一流干部队伍。坚持全面从严管党治党，着力创建“精神状态好、民主决策好、推动发展好、服务群众好、廉洁从政好”的五好领导班子；牢固树立“四精”理念，注重专业训练和实践磨炼，打造忠诚干净担当的高素质财政干部队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6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6705" w:type="dxa"/>
            <w:gridSpan w:val="2"/>
            <w:vAlign w:val="center"/>
          </w:tcPr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：完成全年财税总收入，完成市对区考核指标“财政总收入”“财政收入质量”，预计1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年财政总收入为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亿。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强化社会保障托底，加大社会事业投入，按要求及时足额保障教育、医疗卫生、社保保障等资金到位。保障教育事业的发展；配套城乡医保，提高城乡养老保险和低保补助标准，促进就业和再就业；加强乡镇卫生院建设等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：全力助推乡村振兴，培育新型村级集体经济，发展望城特色农业，支持乡村产业振兴。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指标4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：支持项目建设，为全区环境执法、环境监管、社区提质提档、生态项目建设提供资金保障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：加强预算管理和绩效评价，做到先预算后支出，对20个部门公共专项和4个部门整体支出进行财政支出绩效评价；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：全面实施预算绩效管理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：科学管控债务，加强政府债务动态管理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：加强预决算公开，保障公开到位率100%；</w:t>
            </w:r>
          </w:p>
          <w:p>
            <w:pPr>
              <w:rPr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：加强投资评审工作，优化评审流程，加快评审进度，预计完成预结（决）算项目1000个以上等。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6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6705" w:type="dxa"/>
            <w:gridSpan w:val="2"/>
            <w:vAlign w:val="center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收入征管更加精准。支出保障更加到位。项目服务更加有效。财政改革更加深入。资金监管更加严格。队伍建设更加有力。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413" w:type="dxa"/>
            <w:gridSpan w:val="3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ind w:firstLine="4095" w:firstLineChars="19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413" w:type="dxa"/>
            <w:gridSpan w:val="3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ind w:firstLine="4095" w:firstLineChars="19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413" w:type="dxa"/>
            <w:gridSpan w:val="3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eastAsia="zh-CN"/>
        </w:rPr>
        <w:t>欧阳舞婵</w:t>
      </w:r>
      <w:r>
        <w:rPr>
          <w:kern w:val="0"/>
          <w:szCs w:val="21"/>
        </w:rPr>
        <w:t xml:space="preserve"> 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  <w:lang w:val="en-US" w:eastAsia="zh-CN"/>
        </w:rPr>
        <w:t>18570621952</w:t>
      </w:r>
      <w:r>
        <w:rPr>
          <w:kern w:val="0"/>
          <w:szCs w:val="21"/>
        </w:rPr>
        <w:t xml:space="preserve">      </w:t>
      </w:r>
      <w:r>
        <w:rPr>
          <w:rFonts w:hint="eastAsia"/>
          <w:kern w:val="0"/>
          <w:szCs w:val="21"/>
        </w:rPr>
        <w:t>填报日期：201</w:t>
      </w:r>
      <w:r>
        <w:rPr>
          <w:rFonts w:hint="eastAsia"/>
          <w:kern w:val="0"/>
          <w:szCs w:val="21"/>
          <w:lang w:val="en-US" w:eastAsia="zh-CN"/>
        </w:rPr>
        <w:t>9</w:t>
      </w:r>
      <w:r>
        <w:rPr>
          <w:rFonts w:hint="eastAsia"/>
          <w:kern w:val="0"/>
          <w:szCs w:val="21"/>
        </w:rPr>
        <w:t>年</w:t>
      </w:r>
      <w:r>
        <w:rPr>
          <w:rFonts w:hint="eastAsia"/>
          <w:kern w:val="0"/>
          <w:szCs w:val="21"/>
          <w:lang w:val="en-US" w:eastAsia="zh-CN"/>
        </w:rPr>
        <w:t>1</w:t>
      </w:r>
      <w:r>
        <w:rPr>
          <w:rFonts w:hint="eastAsia"/>
          <w:kern w:val="0"/>
          <w:szCs w:val="21"/>
        </w:rPr>
        <w:t>月</w:t>
      </w:r>
      <w:r>
        <w:rPr>
          <w:rFonts w:hint="eastAsia"/>
          <w:kern w:val="0"/>
          <w:szCs w:val="21"/>
          <w:lang w:val="en-US" w:eastAsia="zh-CN"/>
        </w:rPr>
        <w:t>30</w:t>
      </w:r>
      <w:r>
        <w:rPr>
          <w:rFonts w:hint="eastAsia"/>
          <w:kern w:val="0"/>
          <w:szCs w:val="21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0DC5C6"/>
    <w:multiLevelType w:val="singleLevel"/>
    <w:tmpl w:val="F40DC5C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1297D"/>
    <w:rsid w:val="06B75954"/>
    <w:rsid w:val="20734CC2"/>
    <w:rsid w:val="2841386F"/>
    <w:rsid w:val="35675A41"/>
    <w:rsid w:val="36401032"/>
    <w:rsid w:val="36E14F2D"/>
    <w:rsid w:val="3AAF73B6"/>
    <w:rsid w:val="3F0B0767"/>
    <w:rsid w:val="3FA1297D"/>
    <w:rsid w:val="453C54B4"/>
    <w:rsid w:val="49EE0243"/>
    <w:rsid w:val="4C6D76A6"/>
    <w:rsid w:val="567F1638"/>
    <w:rsid w:val="62E96F40"/>
    <w:rsid w:val="6D685DD1"/>
    <w:rsid w:val="6FB0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2019-03-19T03:25:00Z</dcterms:created>
  <dc:creator>Administrator</dc:creator>
  <cp:lastModifiedBy>Administrator</cp:lastModifiedBy>
  <cp:lastPrinted>2019-03-27T08:38:45Z</cp:lastPrinted>
  <dcterms:modified xsi:type="dcterms:W3CDTF">2019-03-27T08:47:59Z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