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方正小标宋_GBK" w:hAnsi="方正小标宋_GBK" w:eastAsia="方正小标宋_GBK" w:cs="方正小标宋_GBK"/>
          <w:sz w:val="36"/>
          <w:szCs w:val="36"/>
        </w:rPr>
      </w:pPr>
    </w:p>
    <w:p>
      <w:pPr>
        <w:spacing w:line="600" w:lineRule="exact"/>
        <w:jc w:val="center"/>
        <w:rPr>
          <w:rFonts w:hint="default" w:ascii="Times New Roman" w:hAnsi="Times New Roman" w:eastAsia="方正小标宋简体" w:cs="Times New Roman"/>
          <w:sz w:val="36"/>
          <w:szCs w:val="36"/>
        </w:rPr>
      </w:pPr>
      <w:r>
        <w:rPr>
          <w:rFonts w:hint="eastAsia" w:ascii="方正小标宋_GBK" w:hAnsi="方正小标宋_GBK" w:eastAsia="方正小标宋_GBK" w:cs="方正小标宋_GBK"/>
          <w:sz w:val="36"/>
          <w:szCs w:val="36"/>
          <w:lang w:val="en-US" w:eastAsia="zh-CN"/>
        </w:rPr>
        <w:t>2019</w:t>
      </w:r>
      <w:r>
        <w:rPr>
          <w:rFonts w:hint="eastAsia" w:ascii="方正小标宋_GBK" w:hAnsi="方正小标宋_GBK" w:eastAsia="方正小标宋_GBK" w:cs="方正小标宋_GBK"/>
          <w:sz w:val="36"/>
          <w:szCs w:val="36"/>
        </w:rPr>
        <w:t>年度</w:t>
      </w:r>
      <w:r>
        <w:rPr>
          <w:rFonts w:hint="eastAsia" w:ascii="方正小标宋_GBK" w:hAnsi="方正小标宋_GBK" w:eastAsia="方正小标宋_GBK" w:cs="方正小标宋_GBK"/>
          <w:sz w:val="36"/>
          <w:szCs w:val="36"/>
          <w:lang w:eastAsia="zh-CN"/>
        </w:rPr>
        <w:t>区工商联</w:t>
      </w:r>
      <w:r>
        <w:rPr>
          <w:rFonts w:hint="eastAsia" w:ascii="方正小标宋_GBK" w:hAnsi="方正小标宋_GBK" w:eastAsia="方正小标宋_GBK" w:cs="方正小标宋_GBK"/>
          <w:sz w:val="36"/>
          <w:szCs w:val="36"/>
        </w:rPr>
        <w:t>部门整体支出预算绩效</w:t>
      </w:r>
      <w:r>
        <w:rPr>
          <w:rFonts w:hint="default" w:ascii="方正小标宋_GBK" w:hAnsi="方正小标宋_GBK" w:eastAsia="方正小标宋_GBK" w:cs="方正小标宋_GBK"/>
          <w:sz w:val="36"/>
          <w:szCs w:val="36"/>
        </w:rPr>
        <w:t>自评报告</w:t>
      </w:r>
    </w:p>
    <w:p>
      <w:pPr>
        <w:spacing w:line="600" w:lineRule="exact"/>
        <w:jc w:val="both"/>
        <w:rPr>
          <w:rFonts w:hint="default" w:ascii="Times New Roman" w:hAnsi="Times New Roman" w:eastAsia="仿宋_GB2312" w:cs="Times New Roman"/>
          <w:sz w:val="32"/>
          <w:szCs w:val="32"/>
        </w:rPr>
      </w:pPr>
      <w:bookmarkStart w:id="0" w:name="_GoBack"/>
      <w:bookmarkEnd w:id="0"/>
    </w:p>
    <w:p>
      <w:pPr>
        <w:numPr>
          <w:ilvl w:val="0"/>
          <w:numId w:val="1"/>
        </w:num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部门（单位）基本情况</w:t>
      </w:r>
    </w:p>
    <w:p>
      <w:pPr>
        <w:spacing w:line="600" w:lineRule="exact"/>
        <w:ind w:firstLine="640" w:firstLineChars="200"/>
        <w:rPr>
          <w:rFonts w:hint="default" w:ascii="Times New Roman" w:hAnsi="Times New Roman" w:eastAsia="黑体" w:cs="Times New Roman"/>
          <w:sz w:val="30"/>
        </w:rPr>
      </w:pPr>
      <w:r>
        <w:rPr>
          <w:rFonts w:hint="eastAsia" w:hAnsi="仿宋"/>
          <w:color w:val="000000" w:themeColor="text1"/>
          <w:sz w:val="32"/>
          <w:szCs w:val="32"/>
          <w:lang w:eastAsia="zh-CN"/>
          <w14:textFill>
            <w14:solidFill>
              <w14:schemeClr w14:val="tx1"/>
            </w14:solidFill>
          </w14:textFill>
        </w:rPr>
        <w:t>望城区</w:t>
      </w:r>
      <w:r>
        <w:rPr>
          <w:rFonts w:hint="eastAsia" w:ascii="仿宋_GB2312" w:hAnsi="仿宋" w:eastAsia="仿宋_GB2312"/>
          <w:color w:val="000000" w:themeColor="text1"/>
          <w:sz w:val="32"/>
          <w:szCs w:val="32"/>
          <w14:textFill>
            <w14:solidFill>
              <w14:schemeClr w14:val="tx1"/>
            </w14:solidFill>
          </w14:textFill>
        </w:rPr>
        <w:t>工商业联合会是</w:t>
      </w:r>
      <w:r>
        <w:rPr>
          <w:rFonts w:hint="eastAsia" w:hAnsi="仿宋"/>
          <w:color w:val="000000" w:themeColor="text1"/>
          <w:sz w:val="32"/>
          <w:szCs w:val="32"/>
          <w:lang w:eastAsia="zh-CN"/>
          <w14:textFill>
            <w14:solidFill>
              <w14:schemeClr w14:val="tx1"/>
            </w14:solidFill>
          </w14:textFill>
        </w:rPr>
        <w:t>区委</w:t>
      </w:r>
      <w:r>
        <w:rPr>
          <w:rFonts w:hint="eastAsia" w:ascii="仿宋_GB2312" w:hAnsi="仿宋" w:eastAsia="仿宋_GB2312"/>
          <w:color w:val="000000" w:themeColor="text1"/>
          <w:sz w:val="32"/>
          <w:szCs w:val="32"/>
          <w14:textFill>
            <w14:solidFill>
              <w14:schemeClr w14:val="tx1"/>
            </w14:solidFill>
          </w14:textFill>
        </w:rPr>
        <w:t>领导的</w:t>
      </w:r>
      <w:r>
        <w:rPr>
          <w:rFonts w:hint="eastAsia" w:hAnsi="仿宋"/>
          <w:color w:val="000000" w:themeColor="text1"/>
          <w:sz w:val="32"/>
          <w:szCs w:val="32"/>
          <w:lang w:eastAsia="zh-CN"/>
          <w14:textFill>
            <w14:solidFill>
              <w14:schemeClr w14:val="tx1"/>
            </w14:solidFill>
          </w14:textFill>
        </w:rPr>
        <w:t>望城区</w:t>
      </w:r>
      <w:r>
        <w:rPr>
          <w:rFonts w:hint="eastAsia" w:ascii="仿宋_GB2312" w:hAnsi="仿宋" w:eastAsia="仿宋_GB2312"/>
          <w:color w:val="000000" w:themeColor="text1"/>
          <w:sz w:val="32"/>
          <w:szCs w:val="32"/>
          <w14:textFill>
            <w14:solidFill>
              <w14:schemeClr w14:val="tx1"/>
            </w14:solidFill>
          </w14:textFill>
        </w:rPr>
        <w:t>工商界组成的人民团体和商会组织，是党和政府联系非公有制经济人士的桥梁纽带，是政府管理非公有制经济的助手</w:t>
      </w:r>
      <w:r>
        <w:rPr>
          <w:rFonts w:hint="eastAsia" w:hAnsi="仿宋"/>
          <w:color w:val="000000" w:themeColor="text1"/>
          <w:sz w:val="32"/>
          <w:szCs w:val="32"/>
          <w:lang w:eastAsia="zh-CN"/>
          <w14:textFill>
            <w14:solidFill>
              <w14:schemeClr w14:val="tx1"/>
            </w14:solidFill>
          </w14:textFill>
        </w:rPr>
        <w:t>，</w:t>
      </w:r>
      <w:r>
        <w:rPr>
          <w:rFonts w:hint="eastAsia" w:ascii="仿宋_GB2312" w:hAnsi="仿宋_GB2312" w:eastAsia="仿宋_GB2312" w:cs="仿宋_GB2312"/>
          <w:sz w:val="32"/>
          <w:szCs w:val="32"/>
        </w:rPr>
        <w:t>为参照公务员管理单位。全会共有编制人数为</w:t>
      </w:r>
      <w:r>
        <w:rPr>
          <w:rFonts w:hint="eastAsia" w:hAnsi="仿宋_GB2312" w:cs="仿宋_GB2312"/>
          <w:sz w:val="32"/>
          <w:szCs w:val="32"/>
          <w:lang w:val="en-US" w:eastAsia="zh-CN"/>
        </w:rPr>
        <w:t>5</w:t>
      </w:r>
      <w:r>
        <w:rPr>
          <w:rFonts w:hint="eastAsia" w:ascii="仿宋_GB2312" w:hAnsi="仿宋_GB2312" w:eastAsia="仿宋_GB2312" w:cs="仿宋_GB2312"/>
          <w:sz w:val="32"/>
          <w:szCs w:val="32"/>
        </w:rPr>
        <w:t>人，其中：行政编制</w:t>
      </w:r>
      <w:r>
        <w:rPr>
          <w:rFonts w:hint="eastAsia" w:hAnsi="仿宋_GB2312" w:cs="仿宋_GB2312"/>
          <w:sz w:val="32"/>
          <w:szCs w:val="32"/>
          <w:lang w:val="en-US" w:eastAsia="zh-CN"/>
        </w:rPr>
        <w:t>4</w:t>
      </w:r>
      <w:r>
        <w:rPr>
          <w:rFonts w:hint="eastAsia" w:ascii="仿宋_GB2312" w:hAnsi="仿宋_GB2312" w:eastAsia="仿宋_GB2312" w:cs="仿宋_GB2312"/>
          <w:sz w:val="32"/>
          <w:szCs w:val="32"/>
        </w:rPr>
        <w:t>名，事业编制1人。现有在职在编</w:t>
      </w:r>
      <w:r>
        <w:rPr>
          <w:rFonts w:hint="eastAsia" w:hAnsi="仿宋_GB2312" w:cs="仿宋_GB2312"/>
          <w:sz w:val="32"/>
          <w:szCs w:val="32"/>
          <w:lang w:val="en-US" w:eastAsia="zh-CN"/>
        </w:rPr>
        <w:t>6</w:t>
      </w:r>
      <w:r>
        <w:rPr>
          <w:rFonts w:hint="eastAsia" w:ascii="仿宋_GB2312" w:hAnsi="仿宋_GB2312" w:eastAsia="仿宋_GB2312" w:cs="仿宋_GB2312"/>
          <w:sz w:val="32"/>
          <w:szCs w:val="32"/>
        </w:rPr>
        <w:t>人，其中正科级1人，副科级3人，科员1人</w:t>
      </w:r>
      <w:r>
        <w:rPr>
          <w:rFonts w:hint="eastAsia" w:hAnsi="仿宋_GB2312" w:cs="仿宋_GB2312"/>
          <w:sz w:val="32"/>
          <w:szCs w:val="32"/>
          <w:lang w:eastAsia="zh-CN"/>
        </w:rPr>
        <w:t>，事业干部</w:t>
      </w:r>
      <w:r>
        <w:rPr>
          <w:rFonts w:hint="eastAsia" w:hAnsi="仿宋_GB2312" w:cs="仿宋_GB2312"/>
          <w:sz w:val="32"/>
          <w:szCs w:val="32"/>
          <w:lang w:val="en-US" w:eastAsia="zh-CN"/>
        </w:rPr>
        <w:t>1人</w:t>
      </w:r>
      <w:r>
        <w:rPr>
          <w:rFonts w:hint="eastAsia" w:ascii="仿宋_GB2312" w:hAnsi="仿宋_GB2312" w:eastAsia="仿宋_GB2312" w:cs="仿宋_GB2312"/>
          <w:sz w:val="32"/>
          <w:szCs w:val="32"/>
        </w:rPr>
        <w:t>；临聘人员2名；退休人员4人。</w:t>
      </w:r>
    </w:p>
    <w:p>
      <w:pPr>
        <w:numPr>
          <w:ilvl w:val="0"/>
          <w:numId w:val="1"/>
        </w:numPr>
        <w:spacing w:line="600" w:lineRule="exact"/>
        <w:ind w:left="0" w:leftChars="0"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部门（单位）预算管理及执行情况</w:t>
      </w:r>
    </w:p>
    <w:p>
      <w:pPr>
        <w:spacing w:line="600" w:lineRule="exact"/>
        <w:ind w:firstLine="640" w:firstLineChars="200"/>
        <w:rPr>
          <w:rFonts w:hint="default" w:hAnsi="仿宋"/>
        </w:rPr>
      </w:pPr>
      <w:r>
        <w:rPr>
          <w:rFonts w:hint="eastAsia" w:hAnsi="仿宋"/>
        </w:rPr>
        <w:t>2019年财政拨款收入年初预算数为</w:t>
      </w:r>
      <w:r>
        <w:rPr>
          <w:rFonts w:hint="eastAsia" w:hAnsi="仿宋"/>
          <w:lang w:val="en-US" w:eastAsia="zh-CN"/>
        </w:rPr>
        <w:t>254.152</w:t>
      </w:r>
      <w:r>
        <w:rPr>
          <w:rFonts w:hint="default" w:hAnsi="仿宋"/>
        </w:rPr>
        <w:t>万，</w:t>
      </w:r>
      <w:r>
        <w:rPr>
          <w:rFonts w:hint="eastAsia" w:hAnsi="仿宋"/>
        </w:rPr>
        <w:t>年度执行中调整支出数为</w:t>
      </w:r>
      <w:r>
        <w:rPr>
          <w:rFonts w:hint="eastAsia" w:hAnsi="仿宋"/>
          <w:lang w:val="en-US" w:eastAsia="zh-CN"/>
        </w:rPr>
        <w:t>263.965</w:t>
      </w:r>
      <w:r>
        <w:rPr>
          <w:rFonts w:hint="default" w:hAnsi="仿宋"/>
        </w:rPr>
        <w:t>万</w:t>
      </w:r>
      <w:r>
        <w:rPr>
          <w:rFonts w:hint="eastAsia" w:hAnsi="仿宋"/>
        </w:rPr>
        <w:t>，其中：</w:t>
      </w:r>
    </w:p>
    <w:p>
      <w:pPr>
        <w:widowControl/>
        <w:spacing w:line="560" w:lineRule="exact"/>
        <w:ind w:firstLine="627" w:firstLineChars="196"/>
      </w:pPr>
      <w:r>
        <w:rPr>
          <w:rFonts w:hint="eastAsia" w:hAnsi="仿宋"/>
        </w:rPr>
        <w:t>（1）</w:t>
      </w:r>
      <w:r>
        <w:rPr>
          <w:rFonts w:hint="eastAsia"/>
        </w:rPr>
        <w:t>基本支出：2019年决算数为</w:t>
      </w:r>
      <w:r>
        <w:rPr>
          <w:rFonts w:hint="eastAsia"/>
          <w:lang w:val="en-US" w:eastAsia="zh-CN"/>
        </w:rPr>
        <w:t>156.178</w:t>
      </w:r>
      <w:r>
        <w:rPr>
          <w:rFonts w:hint="eastAsia"/>
        </w:rPr>
        <w:t>万元，是指为保障单位机构运转、完成日常工作任务而发生的各项支出，包括基本工资、津贴补贴等人员经费以及办公费、印刷费、水电费、办公设备购置等日常公用经费。</w:t>
      </w:r>
    </w:p>
    <w:p>
      <w:pPr>
        <w:widowControl/>
        <w:spacing w:line="560" w:lineRule="exact"/>
        <w:ind w:firstLine="627" w:firstLineChars="196"/>
        <w:rPr>
          <w:rFonts w:hint="eastAsia"/>
          <w:lang w:val="en-US" w:eastAsia="zh-CN"/>
        </w:rPr>
      </w:pPr>
      <w:r>
        <w:rPr>
          <w:rFonts w:hint="eastAsia"/>
        </w:rPr>
        <w:t>（2）项目支出：2019年决算数为</w:t>
      </w:r>
      <w:r>
        <w:rPr>
          <w:rFonts w:hint="eastAsia"/>
          <w:lang w:val="en-US" w:eastAsia="zh-CN"/>
        </w:rPr>
        <w:t>107.787</w:t>
      </w:r>
      <w:r>
        <w:rPr>
          <w:rFonts w:hint="eastAsia"/>
        </w:rPr>
        <w:t>万元，是指单位为完成特定行政工作而发生的支出，其中：</w:t>
      </w:r>
      <w:r>
        <w:rPr>
          <w:rFonts w:hint="eastAsia"/>
          <w:lang w:eastAsia="zh-CN"/>
        </w:rPr>
        <w:t>日常经费</w:t>
      </w:r>
      <w:r>
        <w:rPr>
          <w:rFonts w:hint="eastAsia"/>
          <w:lang w:val="en-US" w:eastAsia="zh-CN"/>
        </w:rPr>
        <w:t>67万元，企业家培训费20万元，深圳望城商会筹建补助经费20万元。</w:t>
      </w:r>
    </w:p>
    <w:p>
      <w:pPr>
        <w:spacing w:line="600" w:lineRule="exact"/>
        <w:ind w:firstLine="600" w:firstLineChars="200"/>
        <w:rPr>
          <w:rFonts w:hint="eastAsia" w:ascii="Times New Roman" w:hAnsi="Times New Roman" w:eastAsia="黑体" w:cs="Times New Roman"/>
          <w:sz w:val="30"/>
          <w:lang w:eastAsia="zh-CN"/>
        </w:rPr>
      </w:pPr>
      <w:r>
        <w:rPr>
          <w:rFonts w:hint="eastAsia" w:ascii="Times New Roman" w:hAnsi="Times New Roman" w:eastAsia="黑体" w:cs="Times New Roman"/>
          <w:sz w:val="30"/>
          <w:lang w:eastAsia="zh-CN"/>
        </w:rPr>
        <w:t>三、</w:t>
      </w:r>
      <w:r>
        <w:rPr>
          <w:rFonts w:hint="default" w:ascii="Times New Roman" w:hAnsi="Times New Roman" w:eastAsia="黑体" w:cs="Times New Roman"/>
          <w:sz w:val="30"/>
        </w:rPr>
        <w:t>部门（单位）</w:t>
      </w:r>
      <w:r>
        <w:rPr>
          <w:rFonts w:hint="eastAsia" w:ascii="Times New Roman" w:hAnsi="Times New Roman" w:eastAsia="黑体" w:cs="Times New Roman"/>
          <w:sz w:val="30"/>
          <w:lang w:eastAsia="zh-CN"/>
        </w:rPr>
        <w:t>资产管理情况</w:t>
      </w:r>
    </w:p>
    <w:p>
      <w:pPr>
        <w:numPr>
          <w:ilvl w:val="0"/>
          <w:numId w:val="0"/>
        </w:numPr>
        <w:spacing w:line="600" w:lineRule="exact"/>
        <w:ind w:firstLine="640" w:firstLineChars="200"/>
        <w:rPr>
          <w:rFonts w:hint="eastAsia"/>
        </w:rPr>
      </w:pPr>
      <w:r>
        <w:rPr>
          <w:rFonts w:hint="eastAsia"/>
        </w:rPr>
        <w:t>国有资产占用情况。截至2019年12月31日，本部门共有车辆0辆，单位价值50万元以上通用设备0台（套），单价100万元以上专用设备0台（套）。</w:t>
      </w:r>
    </w:p>
    <w:p>
      <w:pPr>
        <w:numPr>
          <w:ilvl w:val="0"/>
          <w:numId w:val="0"/>
        </w:numPr>
        <w:spacing w:line="600" w:lineRule="exact"/>
        <w:ind w:left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四、</w:t>
      </w:r>
      <w:r>
        <w:rPr>
          <w:rFonts w:hint="default" w:ascii="Times New Roman" w:hAnsi="Times New Roman" w:eastAsia="黑体" w:cs="Times New Roman"/>
          <w:sz w:val="30"/>
        </w:rPr>
        <w:t>部门（单位）整体支出绩效目标及开展情况</w:t>
      </w:r>
    </w:p>
    <w:p>
      <w:pPr>
        <w:snapToGrid w:val="0"/>
        <w:spacing w:line="520" w:lineRule="exact"/>
        <w:ind w:firstLine="640" w:firstLineChars="200"/>
        <w:rPr>
          <w:rFonts w:hint="default" w:ascii="Times New Roman" w:hAnsi="Times New Roman" w:eastAsia="黑体" w:cs="Times New Roman"/>
          <w:sz w:val="30"/>
        </w:rPr>
      </w:pPr>
      <w:r>
        <w:rPr>
          <w:rFonts w:hint="eastAsia" w:ascii="仿宋_GB2312" w:hAnsi="仿宋_GB2312" w:eastAsia="仿宋_GB2312" w:cs="仿宋_GB2312"/>
          <w:sz w:val="32"/>
          <w:szCs w:val="32"/>
          <w:lang w:val="en-US" w:eastAsia="zh-CN"/>
        </w:rPr>
        <w:t>2019年</w:t>
      </w:r>
      <w:r>
        <w:rPr>
          <w:rFonts w:hint="default" w:ascii="仿宋_GB2312" w:hAnsi="仿宋_GB2312" w:eastAsia="仿宋_GB2312" w:cs="仿宋_GB2312"/>
          <w:sz w:val="32"/>
          <w:szCs w:val="32"/>
          <w:lang w:eastAsia="zh-CN"/>
        </w:rPr>
        <w:t>部门整体支出绩效目标</w:t>
      </w:r>
      <w:r>
        <w:rPr>
          <w:rFonts w:hint="eastAsia" w:ascii="仿宋_GB2312" w:hAnsi="仿宋_GB2312" w:eastAsia="仿宋_GB2312" w:cs="仿宋_GB2312"/>
          <w:sz w:val="32"/>
          <w:szCs w:val="32"/>
          <w:lang w:val="en-US" w:eastAsia="zh-CN"/>
        </w:rPr>
        <w:t>是</w:t>
      </w:r>
      <w:r>
        <w:rPr>
          <w:rFonts w:hint="eastAsia" w:ascii="仿宋_GB2312" w:hAnsi="仿宋" w:eastAsia="仿宋_GB2312"/>
          <w:color w:val="000000" w:themeColor="text1"/>
          <w:sz w:val="32"/>
          <w:szCs w:val="32"/>
          <w14:textFill>
            <w14:solidFill>
              <w14:schemeClr w14:val="tx1"/>
            </w14:solidFill>
          </w14:textFill>
        </w:rPr>
        <w:t>密切与会员的联系，畅通反映意见建议的渠道，表彰宣传他们中的先进典型，做好工商界代表人士政治安排的推荐工作</w:t>
      </w:r>
      <w:r>
        <w:rPr>
          <w:rFonts w:hint="eastAsia" w:hAnsi="仿宋"/>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加强和改进非公有制经济人士思想政治工作</w:t>
      </w:r>
      <w:r>
        <w:rPr>
          <w:rFonts w:hint="eastAsia" w:hAnsi="仿宋"/>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为会员提供培训、融资、科技、法律、信息咨询等服务</w:t>
      </w:r>
      <w:r>
        <w:rPr>
          <w:rFonts w:hint="eastAsia" w:hAnsi="仿宋"/>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提高核心竞争力和可持续发展能力</w:t>
      </w:r>
      <w:r>
        <w:rPr>
          <w:rFonts w:hint="default" w:ascii="仿宋_GB2312" w:hAnsi="仿宋_GB2312" w:eastAsia="仿宋_GB2312" w:cs="仿宋_GB2312"/>
          <w:sz w:val="32"/>
          <w:szCs w:val="32"/>
          <w:lang w:eastAsia="zh-CN"/>
        </w:rPr>
        <w:t>；</w:t>
      </w:r>
      <w:r>
        <w:rPr>
          <w:rFonts w:hint="eastAsia" w:ascii="仿宋_GB2312" w:hAnsi="仿宋" w:eastAsia="仿宋_GB2312"/>
          <w:color w:val="000000" w:themeColor="text1"/>
          <w:sz w:val="32"/>
          <w:szCs w:val="32"/>
          <w14:textFill>
            <w14:solidFill>
              <w14:schemeClr w14:val="tx1"/>
            </w14:solidFill>
          </w14:textFill>
        </w:rPr>
        <w:t>增强与省内外异地商会和工商界人士的联系，增进交往，开展促进经贸合作工作，为扩大对外开放、企业“走出去”、助力招商引资引智服务</w:t>
      </w:r>
      <w:r>
        <w:rPr>
          <w:rFonts w:hint="default" w:ascii="仿宋_GB2312" w:hAnsi="仿宋_GB2312" w:eastAsia="仿宋_GB2312" w:cs="仿宋_GB2312"/>
          <w:sz w:val="32"/>
          <w:szCs w:val="32"/>
          <w:lang w:eastAsia="zh-CN"/>
        </w:rPr>
        <w:t>；</w:t>
      </w:r>
      <w:r>
        <w:rPr>
          <w:rFonts w:hint="eastAsia" w:ascii="仿宋_GB2312" w:hAnsi="仿宋" w:eastAsia="仿宋_GB2312"/>
          <w:color w:val="000000" w:themeColor="text1"/>
          <w:sz w:val="32"/>
          <w:szCs w:val="32"/>
          <w14:textFill>
            <w14:solidFill>
              <w14:schemeClr w14:val="tx1"/>
            </w14:solidFill>
          </w14:textFill>
        </w:rPr>
        <w:t>加强自身建设，提高履行职责和发挥作用的能力，增强凝聚力</w:t>
      </w:r>
      <w:r>
        <w:rPr>
          <w:rFonts w:hint="default" w:ascii="仿宋_GB2312" w:hAnsi="仿宋_GB2312" w:eastAsia="仿宋_GB2312" w:cs="仿宋_GB2312"/>
          <w:sz w:val="32"/>
          <w:szCs w:val="32"/>
          <w:lang w:eastAsia="zh-CN"/>
        </w:rPr>
        <w:t>；实施精准扶贫；确保单位各项日常工作正常运转。</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五</w:t>
      </w:r>
      <w:r>
        <w:rPr>
          <w:rFonts w:hint="default" w:ascii="Times New Roman" w:hAnsi="Times New Roman" w:eastAsia="黑体" w:cs="Times New Roman"/>
          <w:sz w:val="30"/>
        </w:rPr>
        <w:t>、部门（单位）整体支出绩效实现情况</w:t>
      </w:r>
    </w:p>
    <w:p>
      <w:pPr>
        <w:spacing w:line="580" w:lineRule="exact"/>
        <w:ind w:firstLine="602" w:firstLineChars="200"/>
        <w:rPr>
          <w:rFonts w:hint="default" w:ascii="Times New Roman" w:hAnsi="Times New Roman" w:eastAsia="仿宋_GB2312" w:cs="Times New Roman"/>
          <w:sz w:val="30"/>
        </w:rPr>
      </w:pPr>
      <w:r>
        <w:rPr>
          <w:rFonts w:hint="eastAsia" w:ascii="楷体_GB2312" w:hAnsi="楷体_GB2312" w:eastAsia="楷体_GB2312" w:cs="楷体_GB2312"/>
          <w:b/>
          <w:bCs/>
          <w:sz w:val="30"/>
        </w:rPr>
        <w:t>（一）履职完成情况：</w:t>
      </w:r>
      <w:r>
        <w:rPr>
          <w:rFonts w:hint="eastAsia" w:ascii="仿宋_GB2312" w:hAnsi="仿宋_GB2312" w:eastAsia="仿宋_GB2312" w:cs="仿宋_GB2312"/>
          <w:color w:val="000000" w:themeColor="text1"/>
          <w:sz w:val="32"/>
          <w:szCs w:val="32"/>
          <w14:textFill>
            <w14:solidFill>
              <w14:schemeClr w14:val="tx1"/>
            </w14:solidFill>
          </w14:textFill>
        </w:rPr>
        <w:t>突出党建引领，直属商协会党的工作覆盖率达到100%；引导金山桥街道商会等4家商协会新成立党组织，党组织覆盖率达到30%。新吸纳女企业家协会、个私协和匠联会3家团体会员，进一步壮大了工商联基层商协会队伍。原有18个区内的基层商协会全部评选为市级“四好”商会，实现全覆盖。举办商协会趣味运动会和“泰嘉杯”非公经济羽毛球赛；先后接待怀化市鹤城区工商联、新疆县级工商联考察团、西藏自治区工商联来望城考察文化旅游、美丽乡村产业项目建设、营商环境优化、“五好”县级工商联建设等工作；赴张家界市武陵源区工商联开展友好工商联学习交流活动。全年举办7期活动，累计近300名青年企业家参与上级和本级组织的学习培训、交流分享活动。联合金融办、BSC举办金融服务“双进”活动街镇专场对接，组织7家银行与4家企业面对面交流洽谈融资业务，促进合作共赢。与政府办、金融办、工信局、科技局、BSC、邮储银行望城支行共同承办望城区2019年邮储银行政银企对接会</w:t>
      </w:r>
      <w:r>
        <w:rPr>
          <w:rFonts w:hint="eastAsia" w:hAnsi="仿宋_GB2312" w:cs="仿宋_GB2312"/>
          <w:color w:val="000000" w:themeColor="text1"/>
          <w:sz w:val="32"/>
          <w:szCs w:val="32"/>
          <w:lang w:eastAsia="zh-CN"/>
          <w14:textFill>
            <w14:solidFill>
              <w14:schemeClr w14:val="tx1"/>
            </w14:solidFill>
          </w14:textFill>
        </w:rPr>
        <w:t>。</w:t>
      </w:r>
    </w:p>
    <w:p>
      <w:pPr>
        <w:spacing w:line="580" w:lineRule="exact"/>
        <w:ind w:firstLine="602" w:firstLineChars="200"/>
        <w:rPr>
          <w:rFonts w:hint="eastAsia" w:ascii="楷体_GB2312" w:hAnsi="楷体_GB2312" w:eastAsia="楷体_GB2312" w:cs="楷体_GB2312"/>
          <w:b/>
          <w:bCs/>
          <w:sz w:val="30"/>
        </w:rPr>
      </w:pPr>
      <w:r>
        <w:rPr>
          <w:rFonts w:hint="eastAsia" w:ascii="楷体_GB2312" w:hAnsi="楷体_GB2312" w:eastAsia="楷体_GB2312" w:cs="楷体_GB2312"/>
          <w:b/>
          <w:bCs/>
          <w:sz w:val="30"/>
          <w:lang w:eastAsia="zh-CN"/>
        </w:rPr>
        <w:t>（二）</w:t>
      </w:r>
      <w:r>
        <w:rPr>
          <w:rFonts w:hint="default" w:ascii="楷体_GB2312" w:hAnsi="楷体_GB2312" w:eastAsia="楷体_GB2312" w:cs="楷体_GB2312"/>
          <w:b/>
          <w:bCs/>
          <w:sz w:val="30"/>
        </w:rPr>
        <w:t>履职效果情况：</w:t>
      </w:r>
    </w:p>
    <w:p>
      <w:pPr>
        <w:spacing w:line="58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)探索商事服务新路径。依托望城BSC平台，牵头成立了望城区工匠联合</w:t>
      </w:r>
      <w:r>
        <w:rPr>
          <w:rFonts w:hint="eastAsia" w:ascii="仿宋_GB2312" w:hAnsi="仿宋_GB2312" w:eastAsia="仿宋_GB2312" w:cs="仿宋_GB2312"/>
          <w:color w:val="000000" w:themeColor="text1"/>
          <w:sz w:val="32"/>
          <w:szCs w:val="32"/>
          <w:lang w:eastAsia="zh-CN"/>
          <w14:textFill>
            <w14:solidFill>
              <w14:schemeClr w14:val="tx1"/>
            </w14:solidFill>
          </w14:textFill>
        </w:rPr>
        <w:t>会</w:t>
      </w:r>
      <w:r>
        <w:rPr>
          <w:rFonts w:hint="eastAsia" w:ascii="仿宋_GB2312" w:hAnsi="仿宋_GB2312" w:eastAsia="仿宋_GB2312" w:cs="仿宋_GB2312"/>
          <w:color w:val="000000" w:themeColor="text1"/>
          <w:sz w:val="32"/>
          <w:szCs w:val="32"/>
          <w14:textFill>
            <w14:solidFill>
              <w14:schemeClr w14:val="tx1"/>
            </w14:solidFill>
          </w14:textFill>
        </w:rPr>
        <w:t>；与司法局联合建立了非公有制经济领域维权和商事纠纷人民调解长效机制；以青商会、商贸物流协会和匠联</w:t>
      </w:r>
      <w:r>
        <w:rPr>
          <w:rFonts w:hint="eastAsia" w:ascii="仿宋_GB2312" w:hAnsi="仿宋_GB2312" w:eastAsia="仿宋_GB2312" w:cs="仿宋_GB2312"/>
          <w:color w:val="000000" w:themeColor="text1"/>
          <w:sz w:val="32"/>
          <w:szCs w:val="32"/>
          <w:lang w:eastAsia="zh-CN"/>
          <w14:textFill>
            <w14:solidFill>
              <w14:schemeClr w14:val="tx1"/>
            </w14:solidFill>
          </w14:textFill>
        </w:rPr>
        <w:t>会</w:t>
      </w:r>
      <w:r>
        <w:rPr>
          <w:rFonts w:hint="eastAsia" w:ascii="仿宋_GB2312" w:hAnsi="仿宋_GB2312" w:eastAsia="仿宋_GB2312" w:cs="仿宋_GB2312"/>
          <w:color w:val="000000" w:themeColor="text1"/>
          <w:sz w:val="32"/>
          <w:szCs w:val="32"/>
          <w14:textFill>
            <w14:solidFill>
              <w14:schemeClr w14:val="tx1"/>
            </w14:solidFill>
          </w14:textFill>
        </w:rPr>
        <w:t>为主组团深入中联消防、新希望南山、晟通科技等30多家企业开展“企业服务企业”调研走访活动，为企业在望城提供更精准的营商服务。</w:t>
      </w:r>
    </w:p>
    <w:p>
      <w:pPr>
        <w:spacing w:line="580" w:lineRule="exact"/>
        <w:ind w:firstLine="641"/>
        <w:jc w:val="left"/>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推进“四零”采购建设。联动推进“四零”（零障碍、零仓储、零物流、零损耗）采购模式建设，引导企企互动，实现企业供需合作、共享共赢。被</w:t>
      </w:r>
      <w:r>
        <w:rPr>
          <w:rFonts w:hint="eastAsia" w:ascii="仿宋_GB2312" w:eastAsia="仿宋_GB2312"/>
          <w:color w:val="000000" w:themeColor="text1"/>
          <w:sz w:val="32"/>
          <w:szCs w:val="32"/>
          <w14:textFill>
            <w14:solidFill>
              <w14:schemeClr w14:val="tx1"/>
            </w14:solidFill>
          </w14:textFill>
        </w:rPr>
        <w:t>市工商联评为优化营商环境“十大创新举措”。</w:t>
      </w:r>
    </w:p>
    <w:p>
      <w:pPr>
        <w:spacing w:line="580" w:lineRule="exact"/>
        <w:ind w:firstLine="641"/>
        <w:jc w:val="left"/>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 xml:space="preserve">3)组织政企恳谈“面对面”。区委书记、区长等党政领导与全区非公企业人士代表开展座谈交流，听取企业家的意见建议，并实行集中交办督办。组织召开“极省营商在望城”政府、园区、企业分享会，参与制定《2019年区领导与党外代表人士、非公有制经济人士、新的社会阶层代表人士联谊交友安排表》。举办“部门问答直线通”，聚焦共性问题，对话人社、税务、法律等部门，现场解惑问策。               </w:t>
      </w:r>
    </w:p>
    <w:p>
      <w:pPr>
        <w:tabs>
          <w:tab w:val="center" w:pos="4535"/>
        </w:tabs>
        <w:spacing w:line="58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坚持培训长效机制。全年举办7期活动，累计近300名青年企业家参与上级和本级组织的学习培训、交流分享活动。2019年，“猎梦计划”荣获“创新中国”2018年度最佳案例和2018年度全省统战工作实践创新成果奖。</w:t>
      </w:r>
    </w:p>
    <w:p>
      <w:pPr>
        <w:spacing w:line="58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w:t>
      </w:r>
      <w:r>
        <w:rPr>
          <w:rFonts w:hint="eastAsia" w:hAnsi="仿宋"/>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倡导慈善公益奉献。响应省联“万企帮万村”精准扶贫行动要求，区工商联和月亮岛街道商会联合组织赴张家界武陵源区中湖乡结对帮扶；丁字湾街道商会十一家会员企业走访慰问结对贫困户；九峰建设党支部开展“主题党日暖童心”慰问活动；铭宇五金参与“馨心公益，爱洒苗乡”活动；白箬铺镇商会“微心愿”爱心走访；22家非公企业参与“不忘初心 为爱赶集”爱心赶集活动，募集爱心款和物资26.3万元；区工商联联合乌山街道商会举办“户帮户亲帮亲，互助脱贫奔小康”精准扶贫活动。联系上海高港商会为乌山街道高冲小学捐赠15万元作为捐资助学启动基金，并为品学兼优的学生发放了奖学金。</w:t>
      </w:r>
    </w:p>
    <w:p>
      <w:pPr>
        <w:tabs>
          <w:tab w:val="center" w:pos="4535"/>
        </w:tabs>
        <w:spacing w:line="58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w:t>
      </w:r>
      <w:r>
        <w:rPr>
          <w:rFonts w:hint="eastAsia" w:hAnsi="仿宋"/>
          <w:color w:val="000000" w:themeColor="text1"/>
          <w:sz w:val="32"/>
          <w:szCs w:val="32"/>
          <w:lang w:val="en-US" w:eastAsia="zh-CN"/>
          <w14:textFill>
            <w14:solidFill>
              <w14:schemeClr w14:val="tx1"/>
            </w14:solidFill>
          </w14:textFill>
        </w:rPr>
        <w:t>6</w:t>
      </w:r>
      <w:r>
        <w:rPr>
          <w:rFonts w:hint="eastAsia" w:ascii="仿宋_GB2312" w:hAnsi="仿宋"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发挥优势建言献策。对我区不同类型、规模的100家企业人员开展了《长沙市望城区优化营商环境感受度》调查和复查，调查成果为区委、区政府提供决策参考。发挥工商联系统“两代表一委员”的作用，开展专题调研，以工商联界别名义提出“关于支持商协会承接政府职能转移参与社会协同治理”的提案，拟争取作为区政协的重点提案。配合完成全国工商联民营企业调查点工作，荣获“全国工商联2019年民营企业调查点工作示范单位”。</w:t>
      </w:r>
    </w:p>
    <w:p>
      <w:pPr>
        <w:spacing w:line="580" w:lineRule="exact"/>
        <w:ind w:firstLine="602" w:firstLineChars="200"/>
        <w:rPr>
          <w:rFonts w:hint="default" w:ascii="楷体_GB2312" w:hAnsi="楷体_GB2312" w:eastAsia="楷体_GB2312" w:cs="楷体_GB2312"/>
          <w:b/>
          <w:bCs/>
          <w:sz w:val="30"/>
        </w:rPr>
      </w:pPr>
      <w:r>
        <w:rPr>
          <w:rFonts w:hint="default" w:ascii="楷体_GB2312" w:hAnsi="楷体_GB2312" w:eastAsia="楷体_GB2312" w:cs="楷体_GB2312"/>
          <w:b/>
          <w:bCs/>
          <w:sz w:val="30"/>
        </w:rPr>
        <w:t>（三）社会满意度情况</w:t>
      </w:r>
    </w:p>
    <w:p>
      <w:pPr>
        <w:adjustRightInd w:val="0"/>
        <w:snapToGrid w:val="0"/>
        <w:spacing w:line="600" w:lineRule="exact"/>
        <w:ind w:firstLine="640" w:firstLineChars="200"/>
        <w:jc w:val="left"/>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区工商联</w:t>
      </w:r>
      <w:r>
        <w:rPr>
          <w:rFonts w:hint="eastAsia" w:hAnsi="仿宋_GB2312" w:cs="仿宋_GB2312"/>
          <w:color w:val="000000" w:themeColor="text1"/>
          <w:sz w:val="32"/>
          <w:szCs w:val="32"/>
          <w:lang w:eastAsia="zh-CN"/>
          <w14:textFill>
            <w14:solidFill>
              <w14:schemeClr w14:val="tx1"/>
            </w14:solidFill>
          </w14:textFill>
        </w:rPr>
        <w:t>持续推进营商环境优化，在民营企业走访调研中，企业对政府服务满意度、美誉度不断攀升。区工商联</w:t>
      </w:r>
      <w:r>
        <w:rPr>
          <w:rFonts w:hint="eastAsia" w:ascii="仿宋_GB2312" w:hAnsi="仿宋_GB2312" w:eastAsia="仿宋_GB2312" w:cs="仿宋_GB2312"/>
          <w:color w:val="000000" w:themeColor="text1"/>
          <w:sz w:val="32"/>
          <w:szCs w:val="32"/>
          <w14:textFill>
            <w14:solidFill>
              <w14:schemeClr w14:val="tx1"/>
            </w14:solidFill>
          </w14:textFill>
        </w:rPr>
        <w:t>继荣获“2018-2019年度湖南省‘五好’县级工商联”称号后，又获评“2018-2019年度全国‘五好’县级工商联”。</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lang w:eastAsia="zh-CN"/>
        </w:rPr>
        <w:t>六</w:t>
      </w:r>
      <w:r>
        <w:rPr>
          <w:rFonts w:ascii="Times New Roman" w:hAnsi="Times New Roman" w:eastAsia="黑体"/>
          <w:sz w:val="30"/>
        </w:rPr>
        <w:t>、部门整体支出绩效中存在问题及改进措施</w:t>
      </w:r>
    </w:p>
    <w:p>
      <w:pPr>
        <w:spacing w:line="600" w:lineRule="exact"/>
        <w:ind w:firstLine="640" w:firstLineChars="200"/>
        <w:rPr>
          <w:rFonts w:ascii="Times New Roman" w:hAnsi="Times New Roman"/>
          <w:sz w:val="30"/>
        </w:rPr>
      </w:pPr>
      <w:r>
        <w:rPr>
          <w:rFonts w:hint="eastAsia"/>
        </w:rPr>
        <w:t>项目实施过程中还存在绩效目标不够细化、量化，专项资金管理制度不够完善等问题。今后，我单位将进一步完善专项资金管理制度建设，强化预算绩效目标申报和审核，做到绩效目标科学合理，细化量化，提高财政资金使用效益。</w:t>
      </w:r>
    </w:p>
    <w:p>
      <w:pPr>
        <w:adjustRightInd w:val="0"/>
        <w:snapToGrid w:val="0"/>
        <w:spacing w:line="600" w:lineRule="exact"/>
        <w:ind w:firstLine="640" w:firstLineChars="200"/>
        <w:jc w:val="left"/>
        <w:rPr>
          <w:rFonts w:hint="eastAsia" w:ascii="仿宋_GB2312" w:hAnsi="仿宋_GB2312" w:eastAsia="仿宋_GB2312" w:cs="仿宋_GB2312"/>
          <w:color w:val="000000" w:themeColor="text1"/>
          <w:sz w:val="32"/>
          <w:szCs w:val="32"/>
          <w14:textFill>
            <w14:solidFill>
              <w14:schemeClr w14:val="tx1"/>
            </w14:solidFill>
          </w14:textFill>
        </w:rPr>
      </w:pPr>
    </w:p>
    <w:sectPr>
      <w:footerReference r:id="rId3" w:type="default"/>
      <w:footerReference r:id="rId4" w:type="even"/>
      <w:pgSz w:w="11906" w:h="16838"/>
      <w:pgMar w:top="1701" w:right="1587" w:bottom="1417" w:left="1701" w:header="851" w:footer="850"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_GBK">
    <w:altName w:val="宋体"/>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w:t>
        </w:r>
        <w:r>
          <w:rPr>
            <w:rFonts w:hint="eastAsia" w:ascii="仿宋" w:hAnsi="仿宋" w:eastAsia="仿宋" w:cs="仿宋"/>
            <w:sz w:val="28"/>
            <w:szCs w:val="28"/>
          </w:rPr>
          <w:t xml:space="preserve"> 17 -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docPartObj>
        <w:docPartGallery w:val="autotext"/>
      </w:docPartObj>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w:t>
        </w:r>
        <w:r>
          <w:rPr>
            <w:rFonts w:hint="eastAsia" w:ascii="仿宋" w:hAnsi="仿宋" w:eastAsia="仿宋" w:cs="仿宋"/>
            <w:sz w:val="28"/>
            <w:szCs w:val="28"/>
          </w:rPr>
          <w:t xml:space="preserve"> 14 -</w:t>
        </w:r>
        <w:r>
          <w:rPr>
            <w:rFonts w:hint="eastAsia" w:ascii="仿宋" w:hAnsi="仿宋" w:eastAsia="仿宋" w:cs="仿宋"/>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F68E40"/>
    <w:multiLevelType w:val="singleLevel"/>
    <w:tmpl w:val="1DF68E4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A7835"/>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0174321A"/>
    <w:rsid w:val="024B7610"/>
    <w:rsid w:val="02904630"/>
    <w:rsid w:val="02DF2789"/>
    <w:rsid w:val="02ED0A04"/>
    <w:rsid w:val="03044238"/>
    <w:rsid w:val="032E23EC"/>
    <w:rsid w:val="03465690"/>
    <w:rsid w:val="03905C46"/>
    <w:rsid w:val="03FE2E3F"/>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D7C44B5"/>
    <w:rsid w:val="0E3D5C14"/>
    <w:rsid w:val="0E494602"/>
    <w:rsid w:val="0E70774D"/>
    <w:rsid w:val="0E7116F8"/>
    <w:rsid w:val="0F776F49"/>
    <w:rsid w:val="10174485"/>
    <w:rsid w:val="10F6548A"/>
    <w:rsid w:val="10F74D50"/>
    <w:rsid w:val="11F44ABD"/>
    <w:rsid w:val="12241950"/>
    <w:rsid w:val="12261667"/>
    <w:rsid w:val="127861E7"/>
    <w:rsid w:val="12826B84"/>
    <w:rsid w:val="13C56F60"/>
    <w:rsid w:val="13D36475"/>
    <w:rsid w:val="145C2F7D"/>
    <w:rsid w:val="14B21B34"/>
    <w:rsid w:val="16044C16"/>
    <w:rsid w:val="170C48FB"/>
    <w:rsid w:val="176D24AC"/>
    <w:rsid w:val="176F0FF1"/>
    <w:rsid w:val="17832D68"/>
    <w:rsid w:val="18514931"/>
    <w:rsid w:val="19BC67FF"/>
    <w:rsid w:val="19DB4F8D"/>
    <w:rsid w:val="1A485342"/>
    <w:rsid w:val="1A923EFD"/>
    <w:rsid w:val="1B6C03A2"/>
    <w:rsid w:val="1B786645"/>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0715EED"/>
    <w:rsid w:val="208A343D"/>
    <w:rsid w:val="215A56A0"/>
    <w:rsid w:val="21B43BB0"/>
    <w:rsid w:val="21D75A59"/>
    <w:rsid w:val="21F96A6E"/>
    <w:rsid w:val="22496209"/>
    <w:rsid w:val="22DF060E"/>
    <w:rsid w:val="23EA355D"/>
    <w:rsid w:val="240259F0"/>
    <w:rsid w:val="2404542C"/>
    <w:rsid w:val="24C92EFB"/>
    <w:rsid w:val="25057336"/>
    <w:rsid w:val="26FF47D2"/>
    <w:rsid w:val="27213B35"/>
    <w:rsid w:val="2776089C"/>
    <w:rsid w:val="27BF0D76"/>
    <w:rsid w:val="27E00EE0"/>
    <w:rsid w:val="28142779"/>
    <w:rsid w:val="2975102D"/>
    <w:rsid w:val="2A3109E7"/>
    <w:rsid w:val="2A515B4F"/>
    <w:rsid w:val="2B1954ED"/>
    <w:rsid w:val="2B352870"/>
    <w:rsid w:val="2B4C314F"/>
    <w:rsid w:val="2BB64D7D"/>
    <w:rsid w:val="2BF93154"/>
    <w:rsid w:val="2C1433C1"/>
    <w:rsid w:val="2CAA1E0C"/>
    <w:rsid w:val="2CCC5A1A"/>
    <w:rsid w:val="2D35264F"/>
    <w:rsid w:val="2D7B77F7"/>
    <w:rsid w:val="2D857649"/>
    <w:rsid w:val="2D8B0528"/>
    <w:rsid w:val="2E2A32A9"/>
    <w:rsid w:val="2E4134C1"/>
    <w:rsid w:val="2E760F0A"/>
    <w:rsid w:val="2F7755CB"/>
    <w:rsid w:val="2F782A73"/>
    <w:rsid w:val="2FF37397"/>
    <w:rsid w:val="30106775"/>
    <w:rsid w:val="30E93A29"/>
    <w:rsid w:val="31E3128D"/>
    <w:rsid w:val="32637E85"/>
    <w:rsid w:val="343E5D9D"/>
    <w:rsid w:val="34851422"/>
    <w:rsid w:val="35171994"/>
    <w:rsid w:val="356362E5"/>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7810B9"/>
    <w:rsid w:val="3E830F89"/>
    <w:rsid w:val="3F0F71F9"/>
    <w:rsid w:val="3F177AA7"/>
    <w:rsid w:val="3F4D44A2"/>
    <w:rsid w:val="401A4AC8"/>
    <w:rsid w:val="413A1A82"/>
    <w:rsid w:val="41645C9E"/>
    <w:rsid w:val="418236FA"/>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AED19A0"/>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D14539"/>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3555619"/>
    <w:rsid w:val="64490810"/>
    <w:rsid w:val="647465DF"/>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E577C34"/>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3730C8"/>
    <w:rsid w:val="7E430E21"/>
    <w:rsid w:val="7EC7642F"/>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6"/>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17</Pages>
  <Words>1420</Words>
  <Characters>8095</Characters>
  <Lines>67</Lines>
  <Paragraphs>18</Paragraphs>
  <TotalTime>2</TotalTime>
  <ScaleCrop>false</ScaleCrop>
  <LinksUpToDate>false</LinksUpToDate>
  <CharactersWithSpaces>9497</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Administrator</cp:lastModifiedBy>
  <cp:lastPrinted>2020-03-26T03:38:00Z</cp:lastPrinted>
  <dcterms:modified xsi:type="dcterms:W3CDTF">2020-09-30T05:58:25Z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